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May 5, 2014, Waste Management, Inc. (the “Company”) commenced an underwritten public offering of $350,000,000 aggregate principal amount of its 3.50% Senior Notes due 2024 (the “Notes”) under the Company’s Registration Statement on Form S-3 (No. 333-184157) (the “Registration Statement”). The Notes, which are fully and unconditionally guaranteed by the Company’s wholly owned subsidiary Waste Management Holdings, Inc. (“WM Holdings”), were sold pursuant to an underwriting agreement (the “Underwriting Agreement”) entered into on May 5, 2014 among the Company and WM Holdings and Deutsche Bank Securities Inc., J.P. Morgan Securities LLC and RBS Securities Inc. as representatives of the several underwriters named therein.</w:t>
      </w:r>
    </w:p>
    <w:p>
      <w:pPr>
        <w:spacing w:after="0" w:line="188"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Closing of the issuance and sale of the Notes occurred on May 8, 2014. The Notes were issued under an indenture dated as of September 10, 1997, between the Company and The Bank of New York Mellon Trust Company, N.A. (the current successor to Texas Commerce Bank National Association), as trustee (the “Indenture”). The terms of the Notes and the guarantee by WM Holdings are set forth in an officers’ certificate of the Company (the “Officers’ Certificate”) delivered pursuant to the Indenture.</w:t>
      </w:r>
    </w:p>
    <w:p>
      <w:pPr>
        <w:spacing w:after="0" w:line="180"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Copies of the Underwriting Agreement, the Indenture, the Officers’ Certificate and the guarantee agreement by WM Holdings are being filed as Exhibits 1.1, 4.1, 4.2 and 4.4, respectively, to this Form 8-K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1.1</w:t>
            </w: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Underwriting Agreement dated May 5, 2014 by and among the Company, WM Holdings and Deutsche Bank Securities Inc., J.P. Morgan</w:t>
            </w:r>
          </w:p>
        </w:tc>
      </w:tr>
      <w:tr>
        <w:trPr>
          <w:trHeight w:val="234"/>
        </w:trPr>
        <w:tc>
          <w:tcPr>
            <w:tcW w:w="68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 LLC and RBS Securities Inc. as representatives of the several Underwriters named therein.</w:t>
            </w:r>
          </w:p>
        </w:tc>
      </w:tr>
      <w:tr>
        <w:trPr>
          <w:trHeight w:val="306"/>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4.1</w:t>
            </w: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Indenture dated September 10, 1997 by and between the Company and The Bank of New York Mellon Trust Company, N.A. (the current</w:t>
            </w:r>
          </w:p>
        </w:tc>
      </w:tr>
      <w:tr>
        <w:trPr>
          <w:trHeight w:val="216"/>
        </w:trPr>
        <w:tc>
          <w:tcPr>
            <w:tcW w:w="68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successor to Texas Commerce Bank National Association), as Trustee, relating to senior debt securities of the Company (incorporated by</w:t>
            </w:r>
          </w:p>
        </w:tc>
      </w:tr>
      <w:tr>
        <w:trPr>
          <w:trHeight w:val="234"/>
        </w:trPr>
        <w:tc>
          <w:tcPr>
            <w:tcW w:w="68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 to Exhibit 4.1 to Current Report on Form 8-K filed September 24, 1997).</w:t>
            </w:r>
          </w:p>
        </w:tc>
      </w:tr>
      <w:tr>
        <w:trPr>
          <w:trHeight w:val="324"/>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4.2</w:t>
            </w: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Officers’ Certificate delivered pursuant to Section 301 of the Indenture establishing the terms and form of the Notes.</w:t>
            </w:r>
          </w:p>
        </w:tc>
      </w:tr>
      <w:tr>
        <w:trPr>
          <w:trHeight w:val="324"/>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4.3</w:t>
            </w: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Note (included in Exhibit 4.2 above).</w:t>
            </w:r>
          </w:p>
        </w:tc>
      </w:tr>
      <w:tr>
        <w:trPr>
          <w:trHeight w:val="324"/>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4.4</w:t>
            </w: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Guarantee Agreement by WM Holdings in favor of the holders of Waste Management, Inc.’s 3.50% Senior Notes due 2024.</w:t>
            </w:r>
          </w:p>
        </w:tc>
      </w:tr>
      <w:tr>
        <w:trPr>
          <w:trHeight w:val="324"/>
        </w:trPr>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5.1</w:t>
            </w:r>
          </w:p>
        </w:tc>
        <w:tc>
          <w:tcPr>
            <w:tcW w:w="10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Opinion of Baker Botts L.L.P.</w:t>
            </w:r>
          </w:p>
        </w:tc>
      </w:tr>
    </w:tbl>
    <w:p>
      <w:pPr>
        <w:sectPr>
          <w:pgSz w:w="11900" w:h="16838" w:orient="portrait"/>
          <w:cols w:equalWidth="0" w:num="1">
            <w:col w:w="11400"/>
          </w:cols>
          <w:pgMar w:left="240" w:top="266" w:right="25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tabs>
          <w:tab w:leader="none" w:pos="540" w:val="left"/>
          <w:tab w:leader="none" w:pos="6020" w:val="left"/>
        </w:tabs>
        <w:rPr>
          <w:sz w:val="20"/>
          <w:szCs w:val="20"/>
          <w:color w:val="auto"/>
        </w:rPr>
      </w:pPr>
      <w:r>
        <w:rPr>
          <w:rFonts w:ascii="Times New Roman" w:cs="Times New Roman" w:eastAsia="Times New Roman" w:hAnsi="Times New Roman"/>
          <w:sz w:val="18"/>
          <w:szCs w:val="18"/>
          <w:color w:val="auto"/>
        </w:rPr>
        <w:t>Date:</w:t>
        <w:tab/>
        <w:t>May 8, 2014</w:t>
      </w:r>
      <w:r>
        <w:rPr>
          <w:sz w:val="20"/>
          <w:szCs w:val="20"/>
          <w:color w:val="auto"/>
        </w:rPr>
        <w:tab/>
      </w:r>
      <w:r>
        <w:rPr>
          <w:rFonts w:ascii="Times New Roman" w:cs="Times New Roman" w:eastAsia="Times New Roman" w:hAnsi="Times New Roman"/>
          <w:sz w:val="18"/>
          <w:szCs w:val="18"/>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318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Rick L Wittenbraker</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0840"/>
          </w:cols>
          <w:pgMar w:left="240" w:top="266"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0540" w:type="dxa"/>
            <w:vAlign w:val="bottom"/>
            <w:gridSpan w:val="3"/>
          </w:tcPr>
          <w:p>
            <w:pPr>
              <w:ind w:left="43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0540" w:type="dxa"/>
            <w:vAlign w:val="bottom"/>
            <w:gridSpan w:val="3"/>
            <w:vMerge w:val="restart"/>
          </w:tcPr>
          <w:p>
            <w:pPr>
              <w:ind w:left="5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Underwriting Agreement dated May 5, 2014 by and among the Company, WM Holdings and Deutsche Bank Securities Inc., J.P. Morgan</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Securities LLC and RBS Securities Inc. as representatives of the several Underwriters named therein.</w:t>
            </w:r>
          </w:p>
        </w:tc>
        <w:tc>
          <w:tcPr>
            <w:tcW w:w="0" w:type="dxa"/>
            <w:vAlign w:val="bottom"/>
          </w:tcPr>
          <w:p>
            <w:pPr>
              <w:spacing w:after="0"/>
              <w:rPr>
                <w:sz w:val="1"/>
                <w:szCs w:val="1"/>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Indenture dated September 10, 1997 by and between the Company and The Bank of New York Mellon Trust Company, N.A. (the current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successor to Texas Commerce Bank National Association), as Trustee, relating to senior debt securities of the Company (incorporated by</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reference to Exhibit 4.1 to Current Report on Form 8-K filed September 24, 1997).</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Officers’ Certificate delivered pursuant to Section 301 of the Indenture establishing the terms and form of the Notes.</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Form of Note (included in Exhibit 4.2 above).</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Guarantee Agreement by WM Holdings in favor of the holders of Waste Management, Inc.’s 3.50% Senior Notes due 2024.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Opinion of Baker Botts L.L.P.</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00"/>
          </w:cols>
          <w:pgMar w:left="240" w:top="266" w:right="6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5"/>
          <w:szCs w:val="15"/>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$350,000,000 3.50% Senior Notes due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5, 2014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Deutsche Bank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RBS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Washington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 06901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Waste Management,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the several underwriters named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the principal amounts of its securities identified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 hereto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Mellon Trust Company, N.A. (as the current successor to the initial trustee, Texas Commerce Bank National Association), as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a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in favor of the holders of the Notes to be dated as of the Closing Date (as defined in Section 3 hereof). The Notes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Prospectus shall be deemed to refer to and include the documents incorporated by reference therein pursuant to Item 12 of Form S-3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filed under the Exchange Act on or before the Effective Date of the Registration Statement or the date of the Preliminary Prospectus or the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as the case may be; and any reference herein to the terms “amend,”</w:t>
      </w:r>
    </w:p>
    <w:p>
      <w:pPr>
        <w:sectPr>
          <w:pgSz w:w="11900" w:h="16838" w:orient="portrait"/>
          <w:cols w:equalWidth="0" w:num="1">
            <w:col w:w="11420"/>
          </w:cols>
          <w:pgMar w:left="240" w:top="117" w:right="239" w:bottom="1440" w:gutter="0" w:footer="0" w:header="0"/>
        </w:sectPr>
      </w:pPr>
    </w:p>
    <w:bookmarkStart w:id="5" w:name="page6"/>
    <w:bookmarkEnd w:id="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w:t>
      </w:r>
    </w:p>
    <w:p>
      <w:pPr>
        <w:spacing w:after="0" w:line="162" w:lineRule="exact"/>
        <w:rPr>
          <w:sz w:val="20"/>
          <w:szCs w:val="20"/>
          <w:color w:val="auto"/>
        </w:rPr>
      </w:pPr>
    </w:p>
    <w:p>
      <w:pPr>
        <w:ind w:right="20" w:firstLine="464"/>
        <w:spacing w:after="0" w:line="282"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 forth below in this Section 1.</w:t>
      </w:r>
    </w:p>
    <w:p>
      <w:pPr>
        <w:spacing w:after="0" w:line="53" w:lineRule="exact"/>
        <w:rPr>
          <w:rFonts w:ascii="Times New Roman" w:cs="Times New Roman" w:eastAsia="Times New Roman" w:hAnsi="Times New Roman"/>
          <w:sz w:val="18"/>
          <w:szCs w:val="18"/>
          <w:color w:val="auto"/>
        </w:rPr>
      </w:pPr>
    </w:p>
    <w:p>
      <w:pPr>
        <w:ind w:left="460" w:right="80" w:firstLine="443"/>
        <w:spacing w:after="0" w:line="254" w:lineRule="auto"/>
        <w:tabs>
          <w:tab w:leader="none" w:pos="114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the requirements for use of Form S-3 under the Act and has prepared and filed with the Commission a registration statement (File Number 333-184157) on Form S-3, including a related base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81" w:lineRule="exact"/>
        <w:rPr>
          <w:rFonts w:ascii="Times New Roman" w:cs="Times New Roman" w:eastAsia="Times New Roman" w:hAnsi="Times New Roman"/>
          <w:sz w:val="18"/>
          <w:szCs w:val="18"/>
          <w:color w:val="auto"/>
        </w:rPr>
      </w:pPr>
    </w:p>
    <w:p>
      <w:pPr>
        <w:ind w:left="460" w:firstLine="443"/>
        <w:spacing w:after="0" w:line="254" w:lineRule="auto"/>
        <w:tabs>
          <w:tab w:leader="none" w:pos="115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makes no representations or warranties as to (i) that part of the Registration Statement which shall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72" w:lineRule="exact"/>
        <w:rPr>
          <w:sz w:val="20"/>
          <w:szCs w:val="20"/>
          <w:color w:val="auto"/>
        </w:rPr>
      </w:pPr>
    </w:p>
    <w:p>
      <w:pPr>
        <w:ind w:right="20" w:firstLine="443"/>
        <w:spacing w:after="0" w:line="255" w:lineRule="auto"/>
        <w:tabs>
          <w:tab w:leader="none" w:pos="6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81" w:lineRule="exact"/>
        <w:rPr>
          <w:rFonts w:ascii="Times New Roman" w:cs="Times New Roman" w:eastAsia="Times New Roman" w:hAnsi="Times New Roman"/>
          <w:sz w:val="18"/>
          <w:szCs w:val="18"/>
          <w:color w:val="auto"/>
        </w:rPr>
      </w:pPr>
    </w:p>
    <w:p>
      <w:pPr>
        <w:ind w:right="40" w:firstLine="443"/>
        <w:spacing w:after="0" w:line="252" w:lineRule="auto"/>
        <w:tabs>
          <w:tab w:leader="none" w:pos="6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90" w:lineRule="exact"/>
        <w:rPr>
          <w:rFonts w:ascii="Times New Roman" w:cs="Times New Roman" w:eastAsia="Times New Roman" w:hAnsi="Times New Roman"/>
          <w:sz w:val="18"/>
          <w:szCs w:val="18"/>
          <w:color w:val="auto"/>
        </w:rPr>
      </w:pPr>
    </w:p>
    <w:p>
      <w:pPr>
        <w:ind w:firstLine="443"/>
        <w:spacing w:after="0" w:line="266" w:lineRule="auto"/>
        <w:tabs>
          <w:tab w:leader="none" w:pos="6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700" w:top="270" w:right="239" w:bottom="1440" w:gutter="0" w:footer="0" w:header="0"/>
        </w:sectPr>
      </w:pPr>
    </w:p>
    <w:bookmarkStart w:id="7" w:name="page8"/>
    <w:bookmarkEnd w:id="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80" w:lineRule="exact"/>
        <w:rPr>
          <w:sz w:val="20"/>
          <w:szCs w:val="20"/>
          <w:color w:val="auto"/>
        </w:rPr>
      </w:pPr>
    </w:p>
    <w:p>
      <w:pPr>
        <w:ind w:right="160" w:firstLine="443"/>
        <w:spacing w:after="0" w:line="256" w:lineRule="auto"/>
        <w:tabs>
          <w:tab w:leader="none" w:pos="6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79"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Times New Roman" w:cs="Times New Roman" w:eastAsia="Times New Roman" w:hAnsi="Times New Roman"/>
          <w:sz w:val="18"/>
          <w:szCs w:val="18"/>
          <w:color w:val="auto"/>
        </w:rPr>
      </w:pPr>
    </w:p>
    <w:p>
      <w:pPr>
        <w:ind w:right="60" w:firstLine="443"/>
        <w:spacing w:after="0" w:line="256" w:lineRule="auto"/>
        <w:tabs>
          <w:tab w:leader="none" w:pos="6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79" w:lineRule="exact"/>
        <w:rPr>
          <w:rFonts w:ascii="Times New Roman" w:cs="Times New Roman" w:eastAsia="Times New Roman" w:hAnsi="Times New Roman"/>
          <w:sz w:val="18"/>
          <w:szCs w:val="18"/>
          <w:color w:val="auto"/>
        </w:rPr>
      </w:pPr>
    </w:p>
    <w:p>
      <w:pPr>
        <w:ind w:right="20" w:firstLine="443"/>
        <w:spacing w:after="0" w:line="282" w:lineRule="auto"/>
        <w:tabs>
          <w:tab w:leader="none" w:pos="6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w:t>
      </w:r>
    </w:p>
    <w:p>
      <w:pPr>
        <w:spacing w:after="0" w:line="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0" w:right="2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right="160" w:firstLine="443"/>
        <w:spacing w:after="0" w:line="258"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75" w:lineRule="exact"/>
        <w:rPr>
          <w:rFonts w:ascii="Times New Roman" w:cs="Times New Roman" w:eastAsia="Times New Roman" w:hAnsi="Times New Roman"/>
          <w:sz w:val="18"/>
          <w:szCs w:val="18"/>
          <w:color w:val="auto"/>
        </w:rPr>
      </w:pPr>
    </w:p>
    <w:p>
      <w:pPr>
        <w:ind w:right="40" w:firstLine="443"/>
        <w:spacing w:after="0" w:line="255" w:lineRule="auto"/>
        <w:tabs>
          <w:tab w:leader="none" w:pos="6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2013,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81" w:lineRule="exact"/>
        <w:rPr>
          <w:rFonts w:ascii="Times New Roman" w:cs="Times New Roman" w:eastAsia="Times New Roman" w:hAnsi="Times New Roman"/>
          <w:sz w:val="18"/>
          <w:szCs w:val="18"/>
          <w:color w:val="auto"/>
        </w:rPr>
      </w:pPr>
    </w:p>
    <w:p>
      <w:pPr>
        <w:ind w:right="20" w:firstLine="443"/>
        <w:spacing w:after="0" w:line="255" w:lineRule="auto"/>
        <w:tabs>
          <w:tab w:leader="none" w:pos="6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1" w:lineRule="exact"/>
        <w:rPr>
          <w:rFonts w:ascii="Times New Roman" w:cs="Times New Roman" w:eastAsia="Times New Roman" w:hAnsi="Times New Roman"/>
          <w:sz w:val="18"/>
          <w:szCs w:val="18"/>
          <w:color w:val="auto"/>
        </w:rPr>
      </w:pPr>
    </w:p>
    <w:p>
      <w:pPr>
        <w:ind w:left="740" w:hanging="29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Holdings.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700" w:top="270" w:right="319" w:bottom="1440" w:gutter="0" w:footer="0" w:header="0"/>
        </w:sectPr>
      </w:pPr>
    </w:p>
    <w:bookmarkStart w:id="9" w:name="page10"/>
    <w:bookmarkEnd w:id="9"/>
    <w:p>
      <w:pPr>
        <w:ind w:firstLine="443"/>
        <w:spacing w:after="0" w:line="253"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84" w:lineRule="exact"/>
        <w:rPr>
          <w:rFonts w:ascii="Times New Roman" w:cs="Times New Roman" w:eastAsia="Times New Roman" w:hAnsi="Times New Roman"/>
          <w:sz w:val="18"/>
          <w:szCs w:val="18"/>
          <w:color w:val="auto"/>
        </w:rPr>
      </w:pPr>
    </w:p>
    <w:p>
      <w:pPr>
        <w:ind w:right="20" w:firstLine="443"/>
        <w:spacing w:after="0" w:line="255"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77"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700" w:top="270" w:right="239" w:bottom="1440" w:gutter="0" w:footer="0" w:header="0"/>
        </w:sectPr>
      </w:pPr>
    </w:p>
    <w:bookmarkStart w:id="10" w:name="page11"/>
    <w:bookmarkEnd w:id="10"/>
    <w:p>
      <w:pPr>
        <w:ind w:right="40" w:firstLine="443"/>
        <w:spacing w:after="0" w:line="258"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75" w:lineRule="exact"/>
        <w:rPr>
          <w:rFonts w:ascii="Times New Roman" w:cs="Times New Roman" w:eastAsia="Times New Roman" w:hAnsi="Times New Roman"/>
          <w:sz w:val="18"/>
          <w:szCs w:val="18"/>
          <w:color w:val="auto"/>
        </w:rPr>
      </w:pPr>
    </w:p>
    <w:p>
      <w:pPr>
        <w:ind w:right="20" w:firstLine="443"/>
        <w:spacing w:after="0" w:line="266" w:lineRule="auto"/>
        <w:tabs>
          <w:tab w:leader="none" w:pos="6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68" w:lineRule="exact"/>
        <w:rPr>
          <w:rFonts w:ascii="Times New Roman" w:cs="Times New Roman" w:eastAsia="Times New Roman" w:hAnsi="Times New Roman"/>
          <w:sz w:val="18"/>
          <w:szCs w:val="18"/>
          <w:color w:val="auto"/>
        </w:rPr>
      </w:pPr>
    </w:p>
    <w:p>
      <w:pPr>
        <w:ind w:right="20" w:firstLine="443"/>
        <w:spacing w:after="0" w:line="258" w:lineRule="auto"/>
        <w:tabs>
          <w:tab w:leader="none" w:pos="6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75" w:lineRule="exact"/>
        <w:rPr>
          <w:rFonts w:ascii="Times New Roman" w:cs="Times New Roman" w:eastAsia="Times New Roman" w:hAnsi="Times New Roman"/>
          <w:sz w:val="18"/>
          <w:szCs w:val="18"/>
          <w:color w:val="auto"/>
        </w:rPr>
      </w:pPr>
    </w:p>
    <w:p>
      <w:pPr>
        <w:ind w:right="120" w:firstLine="443"/>
        <w:spacing w:after="0" w:line="266" w:lineRule="auto"/>
        <w:tabs>
          <w:tab w:leader="none" w:pos="6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68" w:lineRule="exact"/>
        <w:rPr>
          <w:rFonts w:ascii="Times New Roman" w:cs="Times New Roman" w:eastAsia="Times New Roman" w:hAnsi="Times New Roman"/>
          <w:sz w:val="18"/>
          <w:szCs w:val="18"/>
          <w:color w:val="auto"/>
        </w:rPr>
      </w:pPr>
    </w:p>
    <w:p>
      <w:pPr>
        <w:ind w:right="140" w:firstLine="443"/>
        <w:spacing w:after="0" w:line="261"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1" w:lineRule="exact"/>
        <w:rPr>
          <w:rFonts w:ascii="Times New Roman" w:cs="Times New Roman" w:eastAsia="Times New Roman" w:hAnsi="Times New Roman"/>
          <w:sz w:val="18"/>
          <w:szCs w:val="18"/>
          <w:color w:val="auto"/>
        </w:rPr>
      </w:pPr>
    </w:p>
    <w:p>
      <w:pPr>
        <w:ind w:firstLine="443"/>
        <w:spacing w:after="0" w:line="255"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700" w:top="270" w:right="259" w:bottom="1440" w:gutter="0" w:footer="0" w:header="0"/>
        </w:sectPr>
      </w:pPr>
    </w:p>
    <w:bookmarkStart w:id="11" w:name="page12"/>
    <w:bookmarkEnd w:id="11"/>
    <w:p>
      <w:pPr>
        <w:ind w:right="40" w:firstLine="443"/>
        <w:spacing w:after="0" w:line="258" w:lineRule="auto"/>
        <w:tabs>
          <w:tab w:leader="none" w:pos="7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75" w:lineRule="exact"/>
        <w:rPr>
          <w:rFonts w:ascii="Times New Roman" w:cs="Times New Roman" w:eastAsia="Times New Roman" w:hAnsi="Times New Roman"/>
          <w:sz w:val="18"/>
          <w:szCs w:val="18"/>
          <w:color w:val="auto"/>
        </w:rPr>
      </w:pPr>
    </w:p>
    <w:p>
      <w:pPr>
        <w:jc w:val="both"/>
        <w:ind w:right="20" w:firstLine="443"/>
        <w:spacing w:after="0" w:line="261"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71" w:lineRule="exact"/>
        <w:rPr>
          <w:rFonts w:ascii="Times New Roman" w:cs="Times New Roman" w:eastAsia="Times New Roman" w:hAnsi="Times New Roman"/>
          <w:sz w:val="18"/>
          <w:szCs w:val="18"/>
          <w:color w:val="auto"/>
        </w:rPr>
      </w:pPr>
    </w:p>
    <w:p>
      <w:pPr>
        <w:ind w:right="20" w:firstLine="443"/>
        <w:spacing w:after="0" w:line="255"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Times New Roman" w:cs="Times New Roman" w:eastAsia="Times New Roman" w:hAnsi="Times New Roman"/>
          <w:sz w:val="18"/>
          <w:szCs w:val="18"/>
          <w:color w:val="auto"/>
        </w:rPr>
      </w:pPr>
    </w:p>
    <w:p>
      <w:pPr>
        <w:ind w:right="180" w:firstLine="443"/>
        <w:spacing w:after="0" w:line="261" w:lineRule="auto"/>
        <w:tabs>
          <w:tab w:leader="none" w:pos="6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2" w:lineRule="exact"/>
        <w:rPr>
          <w:sz w:val="20"/>
          <w:szCs w:val="20"/>
          <w:color w:val="auto"/>
        </w:rPr>
      </w:pPr>
    </w:p>
    <w:p>
      <w:pPr>
        <w:ind w:right="300" w:firstLine="443"/>
        <w:spacing w:after="0" w:line="276" w:lineRule="auto"/>
        <w:tabs>
          <w:tab w:leader="none" w:pos="763"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w:t>
      </w:r>
    </w:p>
    <w:p>
      <w:pPr>
        <w:ind w:firstLine="4"/>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policies of insurance insuring the Company or any of its Subsidiaries or their respective businesses, assets, employees, officers and directors are in full force and effect; (iii) the Company and its Subsidiaries are in compliance with the terms of such policies and instruments; (iv) there are no claims by</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700" w:top="270" w:right="239" w:bottom="1440" w:gutter="0" w:footer="0" w:header="0"/>
        </w:sectPr>
      </w:pPr>
    </w:p>
    <w:bookmarkStart w:id="12" w:name="page13"/>
    <w:bookmarkEnd w:id="1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81" w:lineRule="exact"/>
        <w:rPr>
          <w:sz w:val="20"/>
          <w:szCs w:val="20"/>
          <w:color w:val="auto"/>
        </w:rPr>
      </w:pPr>
    </w:p>
    <w:p>
      <w:pPr>
        <w:ind w:firstLine="443"/>
        <w:spacing w:after="0" w:line="261" w:lineRule="auto"/>
        <w:tabs>
          <w:tab w:leader="none" w:pos="7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71" w:lineRule="exact"/>
        <w:rPr>
          <w:rFonts w:ascii="Times New Roman" w:cs="Times New Roman" w:eastAsia="Times New Roman" w:hAnsi="Times New Roman"/>
          <w:sz w:val="18"/>
          <w:szCs w:val="18"/>
          <w:color w:val="auto"/>
        </w:rPr>
      </w:pPr>
    </w:p>
    <w:p>
      <w:pPr>
        <w:ind w:right="80" w:firstLine="443"/>
        <w:spacing w:after="0" w:line="256" w:lineRule="auto"/>
        <w:tabs>
          <w:tab w:leader="none" w:pos="7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rFonts w:ascii="Times New Roman" w:cs="Times New Roman" w:eastAsia="Times New Roman" w:hAnsi="Times New Roman"/>
          <w:sz w:val="18"/>
          <w:szCs w:val="18"/>
          <w:color w:val="auto"/>
        </w:rPr>
      </w:pPr>
    </w:p>
    <w:p>
      <w:pPr>
        <w:ind w:left="780" w:hanging="337"/>
        <w:spacing w:after="0"/>
        <w:tabs>
          <w:tab w:leader="none" w:pos="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right="180" w:firstLine="4"/>
        <w:spacing w:after="0" w:line="254"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7" w:lineRule="exact"/>
        <w:rPr>
          <w:rFonts w:ascii="Times New Roman" w:cs="Times New Roman" w:eastAsia="Times New Roman" w:hAnsi="Times New Roman"/>
          <w:sz w:val="18"/>
          <w:szCs w:val="18"/>
          <w:color w:val="auto"/>
        </w:rPr>
      </w:pPr>
    </w:p>
    <w:p>
      <w:pPr>
        <w:jc w:val="both"/>
        <w:ind w:right="100" w:firstLine="443"/>
        <w:spacing w:after="0" w:line="266" w:lineRule="auto"/>
        <w:tabs>
          <w:tab w:leader="none" w:pos="7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0" w:right="259" w:bottom="1440" w:gutter="0" w:footer="0" w:header="0"/>
        </w:sectPr>
      </w:pPr>
    </w:p>
    <w:bookmarkStart w:id="13" w:name="page14"/>
    <w:bookmarkEnd w:id="13"/>
    <w:p>
      <w:pPr>
        <w:ind w:right="60" w:firstLine="443"/>
        <w:spacing w:after="0" w:line="253"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82" w:lineRule="exact"/>
        <w:rPr>
          <w:rFonts w:ascii="Times New Roman" w:cs="Times New Roman" w:eastAsia="Times New Roman" w:hAnsi="Times New Roman"/>
          <w:sz w:val="18"/>
          <w:szCs w:val="18"/>
          <w:color w:val="auto"/>
        </w:rPr>
      </w:pPr>
    </w:p>
    <w:p>
      <w:pPr>
        <w:ind w:right="60" w:firstLine="443"/>
        <w:spacing w:after="0" w:line="255"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81" w:lineRule="exact"/>
        <w:rPr>
          <w:rFonts w:ascii="Times New Roman" w:cs="Times New Roman" w:eastAsia="Times New Roman" w:hAnsi="Times New Roman"/>
          <w:sz w:val="18"/>
          <w:szCs w:val="18"/>
          <w:color w:val="auto"/>
        </w:rPr>
      </w:pPr>
    </w:p>
    <w:p>
      <w:pPr>
        <w:ind w:right="20" w:firstLine="443"/>
        <w:spacing w:after="0" w:line="255" w:lineRule="auto"/>
        <w:tabs>
          <w:tab w:leader="none" w:pos="7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w:t>
      </w:r>
    </w:p>
    <w:p>
      <w:pPr>
        <w:spacing w:after="0" w:line="2"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700" w:top="270" w:right="259" w:bottom="1440" w:gutter="0" w:footer="0" w:header="0"/>
        </w:sectPr>
      </w:pPr>
    </w:p>
    <w:bookmarkStart w:id="14" w:name="page15"/>
    <w:bookmarkEnd w:id="14"/>
    <w:p>
      <w:pPr>
        <w:ind w:left="700" w:hanging="257"/>
        <w:spacing w:after="0"/>
        <w:tabs>
          <w:tab w:leader="none" w:pos="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holders of securities of the Company or Holdings have rights to the registration of such securities under the Registration Statement.</w:t>
      </w:r>
    </w:p>
    <w:p>
      <w:pPr>
        <w:spacing w:after="0" w:line="117" w:lineRule="exact"/>
        <w:rPr>
          <w:rFonts w:ascii="Times New Roman" w:cs="Times New Roman" w:eastAsia="Times New Roman" w:hAnsi="Times New Roman"/>
          <w:sz w:val="18"/>
          <w:szCs w:val="18"/>
          <w:color w:val="auto"/>
        </w:rPr>
      </w:pPr>
    </w:p>
    <w:p>
      <w:pPr>
        <w:ind w:right="200" w:firstLine="443"/>
        <w:spacing w:after="0" w:line="258" w:lineRule="auto"/>
        <w:tabs>
          <w:tab w:leader="none" w:pos="7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75" w:lineRule="exact"/>
        <w:rPr>
          <w:rFonts w:ascii="Times New Roman" w:cs="Times New Roman" w:eastAsia="Times New Roman" w:hAnsi="Times New Roman"/>
          <w:sz w:val="18"/>
          <w:szCs w:val="18"/>
          <w:color w:val="auto"/>
        </w:rPr>
      </w:pPr>
    </w:p>
    <w:p>
      <w:pPr>
        <w:ind w:left="780" w:hanging="337"/>
        <w:spacing w:after="0"/>
        <w:tabs>
          <w:tab w:leader="none" w:pos="7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which</w:t>
      </w:r>
    </w:p>
    <w:p>
      <w:pPr>
        <w:spacing w:after="0" w:line="27" w:lineRule="exact"/>
        <w:rPr>
          <w:rFonts w:ascii="Times New Roman" w:cs="Times New Roman" w:eastAsia="Times New Roman" w:hAnsi="Times New Roman"/>
          <w:sz w:val="18"/>
          <w:szCs w:val="18"/>
          <w:color w:val="auto"/>
        </w:rPr>
      </w:pPr>
    </w:p>
    <w:p>
      <w:pPr>
        <w:ind w:right="40" w:firstLine="4"/>
        <w:spacing w:after="0" w:line="252"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2013 and the Quarterly Report on Form 10-Q for the quarterly period ended March 31, 2014 was being prepared; (ii) have been evaluated for effectiveness as of the end of the periods covered by the Company’s Annual Report on Form 10-K for the year ended December 31, 2013 and the Quarterly Report on Form 10-Q for the quarterly period ended March 31, 2014 pursuant to Rule 13a-15 of the Exchange Act; and (iii) are effective to ensure that the Company is able to collect, process and disclose the information required to be disclosed in reports filed with the Commission within required time periods.</w:t>
      </w:r>
    </w:p>
    <w:p>
      <w:pPr>
        <w:spacing w:after="0" w:line="80" w:lineRule="exact"/>
        <w:rPr>
          <w:rFonts w:ascii="Times New Roman" w:cs="Times New Roman" w:eastAsia="Times New Roman" w:hAnsi="Times New Roman"/>
          <w:sz w:val="18"/>
          <w:szCs w:val="18"/>
          <w:color w:val="auto"/>
        </w:rPr>
      </w:pPr>
    </w:p>
    <w:p>
      <w:pPr>
        <w:ind w:right="40" w:firstLine="443"/>
        <w:spacing w:after="0" w:line="256" w:lineRule="auto"/>
        <w:tabs>
          <w:tab w:leader="none" w:pos="7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evaluation of its disclosure controls and procedures as of the end of the periods covered by the Annual Report on Form 10-K for the year ended December 31, 2013 and the Quarterly Report on Form 10-Q for the quarterly period ended March 31, 2014,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79" w:lineRule="exact"/>
        <w:rPr>
          <w:rFonts w:ascii="Times New Roman" w:cs="Times New Roman" w:eastAsia="Times New Roman" w:hAnsi="Times New Roman"/>
          <w:sz w:val="18"/>
          <w:szCs w:val="18"/>
          <w:color w:val="auto"/>
        </w:rPr>
      </w:pPr>
    </w:p>
    <w:p>
      <w:pPr>
        <w:ind w:firstLine="443"/>
        <w:spacing w:after="0" w:line="256" w:lineRule="auto"/>
        <w:tabs>
          <w:tab w:leader="none" w:pos="8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700" w:top="270" w:right="239" w:bottom="1440" w:gutter="0" w:footer="0" w:header="0"/>
        </w:sectPr>
      </w:pPr>
    </w:p>
    <w:bookmarkStart w:id="15" w:name="page16"/>
    <w:bookmarkEnd w:id="15"/>
    <w:p>
      <w:pPr>
        <w:ind w:right="560" w:firstLine="443"/>
        <w:spacing w:after="0" w:line="282"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March 31, 2014, there have been no significant changes in internal controls or in other factors that could significantly affect the Company’s internal controls over financial reporting.</w:t>
      </w:r>
    </w:p>
    <w:p>
      <w:pPr>
        <w:spacing w:after="0" w:line="51" w:lineRule="exact"/>
        <w:rPr>
          <w:rFonts w:ascii="Times New Roman" w:cs="Times New Roman" w:eastAsia="Times New Roman" w:hAnsi="Times New Roman"/>
          <w:sz w:val="18"/>
          <w:szCs w:val="18"/>
          <w:color w:val="auto"/>
        </w:rPr>
      </w:pPr>
    </w:p>
    <w:p>
      <w:pPr>
        <w:ind w:right="480" w:firstLine="443"/>
        <w:spacing w:after="0" w:line="284"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guarantees made in the ordinary course of business.</w:t>
      </w:r>
    </w:p>
    <w:p>
      <w:pPr>
        <w:spacing w:after="0" w:line="52" w:lineRule="exact"/>
        <w:rPr>
          <w:rFonts w:ascii="Times New Roman" w:cs="Times New Roman" w:eastAsia="Times New Roman" w:hAnsi="Times New Roman"/>
          <w:sz w:val="18"/>
          <w:szCs w:val="18"/>
          <w:color w:val="auto"/>
        </w:rPr>
      </w:pPr>
    </w:p>
    <w:p>
      <w:pPr>
        <w:ind w:right="60" w:firstLine="443"/>
        <w:spacing w:after="0" w:line="282"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53" w:lineRule="exact"/>
        <w:rPr>
          <w:rFonts w:ascii="Times New Roman" w:cs="Times New Roman" w:eastAsia="Times New Roman" w:hAnsi="Times New Roman"/>
          <w:sz w:val="18"/>
          <w:szCs w:val="18"/>
          <w:color w:val="auto"/>
        </w:rPr>
      </w:pPr>
    </w:p>
    <w:p>
      <w:pPr>
        <w:ind w:firstLine="443"/>
        <w:spacing w:after="0" w:line="254" w:lineRule="auto"/>
        <w:tabs>
          <w:tab w:leader="none" w:pos="7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1" w:lineRule="exact"/>
        <w:rPr>
          <w:rFonts w:ascii="Times New Roman" w:cs="Times New Roman" w:eastAsia="Times New Roman" w:hAnsi="Times New Roman"/>
          <w:sz w:val="18"/>
          <w:szCs w:val="18"/>
          <w:color w:val="auto"/>
        </w:rPr>
      </w:pPr>
    </w:p>
    <w:p>
      <w:pPr>
        <w:ind w:firstLine="443"/>
        <w:spacing w:after="0" w:line="258" w:lineRule="auto"/>
        <w:tabs>
          <w:tab w:leader="none" w:pos="7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75" w:lineRule="exact"/>
        <w:rPr>
          <w:rFonts w:ascii="Times New Roman" w:cs="Times New Roman" w:eastAsia="Times New Roman" w:hAnsi="Times New Roman"/>
          <w:sz w:val="18"/>
          <w:szCs w:val="18"/>
          <w:color w:val="auto"/>
        </w:rPr>
      </w:pPr>
    </w:p>
    <w:p>
      <w:pPr>
        <w:ind w:right="40" w:firstLine="443"/>
        <w:spacing w:after="0" w:line="256" w:lineRule="auto"/>
        <w:tabs>
          <w:tab w:leader="none" w:pos="7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700" w:top="270" w:right="239" w:bottom="1440" w:gutter="0" w:footer="0" w:header="0"/>
        </w:sectPr>
      </w:pPr>
    </w:p>
    <w:bookmarkStart w:id="16" w:name="page17"/>
    <w:bookmarkEnd w:id="16"/>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76" w:lineRule="exact"/>
        <w:rPr>
          <w:sz w:val="20"/>
          <w:szCs w:val="20"/>
          <w:color w:val="auto"/>
        </w:rPr>
      </w:pPr>
    </w:p>
    <w:p>
      <w:pPr>
        <w:ind w:left="640" w:hanging="17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99.098% of the principal amount of the 3.50% Senior Notes due 2024 plus accrued interest, if any, from May 8, 2014 to the Closing Date, the principal amount of the Notes set forth opposite such Underwriter’s name in Schedule II hereto.</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5" w:lineRule="exact"/>
        <w:rPr>
          <w:sz w:val="20"/>
          <w:szCs w:val="20"/>
          <w:color w:val="auto"/>
        </w:rPr>
      </w:pPr>
    </w:p>
    <w:p>
      <w:pPr>
        <w:ind w:right="80" w:firstLine="464"/>
        <w:spacing w:after="0" w:line="255"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89" w:lineRule="exact"/>
        <w:rPr>
          <w:rFonts w:ascii="Times New Roman" w:cs="Times New Roman" w:eastAsia="Times New Roman" w:hAnsi="Times New Roman"/>
          <w:sz w:val="18"/>
          <w:szCs w:val="18"/>
          <w:color w:val="auto"/>
        </w:rPr>
      </w:pPr>
    </w:p>
    <w:p>
      <w:pPr>
        <w:ind w:right="560" w:firstLine="464"/>
        <w:spacing w:after="0" w:line="282"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0" w:right="259" w:bottom="1440" w:gutter="0" w:footer="0" w:header="0"/>
        </w:sectPr>
      </w:pPr>
    </w:p>
    <w:bookmarkStart w:id="17" w:name="page18"/>
    <w:bookmarkEnd w:id="17"/>
    <w:p>
      <w:pPr>
        <w:ind w:left="180" w:hanging="176"/>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w:t>
      </w:r>
      <w:r>
        <w:rPr>
          <w:rFonts w:ascii="Times New Roman" w:cs="Times New Roman" w:eastAsia="Times New Roman" w:hAnsi="Times New Roman"/>
          <w:sz w:val="18"/>
          <w:szCs w:val="18"/>
          <w:color w:val="auto"/>
        </w:rPr>
        <w:t>.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right="100" w:firstLine="443"/>
        <w:spacing w:after="0" w:line="254" w:lineRule="auto"/>
        <w:tabs>
          <w:tab w:leader="none" w:pos="6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81" w:lineRule="exact"/>
        <w:rPr>
          <w:rFonts w:ascii="Times New Roman" w:cs="Times New Roman" w:eastAsia="Times New Roman" w:hAnsi="Times New Roman"/>
          <w:sz w:val="18"/>
          <w:szCs w:val="18"/>
          <w:color w:val="auto"/>
        </w:rPr>
      </w:pPr>
    </w:p>
    <w:p>
      <w:pPr>
        <w:ind w:right="160" w:firstLine="443"/>
        <w:spacing w:after="0" w:line="255" w:lineRule="auto"/>
        <w:tabs>
          <w:tab w:leader="none" w:pos="69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81" w:lineRule="exact"/>
        <w:rPr>
          <w:rFonts w:ascii="Times New Roman" w:cs="Times New Roman" w:eastAsia="Times New Roman" w:hAnsi="Times New Roman"/>
          <w:sz w:val="18"/>
          <w:szCs w:val="18"/>
          <w:color w:val="auto"/>
        </w:rPr>
      </w:pPr>
    </w:p>
    <w:p>
      <w:pPr>
        <w:ind w:firstLine="443"/>
        <w:spacing w:after="0" w:line="253" w:lineRule="auto"/>
        <w:tabs>
          <w:tab w:leader="none" w:pos="6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700" w:top="270" w:right="239" w:bottom="1440" w:gutter="0" w:footer="0" w:header="0"/>
        </w:sectPr>
      </w:pPr>
    </w:p>
    <w:bookmarkStart w:id="18" w:name="page19"/>
    <w:bookmarkEnd w:id="18"/>
    <w:p>
      <w:pPr>
        <w:ind w:right="180" w:firstLine="443"/>
        <w:spacing w:after="0" w:line="270" w:lineRule="auto"/>
        <w:tabs>
          <w:tab w:leader="none" w:pos="693"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w:t>
      </w:r>
    </w:p>
    <w:p>
      <w:pPr>
        <w:spacing w:after="0" w:line="2" w:lineRule="exact"/>
        <w:rPr>
          <w:rFonts w:ascii="Times New Roman" w:cs="Times New Roman" w:eastAsia="Times New Roman" w:hAnsi="Times New Roman"/>
          <w:sz w:val="17"/>
          <w:szCs w:val="17"/>
          <w:color w:val="auto"/>
        </w:rPr>
      </w:pPr>
    </w:p>
    <w:p>
      <w:pPr>
        <w:ind w:right="100" w:firstLine="4"/>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78" w:lineRule="exact"/>
        <w:rPr>
          <w:rFonts w:ascii="Times New Roman" w:cs="Times New Roman" w:eastAsia="Times New Roman" w:hAnsi="Times New Roman"/>
          <w:sz w:val="18"/>
          <w:szCs w:val="18"/>
          <w:color w:val="auto"/>
        </w:rPr>
      </w:pPr>
    </w:p>
    <w:p>
      <w:pPr>
        <w:jc w:val="both"/>
        <w:ind w:firstLine="443"/>
        <w:spacing w:after="0" w:line="270" w:lineRule="auto"/>
        <w:tabs>
          <w:tab w:leader="none" w:pos="68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w:t>
      </w:r>
    </w:p>
    <w:p>
      <w:pPr>
        <w:spacing w:after="0" w:line="2" w:lineRule="exact"/>
        <w:rPr>
          <w:rFonts w:ascii="Times New Roman" w:cs="Times New Roman" w:eastAsia="Times New Roman" w:hAnsi="Times New Roman"/>
          <w:sz w:val="17"/>
          <w:szCs w:val="17"/>
          <w:color w:val="auto"/>
        </w:rPr>
      </w:pPr>
    </w:p>
    <w:p>
      <w:pPr>
        <w:ind w:right="2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77" w:lineRule="exact"/>
        <w:rPr>
          <w:rFonts w:ascii="Times New Roman" w:cs="Times New Roman" w:eastAsia="Times New Roman" w:hAnsi="Times New Roman"/>
          <w:sz w:val="17"/>
          <w:szCs w:val="17"/>
          <w:color w:val="auto"/>
        </w:rPr>
      </w:pPr>
    </w:p>
    <w:p>
      <w:pPr>
        <w:ind w:right="120" w:firstLine="443"/>
        <w:spacing w:after="0" w:line="282" w:lineRule="auto"/>
        <w:tabs>
          <w:tab w:leader="none" w:pos="66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53" w:lineRule="exact"/>
        <w:rPr>
          <w:rFonts w:ascii="Times New Roman" w:cs="Times New Roman" w:eastAsia="Times New Roman" w:hAnsi="Times New Roman"/>
          <w:sz w:val="18"/>
          <w:szCs w:val="18"/>
          <w:color w:val="auto"/>
        </w:rPr>
      </w:pPr>
    </w:p>
    <w:p>
      <w:pPr>
        <w:ind w:firstLine="443"/>
        <w:spacing w:after="0" w:line="258" w:lineRule="auto"/>
        <w:tabs>
          <w:tab w:leader="none" w:pos="6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700" w:top="270" w:right="239" w:bottom="1440" w:gutter="0" w:footer="0" w:header="0"/>
        </w:sectPr>
      </w:pPr>
    </w:p>
    <w:bookmarkStart w:id="19" w:name="page20"/>
    <w:bookmarkEnd w:id="19"/>
    <w:p>
      <w:pPr>
        <w:ind w:right="100" w:firstLine="443"/>
        <w:spacing w:after="0" w:line="258" w:lineRule="auto"/>
        <w:tabs>
          <w:tab w:leader="none" w:pos="69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75" w:lineRule="exact"/>
        <w:rPr>
          <w:rFonts w:ascii="Times New Roman" w:cs="Times New Roman" w:eastAsia="Times New Roman" w:hAnsi="Times New Roman"/>
          <w:sz w:val="18"/>
          <w:szCs w:val="18"/>
          <w:color w:val="auto"/>
        </w:rPr>
      </w:pPr>
    </w:p>
    <w:p>
      <w:pPr>
        <w:ind w:right="20" w:firstLine="443"/>
        <w:spacing w:after="0" w:line="255" w:lineRule="auto"/>
        <w:tabs>
          <w:tab w:leader="none" w:pos="6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June 5, 2014.</w:t>
      </w:r>
    </w:p>
    <w:p>
      <w:pPr>
        <w:spacing w:after="0" w:line="81" w:lineRule="exact"/>
        <w:rPr>
          <w:rFonts w:ascii="Times New Roman" w:cs="Times New Roman" w:eastAsia="Times New Roman" w:hAnsi="Times New Roman"/>
          <w:sz w:val="18"/>
          <w:szCs w:val="18"/>
          <w:color w:val="auto"/>
        </w:rPr>
      </w:pPr>
    </w:p>
    <w:p>
      <w:pPr>
        <w:ind w:right="40" w:firstLine="443"/>
        <w:spacing w:after="0" w:line="266" w:lineRule="auto"/>
        <w:tabs>
          <w:tab w:leader="none" w:pos="6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68" w:lineRule="exact"/>
        <w:rPr>
          <w:rFonts w:ascii="Times New Roman" w:cs="Times New Roman" w:eastAsia="Times New Roman" w:hAnsi="Times New Roman"/>
          <w:sz w:val="18"/>
          <w:szCs w:val="18"/>
          <w:color w:val="auto"/>
        </w:rPr>
      </w:pPr>
    </w:p>
    <w:p>
      <w:pPr>
        <w:ind w:firstLine="443"/>
        <w:spacing w:after="0" w:line="282" w:lineRule="auto"/>
        <w:tabs>
          <w:tab w:leader="none" w:pos="69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61"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7" w:lineRule="exact"/>
        <w:rPr>
          <w:rFonts w:ascii="Times New Roman" w:cs="Times New Roman" w:eastAsia="Times New Roman" w:hAnsi="Times New Roman"/>
          <w:sz w:val="18"/>
          <w:szCs w:val="18"/>
          <w:color w:val="auto"/>
        </w:rPr>
      </w:pPr>
    </w:p>
    <w:p>
      <w:pPr>
        <w:ind w:left="680" w:hanging="237"/>
        <w:spacing w:after="0"/>
        <w:tabs>
          <w:tab w:leader="none" w:pos="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w:t>
      </w:r>
    </w:p>
    <w:p>
      <w:pPr>
        <w:spacing w:after="0" w:line="27" w:lineRule="exact"/>
        <w:rPr>
          <w:rFonts w:ascii="Times New Roman" w:cs="Times New Roman" w:eastAsia="Times New Roman" w:hAnsi="Times New Roman"/>
          <w:sz w:val="18"/>
          <w:szCs w:val="18"/>
          <w:color w:val="auto"/>
        </w:rPr>
      </w:pPr>
    </w:p>
    <w:p>
      <w:pPr>
        <w:ind w:firstLine="4"/>
        <w:spacing w:after="0" w:line="252"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a term sheet substantially in the form of Schedule I hereto without the consent of the Company.</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700" w:top="270" w:right="259" w:bottom="1440" w:gutter="0" w:footer="0" w:header="0"/>
        </w:sectPr>
      </w:pPr>
    </w:p>
    <w:bookmarkStart w:id="20" w:name="page21"/>
    <w:bookmarkEnd w:id="20"/>
    <w:p>
      <w:pPr>
        <w:ind w:left="440" w:right="80" w:firstLine="443"/>
        <w:spacing w:after="0" w:line="282" w:lineRule="auto"/>
        <w:tabs>
          <w:tab w:leader="none" w:pos="11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subject to any pending proceeding under Section 8A of the Act with respect to the offering (and will promptly notify the Company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jc w:val="both"/>
        <w:ind w:left="-20" w:right="80" w:firstLine="464"/>
        <w:spacing w:after="0" w:line="261" w:lineRule="auto"/>
        <w:tabs>
          <w:tab w:leader="none" w:pos="6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the Obligations of the Underwriters.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71" w:lineRule="exact"/>
        <w:rPr>
          <w:rFonts w:ascii="Times New Roman" w:cs="Times New Roman" w:eastAsia="Times New Roman" w:hAnsi="Times New Roman"/>
          <w:sz w:val="18"/>
          <w:szCs w:val="18"/>
          <w:color w:val="auto"/>
        </w:rPr>
      </w:pPr>
    </w:p>
    <w:p>
      <w:pPr>
        <w:ind w:left="440" w:firstLine="443"/>
        <w:spacing w:after="0" w:line="256" w:lineRule="auto"/>
        <w:tabs>
          <w:tab w:leader="none" w:pos="112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79" w:lineRule="exact"/>
        <w:rPr>
          <w:rFonts w:ascii="Times New Roman" w:cs="Times New Roman" w:eastAsia="Times New Roman" w:hAnsi="Times New Roman"/>
          <w:sz w:val="18"/>
          <w:szCs w:val="18"/>
          <w:color w:val="auto"/>
        </w:rPr>
      </w:pPr>
    </w:p>
    <w:p>
      <w:pPr>
        <w:ind w:left="440" w:right="780" w:firstLine="443"/>
        <w:spacing w:after="0" w:line="282" w:lineRule="auto"/>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53" w:lineRule="exact"/>
        <w:rPr>
          <w:rFonts w:ascii="Times New Roman" w:cs="Times New Roman" w:eastAsia="Times New Roman" w:hAnsi="Times New Roman"/>
          <w:sz w:val="18"/>
          <w:szCs w:val="18"/>
          <w:color w:val="auto"/>
        </w:rPr>
      </w:pPr>
    </w:p>
    <w:p>
      <w:pPr>
        <w:ind w:left="900" w:firstLine="421"/>
        <w:spacing w:after="0" w:line="261" w:lineRule="auto"/>
        <w:tabs>
          <w:tab w:leader="none" w:pos="153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1" w:lineRule="exact"/>
        <w:rPr>
          <w:rFonts w:ascii="Times New Roman" w:cs="Times New Roman" w:eastAsia="Times New Roman" w:hAnsi="Times New Roman"/>
          <w:sz w:val="18"/>
          <w:szCs w:val="18"/>
          <w:color w:val="auto"/>
        </w:rPr>
      </w:pPr>
    </w:p>
    <w:p>
      <w:pPr>
        <w:ind w:left="1580" w:hanging="259"/>
        <w:spacing w:after="0"/>
        <w:tabs>
          <w:tab w:leader="none" w:pos="15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Holdings;</w:t>
      </w:r>
    </w:p>
    <w:p>
      <w:pPr>
        <w:spacing w:after="0" w:line="117" w:lineRule="exact"/>
        <w:rPr>
          <w:rFonts w:ascii="Times New Roman" w:cs="Times New Roman" w:eastAsia="Times New Roman" w:hAnsi="Times New Roman"/>
          <w:sz w:val="18"/>
          <w:szCs w:val="18"/>
          <w:color w:val="auto"/>
        </w:rPr>
      </w:pPr>
    </w:p>
    <w:p>
      <w:pPr>
        <w:ind w:left="900" w:right="80" w:firstLine="421"/>
        <w:spacing w:after="0" w:line="256" w:lineRule="auto"/>
        <w:tabs>
          <w:tab w:leader="none" w:pos="163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60" w:top="270" w:right="259" w:bottom="1440" w:gutter="0" w:footer="0" w:header="0"/>
        </w:sectPr>
      </w:pPr>
    </w:p>
    <w:bookmarkStart w:id="21" w:name="page22"/>
    <w:bookmarkEnd w:id="21"/>
    <w:p>
      <w:pPr>
        <w:ind w:left="-280" w:right="60" w:firstLine="421"/>
        <w:spacing w:after="0" w:line="255" w:lineRule="auto"/>
        <w:tabs>
          <w:tab w:leader="none" w:pos="4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global certificate representing the Notes is in a form authorized by the Indenture, the Notes have been duly authorized by the Company and, assuming the global certificate representing the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77" w:lineRule="exact"/>
        <w:rPr>
          <w:rFonts w:ascii="Times New Roman" w:cs="Times New Roman" w:eastAsia="Times New Roman" w:hAnsi="Times New Roman"/>
          <w:sz w:val="18"/>
          <w:szCs w:val="18"/>
          <w:color w:val="auto"/>
        </w:rPr>
      </w:pPr>
    </w:p>
    <w:p>
      <w:pPr>
        <w:ind w:left="-280" w:right="380" w:firstLine="421"/>
        <w:spacing w:after="0" w:line="255" w:lineRule="auto"/>
        <w:tabs>
          <w:tab w:leader="none" w:pos="3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 has been duly authorized, executed and delivered by Holdings and, assuming the global certificate representing the Notes has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77" w:lineRule="exact"/>
        <w:rPr>
          <w:rFonts w:ascii="Times New Roman" w:cs="Times New Roman" w:eastAsia="Times New Roman" w:hAnsi="Times New Roman"/>
          <w:sz w:val="18"/>
          <w:szCs w:val="18"/>
          <w:color w:val="auto"/>
        </w:rPr>
      </w:pPr>
    </w:p>
    <w:p>
      <w:pPr>
        <w:ind w:left="440" w:hanging="299"/>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w:t>
      </w:r>
    </w:p>
    <w:p>
      <w:pPr>
        <w:spacing w:after="0" w:line="117" w:lineRule="exact"/>
        <w:rPr>
          <w:rFonts w:ascii="Times New Roman" w:cs="Times New Roman" w:eastAsia="Times New Roman" w:hAnsi="Times New Roman"/>
          <w:sz w:val="18"/>
          <w:szCs w:val="18"/>
          <w:color w:val="auto"/>
        </w:rPr>
      </w:pPr>
    </w:p>
    <w:p>
      <w:pPr>
        <w:ind w:left="-280" w:right="660" w:firstLine="421"/>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53" w:lineRule="exact"/>
        <w:rPr>
          <w:rFonts w:ascii="Times New Roman" w:cs="Times New Roman" w:eastAsia="Times New Roman" w:hAnsi="Times New Roman"/>
          <w:sz w:val="18"/>
          <w:szCs w:val="18"/>
          <w:color w:val="auto"/>
        </w:rPr>
      </w:pPr>
    </w:p>
    <w:p>
      <w:pPr>
        <w:ind w:left="-280" w:firstLine="421"/>
        <w:spacing w:after="0" w:line="261" w:lineRule="auto"/>
        <w:tabs>
          <w:tab w:leader="none" w:pos="5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20"/>
          </w:cols>
          <w:pgMar w:left="1440" w:top="270" w:right="239" w:bottom="1440" w:gutter="0" w:footer="0" w:header="0"/>
        </w:sectPr>
      </w:pPr>
    </w:p>
    <w:bookmarkStart w:id="22" w:name="page23"/>
    <w:bookmarkEnd w:id="22"/>
    <w:p>
      <w:pPr>
        <w:ind w:left="460" w:right="300" w:firstLine="421"/>
        <w:spacing w:after="0" w:line="266" w:lineRule="auto"/>
        <w:tabs>
          <w:tab w:leader="none" w:pos="11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68" w:lineRule="exact"/>
        <w:rPr>
          <w:rFonts w:ascii="Times New Roman" w:cs="Times New Roman" w:eastAsia="Times New Roman" w:hAnsi="Times New Roman"/>
          <w:sz w:val="18"/>
          <w:szCs w:val="18"/>
          <w:color w:val="auto"/>
        </w:rPr>
      </w:pPr>
    </w:p>
    <w:p>
      <w:pPr>
        <w:ind w:left="460" w:right="40" w:firstLine="421"/>
        <w:spacing w:after="0" w:line="255" w:lineRule="auto"/>
        <w:tabs>
          <w:tab w:leader="none" w:pos="1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 and</w:t>
      </w:r>
    </w:p>
    <w:p>
      <w:pPr>
        <w:spacing w:after="0" w:line="81" w:lineRule="exact"/>
        <w:rPr>
          <w:rFonts w:ascii="Times New Roman" w:cs="Times New Roman" w:eastAsia="Times New Roman" w:hAnsi="Times New Roman"/>
          <w:sz w:val="18"/>
          <w:szCs w:val="18"/>
          <w:color w:val="auto"/>
        </w:rPr>
      </w:pPr>
    </w:p>
    <w:p>
      <w:pPr>
        <w:ind w:left="460" w:right="200" w:firstLine="421"/>
        <w:spacing w:after="0" w:line="282" w:lineRule="auto"/>
        <w:tabs>
          <w:tab w:leader="none" w:pos="11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Holdings is an “investment company” or an entity “controlled” by an “investment company,” as such terms are defined in the 1940 Act.</w:t>
      </w:r>
    </w:p>
    <w:p>
      <w:pPr>
        <w:spacing w:after="0" w:line="54" w:lineRule="exact"/>
        <w:rPr>
          <w:sz w:val="20"/>
          <w:szCs w:val="20"/>
          <w:color w:val="auto"/>
        </w:rPr>
      </w:pPr>
    </w:p>
    <w:p>
      <w:pPr>
        <w:ind w:firstLine="438"/>
        <w:spacing w:after="0" w:line="267" w:lineRule="auto"/>
        <w:rPr>
          <w:sz w:val="20"/>
          <w:szCs w:val="20"/>
          <w:color w:val="auto"/>
        </w:rPr>
      </w:pPr>
      <w:r>
        <w:rPr>
          <w:rFonts w:ascii="Times New Roman" w:cs="Times New Roman" w:eastAsia="Times New Roman" w:hAnsi="Times New Roman"/>
          <w:sz w:val="17"/>
          <w:szCs w:val="17"/>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w:t>
      </w:r>
    </w:p>
    <w:p>
      <w:pPr>
        <w:spacing w:after="0" w:line="6" w:lineRule="exact"/>
        <w:rPr>
          <w:sz w:val="20"/>
          <w:szCs w:val="20"/>
          <w:color w:val="auto"/>
        </w:rPr>
      </w:pPr>
    </w:p>
    <w:p>
      <w:pPr>
        <w:ind w:right="40" w:firstLine="4"/>
        <w:spacing w:after="0" w:line="253" w:lineRule="auto"/>
        <w:tabs>
          <w:tab w:leader="none" w:pos="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a material fact or omitted to state a material fact required to be stated therein or necessary to make the statements therein not misleading;</w:t>
      </w:r>
    </w:p>
    <w:p>
      <w:pPr>
        <w:spacing w:after="0" w:line="27" w:lineRule="exact"/>
        <w:rPr>
          <w:sz w:val="20"/>
          <w:szCs w:val="20"/>
          <w:color w:val="auto"/>
        </w:rPr>
      </w:pPr>
    </w:p>
    <w:p>
      <w:pPr>
        <w:ind w:firstLine="4"/>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80"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72" w:lineRule="exact"/>
        <w:rPr>
          <w:sz w:val="20"/>
          <w:szCs w:val="20"/>
          <w:color w:val="auto"/>
        </w:rPr>
      </w:pPr>
    </w:p>
    <w:p>
      <w:pPr>
        <w:ind w:right="260" w:firstLine="443"/>
        <w:spacing w:after="0" w:line="282" w:lineRule="auto"/>
        <w:tabs>
          <w:tab w:leader="none" w:pos="6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53" w:lineRule="exact"/>
        <w:rPr>
          <w:rFonts w:ascii="Times New Roman" w:cs="Times New Roman" w:eastAsia="Times New Roman" w:hAnsi="Times New Roman"/>
          <w:sz w:val="18"/>
          <w:szCs w:val="18"/>
          <w:color w:val="auto"/>
        </w:rPr>
      </w:pPr>
    </w:p>
    <w:p>
      <w:pPr>
        <w:ind w:left="460" w:firstLine="421"/>
        <w:spacing w:after="0" w:line="255" w:lineRule="auto"/>
        <w:tabs>
          <w:tab w:leader="none" w:pos="10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77" w:lineRule="exact"/>
        <w:rPr>
          <w:rFonts w:ascii="Times New Roman" w:cs="Times New Roman" w:eastAsia="Times New Roman" w:hAnsi="Times New Roman"/>
          <w:sz w:val="18"/>
          <w:szCs w:val="18"/>
          <w:color w:val="auto"/>
        </w:rPr>
      </w:pPr>
    </w:p>
    <w:p>
      <w:pPr>
        <w:ind w:left="460" w:right="240" w:firstLine="421"/>
        <w:spacing w:after="0" w:line="266" w:lineRule="auto"/>
        <w:tabs>
          <w:tab w:leader="none" w:pos="11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Time of Sale Information and the Final Prospectus (other than the financial statements, related schedules and other financial data included therein or omitted therefrom, as to which such counsel need express no opinion, and except to the extent that any statement therein is modified or superseded in the Time of</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700" w:top="270" w:right="259" w:bottom="1440" w:gutter="0" w:footer="0" w:header="0"/>
        </w:sectPr>
      </w:pPr>
    </w:p>
    <w:bookmarkStart w:id="24" w:name="page25"/>
    <w:bookmarkEnd w:id="24"/>
    <w:p>
      <w:pPr>
        <w:ind w:left="46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68" w:lineRule="exact"/>
        <w:rPr>
          <w:sz w:val="20"/>
          <w:szCs w:val="20"/>
          <w:color w:val="auto"/>
        </w:rPr>
      </w:pPr>
    </w:p>
    <w:p>
      <w:pPr>
        <w:jc w:val="both"/>
        <w:ind w:left="460" w:right="100" w:firstLine="421"/>
        <w:spacing w:after="0" w:line="261" w:lineRule="auto"/>
        <w:tabs>
          <w:tab w:leader="none" w:pos="11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71" w:lineRule="exact"/>
        <w:rPr>
          <w:rFonts w:ascii="Times New Roman" w:cs="Times New Roman" w:eastAsia="Times New Roman" w:hAnsi="Times New Roman"/>
          <w:sz w:val="18"/>
          <w:szCs w:val="18"/>
          <w:color w:val="auto"/>
        </w:rPr>
      </w:pPr>
    </w:p>
    <w:p>
      <w:pPr>
        <w:ind w:left="460" w:firstLine="421"/>
        <w:spacing w:after="0" w:line="281" w:lineRule="auto"/>
        <w:tabs>
          <w:tab w:leader="none" w:pos="118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56" w:lineRule="exact"/>
        <w:rPr>
          <w:rFonts w:ascii="Times New Roman" w:cs="Times New Roman" w:eastAsia="Times New Roman" w:hAnsi="Times New Roman"/>
          <w:sz w:val="17"/>
          <w:szCs w:val="17"/>
          <w:color w:val="auto"/>
        </w:rPr>
      </w:pPr>
    </w:p>
    <w:p>
      <w:pPr>
        <w:ind w:left="460" w:right="620" w:firstLine="421"/>
        <w:spacing w:after="0" w:line="282" w:lineRule="auto"/>
        <w:tabs>
          <w:tab w:leader="none" w:pos="11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does not know of any holders of securities of the Company or Holdings that have rights to the registration of such securities under the Registration Statement; and</w:t>
      </w:r>
    </w:p>
    <w:p>
      <w:pPr>
        <w:spacing w:after="0" w:line="53" w:lineRule="exact"/>
        <w:rPr>
          <w:rFonts w:ascii="Times New Roman" w:cs="Times New Roman" w:eastAsia="Times New Roman" w:hAnsi="Times New Roman"/>
          <w:sz w:val="18"/>
          <w:szCs w:val="18"/>
          <w:color w:val="auto"/>
        </w:rPr>
      </w:pPr>
    </w:p>
    <w:p>
      <w:pPr>
        <w:ind w:left="460" w:firstLine="421"/>
        <w:spacing w:after="0" w:line="255" w:lineRule="auto"/>
        <w:tabs>
          <w:tab w:leader="none" w:pos="11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the Notes, the Guarantee Agreement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77" w:lineRule="exact"/>
        <w:rPr>
          <w:rFonts w:ascii="Times New Roman" w:cs="Times New Roman" w:eastAsia="Times New Roman" w:hAnsi="Times New Roman"/>
          <w:sz w:val="18"/>
          <w:szCs w:val="18"/>
          <w:color w:val="auto"/>
        </w:rPr>
      </w:pPr>
    </w:p>
    <w:p>
      <w:pPr>
        <w:ind w:firstLine="443"/>
        <w:spacing w:after="0" w:line="258" w:lineRule="auto"/>
        <w:tabs>
          <w:tab w:leader="none" w:pos="6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700" w:top="270" w:right="279" w:bottom="1440" w:gutter="0" w:footer="0" w:header="0"/>
        </w:sectPr>
      </w:pPr>
    </w:p>
    <w:bookmarkStart w:id="25" w:name="page26"/>
    <w:bookmarkEnd w:id="25"/>
    <w:p>
      <w:pPr>
        <w:ind w:right="80" w:firstLine="443"/>
        <w:spacing w:after="0" w:line="261" w:lineRule="auto"/>
        <w:tabs>
          <w:tab w:leader="none" w:pos="6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71" w:lineRule="exact"/>
        <w:rPr>
          <w:rFonts w:ascii="Times New Roman" w:cs="Times New Roman" w:eastAsia="Times New Roman" w:hAnsi="Times New Roman"/>
          <w:sz w:val="18"/>
          <w:szCs w:val="18"/>
          <w:color w:val="auto"/>
        </w:rPr>
      </w:pPr>
    </w:p>
    <w:p>
      <w:pPr>
        <w:ind w:left="460" w:right="200" w:firstLine="421"/>
        <w:spacing w:after="0" w:line="282" w:lineRule="auto"/>
        <w:tabs>
          <w:tab w:leader="none" w:pos="10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the representations and warranties of Holdings in this Agreement are true and correct on and as of the Closing Date with the same effect as if made on the Closing Date;</w:t>
      </w:r>
    </w:p>
    <w:p>
      <w:pPr>
        <w:spacing w:after="0" w:line="53" w:lineRule="exact"/>
        <w:rPr>
          <w:rFonts w:ascii="Times New Roman" w:cs="Times New Roman" w:eastAsia="Times New Roman" w:hAnsi="Times New Roman"/>
          <w:sz w:val="18"/>
          <w:szCs w:val="18"/>
          <w:color w:val="auto"/>
        </w:rPr>
      </w:pPr>
    </w:p>
    <w:p>
      <w:pPr>
        <w:ind w:left="460" w:right="160" w:firstLine="421"/>
        <w:spacing w:after="0" w:line="266" w:lineRule="auto"/>
        <w:tabs>
          <w:tab w:leader="none" w:pos="11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68" w:lineRule="exact"/>
        <w:rPr>
          <w:rFonts w:ascii="Times New Roman" w:cs="Times New Roman" w:eastAsia="Times New Roman" w:hAnsi="Times New Roman"/>
          <w:sz w:val="18"/>
          <w:szCs w:val="18"/>
          <w:color w:val="auto"/>
        </w:rPr>
      </w:pPr>
    </w:p>
    <w:p>
      <w:pPr>
        <w:ind w:left="460" w:firstLine="421"/>
        <w:spacing w:after="0" w:line="282" w:lineRule="auto"/>
        <w:tabs>
          <w:tab w:leader="none" w:pos="11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has been issued and no proceedings for that purpose have been instituted or, to the Company’s knowledge, threatened; and</w:t>
      </w:r>
    </w:p>
    <w:p>
      <w:pPr>
        <w:spacing w:after="0" w:line="53" w:lineRule="exact"/>
        <w:rPr>
          <w:rFonts w:ascii="Times New Roman" w:cs="Times New Roman" w:eastAsia="Times New Roman" w:hAnsi="Times New Roman"/>
          <w:sz w:val="18"/>
          <w:szCs w:val="18"/>
          <w:color w:val="auto"/>
        </w:rPr>
      </w:pPr>
    </w:p>
    <w:p>
      <w:pPr>
        <w:ind w:left="460" w:right="300" w:firstLine="421"/>
        <w:spacing w:after="0" w:line="258" w:lineRule="auto"/>
        <w:tabs>
          <w:tab w:leader="none" w:pos="118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75" w:lineRule="exact"/>
        <w:rPr>
          <w:rFonts w:ascii="Times New Roman" w:cs="Times New Roman" w:eastAsia="Times New Roman" w:hAnsi="Times New Roman"/>
          <w:sz w:val="18"/>
          <w:szCs w:val="18"/>
          <w:color w:val="auto"/>
        </w:rPr>
      </w:pPr>
    </w:p>
    <w:p>
      <w:pPr>
        <w:ind w:right="180" w:firstLine="443"/>
        <w:spacing w:after="0" w:line="258" w:lineRule="auto"/>
        <w:tabs>
          <w:tab w:leader="none" w:pos="6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75" w:lineRule="exact"/>
        <w:rPr>
          <w:rFonts w:ascii="Times New Roman" w:cs="Times New Roman" w:eastAsia="Times New Roman" w:hAnsi="Times New Roman"/>
          <w:sz w:val="18"/>
          <w:szCs w:val="18"/>
          <w:color w:val="auto"/>
        </w:rPr>
      </w:pPr>
    </w:p>
    <w:p>
      <w:pPr>
        <w:ind w:left="460" w:right="20" w:firstLine="421"/>
        <w:spacing w:after="0" w:line="266" w:lineRule="auto"/>
        <w:tabs>
          <w:tab w:leader="none" w:pos="10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700" w:top="270" w:right="239" w:bottom="1440" w:gutter="0" w:footer="0" w:header="0"/>
        </w:sectPr>
      </w:pPr>
    </w:p>
    <w:bookmarkStart w:id="26" w:name="page27"/>
    <w:bookmarkEnd w:id="26"/>
    <w:p>
      <w:pPr>
        <w:ind w:left="460" w:right="60" w:firstLine="421"/>
        <w:spacing w:after="0" w:line="266" w:lineRule="auto"/>
        <w:tabs>
          <w:tab w:leader="none" w:pos="11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w:t>
      </w:r>
    </w:p>
    <w:p>
      <w:pPr>
        <w:spacing w:after="0" w:line="68" w:lineRule="exact"/>
        <w:rPr>
          <w:rFonts w:ascii="Times New Roman" w:cs="Times New Roman" w:eastAsia="Times New Roman" w:hAnsi="Times New Roman"/>
          <w:sz w:val="18"/>
          <w:szCs w:val="18"/>
          <w:color w:val="auto"/>
        </w:rPr>
      </w:pPr>
    </w:p>
    <w:p>
      <w:pPr>
        <w:ind w:left="460" w:firstLine="421"/>
        <w:spacing w:after="0" w:line="255" w:lineRule="auto"/>
        <w:tabs>
          <w:tab w:leader="none" w:pos="11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2013, and the Quarterly Report on Form 10-Q for the quarterly period ended March 31, 2014,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77"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inquired of certain officials of the Company who have responsibility for financial and accounting matters as to whether:</w:t>
      </w:r>
    </w:p>
    <w:p>
      <w:pPr>
        <w:spacing w:after="0" w:line="27" w:lineRule="exact"/>
        <w:rPr>
          <w:rFonts w:ascii="Times New Roman" w:cs="Times New Roman" w:eastAsia="Times New Roman" w:hAnsi="Times New Roman"/>
          <w:sz w:val="18"/>
          <w:szCs w:val="18"/>
          <w:color w:val="auto"/>
        </w:rPr>
      </w:pPr>
    </w:p>
    <w:p>
      <w:pPr>
        <w:ind w:left="460" w:right="80" w:firstLine="1"/>
        <w:spacing w:after="0" w:line="253" w:lineRule="auto"/>
        <w:tabs>
          <w:tab w:leader="none" w:pos="7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April 30, 2014 there was any change in the capital stock, increase in indebtedness or any decreases in consolidated net current assets or in total equity of the Company as compared with the amounts shown on the March 31, 2014 unaudited condensed consolidated balance sheet incorporated by reference in the Registration Statement; or (B) for the period from April 1, 2014 to April 30, 2014 there were any decreases, as compared with the corresponding period in the preceding year, in consolidated operating revenues or in the total or per-share amounts of net income attributable to the Company.</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54" w:lineRule="exact"/>
        <w:rPr>
          <w:sz w:val="20"/>
          <w:szCs w:val="20"/>
          <w:color w:val="auto"/>
        </w:rPr>
      </w:pPr>
    </w:p>
    <w:p>
      <w:pPr>
        <w:ind w:firstLine="443"/>
        <w:spacing w:after="0" w:line="258" w:lineRule="auto"/>
        <w:tabs>
          <w:tab w:leader="none" w:pos="6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700" w:top="270" w:right="259" w:bottom="1440" w:gutter="0" w:footer="0" w:header="0"/>
        </w:sectPr>
      </w:pPr>
    </w:p>
    <w:bookmarkStart w:id="27" w:name="page28"/>
    <w:bookmarkEnd w:id="27"/>
    <w:p>
      <w:pPr>
        <w:ind w:left="46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76" w:lineRule="exact"/>
        <w:rPr>
          <w:sz w:val="20"/>
          <w:szCs w:val="20"/>
          <w:color w:val="auto"/>
        </w:rPr>
      </w:pPr>
    </w:p>
    <w:p>
      <w:pPr>
        <w:ind w:left="460" w:right="360" w:firstLine="443"/>
        <w:spacing w:after="0" w:line="266" w:lineRule="auto"/>
        <w:tabs>
          <w:tab w:leader="none" w:pos="11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68" w:lineRule="exact"/>
        <w:rPr>
          <w:rFonts w:ascii="Times New Roman" w:cs="Times New Roman" w:eastAsia="Times New Roman" w:hAnsi="Times New Roman"/>
          <w:sz w:val="18"/>
          <w:szCs w:val="18"/>
          <w:color w:val="auto"/>
        </w:rPr>
      </w:pPr>
    </w:p>
    <w:p>
      <w:pPr>
        <w:ind w:left="460" w:right="320" w:firstLine="443"/>
        <w:spacing w:after="0" w:line="282" w:lineRule="auto"/>
        <w:tabs>
          <w:tab w:leader="none" w:pos="11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62" w:lineRule="exact"/>
        <w:rPr>
          <w:sz w:val="20"/>
          <w:szCs w:val="20"/>
          <w:color w:val="auto"/>
        </w:rPr>
      </w:pPr>
    </w:p>
    <w:p>
      <w:pPr>
        <w:ind w:right="40" w:firstLine="464"/>
        <w:spacing w:after="0" w:line="256"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87" w:lineRule="exact"/>
        <w:rPr>
          <w:rFonts w:ascii="Times New Roman" w:cs="Times New Roman" w:eastAsia="Times New Roman" w:hAnsi="Times New Roman"/>
          <w:sz w:val="18"/>
          <w:szCs w:val="18"/>
          <w:color w:val="auto"/>
        </w:rPr>
      </w:pPr>
    </w:p>
    <w:p>
      <w:pPr>
        <w:ind w:right="180" w:firstLine="464"/>
        <w:spacing w:after="0" w:line="266" w:lineRule="auto"/>
        <w:tabs>
          <w:tab w:leader="none" w:pos="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81" w:lineRule="exact"/>
        <w:rPr>
          <w:sz w:val="20"/>
          <w:szCs w:val="20"/>
          <w:color w:val="auto"/>
        </w:rPr>
      </w:pPr>
    </w:p>
    <w:p>
      <w:pPr>
        <w:ind w:right="40" w:firstLine="921"/>
        <w:spacing w:after="0" w:line="253" w:lineRule="auto"/>
        <w:tabs>
          <w:tab w:leader="none" w:pos="11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Times New Roman" w:cs="Times New Roman" w:eastAsia="Times New Roman" w:hAnsi="Times New Roman"/>
          <w:sz w:val="18"/>
          <w:szCs w:val="18"/>
          <w:u w:val="single" w:color="auto"/>
          <w:color w:val="auto"/>
        </w:rPr>
        <w:t>Foregoing Indemnity</w:t>
      </w:r>
      <w:r>
        <w:rPr>
          <w:rFonts w:ascii="Times New Roman" w:cs="Times New Roman" w:eastAsia="Times New Roman" w:hAnsi="Times New Roman"/>
          <w:sz w:val="18"/>
          <w:szCs w:val="18"/>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 (Conflicts of Interest).”</w:t>
      </w:r>
    </w:p>
    <w:p>
      <w:pPr>
        <w:spacing w:after="0" w:line="84" w:lineRule="exact"/>
        <w:rPr>
          <w:rFonts w:ascii="Times New Roman" w:cs="Times New Roman" w:eastAsia="Times New Roman" w:hAnsi="Times New Roman"/>
          <w:sz w:val="18"/>
          <w:szCs w:val="18"/>
          <w:color w:val="auto"/>
        </w:rPr>
      </w:pPr>
    </w:p>
    <w:p>
      <w:pPr>
        <w:ind w:right="180" w:firstLine="921"/>
        <w:spacing w:after="0" w:line="255" w:lineRule="auto"/>
        <w:tabs>
          <w:tab w:leader="none" w:pos="115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in any event,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86" w:lineRule="exact"/>
        <w:rPr>
          <w:sz w:val="20"/>
          <w:szCs w:val="20"/>
          <w:color w:val="auto"/>
        </w:rPr>
      </w:pPr>
    </w:p>
    <w:p>
      <w:pPr>
        <w:ind w:right="20" w:firstLine="921"/>
        <w:spacing w:after="0" w:line="253" w:lineRule="auto"/>
        <w:tabs>
          <w:tab w:leader="none" w:pos="11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99" w:lineRule="exact"/>
        <w:rPr>
          <w:sz w:val="20"/>
          <w:szCs w:val="20"/>
          <w:color w:val="auto"/>
        </w:rPr>
      </w:pPr>
    </w:p>
    <w:p>
      <w:pPr>
        <w:ind w:firstLine="464"/>
        <w:spacing w:after="0" w:line="253" w:lineRule="auto"/>
        <w:tabs>
          <w:tab w:leader="none" w:pos="7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31" w:name="page32"/>
    <w:bookmarkEnd w:id="31"/>
    <w:p>
      <w:pPr>
        <w:ind w:left="-40" w:right="40" w:firstLine="464"/>
        <w:spacing w:after="0" w:line="254"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89" w:lineRule="exact"/>
        <w:rPr>
          <w:rFonts w:ascii="Times New Roman" w:cs="Times New Roman" w:eastAsia="Times New Roman" w:hAnsi="Times New Roman"/>
          <w:sz w:val="18"/>
          <w:szCs w:val="18"/>
          <w:color w:val="auto"/>
        </w:rPr>
      </w:pPr>
    </w:p>
    <w:p>
      <w:pPr>
        <w:ind w:left="-40" w:right="60" w:firstLine="464"/>
        <w:spacing w:after="0" w:line="258" w:lineRule="auto"/>
        <w:tabs>
          <w:tab w:leader="none" w:pos="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ind w:left="-40" w:firstLine="464"/>
        <w:spacing w:after="0" w:line="256" w:lineRule="auto"/>
        <w:tabs>
          <w:tab w:leader="none" w:pos="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(1) Deutsche Bank Securities Inc., 60 Wall Street, New York, New York 10005, Attention: Debt Capital Markets Syndicate (Fax: 212-797-2202), with a copy to General Counsel (Fax: 212-797-4561); (2) J.P. Morgan Securities LLC, 383 Madison Avenue, New York, NY 10179, Attn: Investment Grade Syndicate Desk –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Floor (Fax: 212-834-6081); and (3) RBS Securities Inc., 600 Washington Boulevard, Stamford, CT 06901, Attn: Debt Capital Markets Syndicate, (Fax: 203-873-4534); or, if sent to the Company or Holdings, will be mailed, delivered or telefaxed to Waste Management, Inc., Attn: General Counsel (fax no.: 713-209-9710) and confirmed to it at 1001 Fannin, Suite 4000, Houston, Texas 77002, Attention: Legal Department.</w:t>
      </w:r>
    </w:p>
    <w:p>
      <w:pPr>
        <w:spacing w:after="0" w:line="187" w:lineRule="exact"/>
        <w:rPr>
          <w:rFonts w:ascii="Times New Roman" w:cs="Times New Roman" w:eastAsia="Times New Roman" w:hAnsi="Times New Roman"/>
          <w:sz w:val="18"/>
          <w:szCs w:val="18"/>
          <w:color w:val="auto"/>
        </w:rPr>
      </w:pPr>
    </w:p>
    <w:p>
      <w:pPr>
        <w:ind w:left="-40" w:right="420" w:firstLine="464"/>
        <w:spacing w:after="0" w:line="282" w:lineRule="auto"/>
        <w:tabs>
          <w:tab w:leader="none" w:pos="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61" w:lineRule="exact"/>
        <w:rPr>
          <w:rFonts w:ascii="Times New Roman" w:cs="Times New Roman" w:eastAsia="Times New Roman" w:hAnsi="Times New Roman"/>
          <w:sz w:val="18"/>
          <w:szCs w:val="18"/>
          <w:color w:val="auto"/>
        </w:rPr>
      </w:pPr>
    </w:p>
    <w:p>
      <w:pPr>
        <w:ind w:left="-40" w:right="180" w:firstLine="464"/>
        <w:spacing w:after="0" w:line="282" w:lineRule="auto"/>
        <w:tabs>
          <w:tab w:leader="none" w:pos="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ind w:left="-40" w:right="80" w:firstLine="464"/>
        <w:spacing w:after="0" w:line="282" w:lineRule="auto"/>
        <w:tabs>
          <w:tab w:leader="none" w:pos="6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80" w:top="270" w:right="259" w:bottom="1440" w:gutter="0" w:footer="0" w:header="0"/>
        </w:sectPr>
      </w:pPr>
    </w:p>
    <w:bookmarkStart w:id="32" w:name="page33"/>
    <w:bookmarkEnd w:id="32"/>
    <w:p>
      <w:pPr>
        <w:ind w:left="280" w:hanging="276"/>
        <w:spacing w:after="0"/>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280" w:hanging="276"/>
        <w:spacing w:after="0"/>
        <w:tabs>
          <w:tab w:leader="none" w:pos="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right="180" w:firstLine="438"/>
        <w:spacing w:after="0" w:line="282" w:lineRule="auto"/>
        <w:rPr>
          <w:sz w:val="20"/>
          <w:szCs w:val="20"/>
          <w:color w:val="auto"/>
        </w:rPr>
      </w:pPr>
      <w:r>
        <w:rPr>
          <w:rFonts w:ascii="Times New Roman" w:cs="Times New Roman" w:eastAsia="Times New Roman" w:hAnsi="Times New Roman"/>
          <w:sz w:val="18"/>
          <w:szCs w:val="18"/>
          <w:color w:val="auto"/>
        </w:rPr>
        <w:t>“affiliate” shall mean a person that directly, or indirectly through one or more intermediaries, controls or is controlled by, or is under common control with, the person specified.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 Prospectus” shall mean the prospectus referred to in Section 1(a) above contained in the Registration Statement at the Effective Date.</w:t>
      </w:r>
    </w:p>
    <w:p>
      <w:pPr>
        <w:spacing w:after="0" w:line="117" w:lineRule="exact"/>
        <w:rPr>
          <w:sz w:val="20"/>
          <w:szCs w:val="20"/>
          <w:color w:val="auto"/>
        </w:rPr>
      </w:pPr>
    </w:p>
    <w:p>
      <w:pPr>
        <w:ind w:firstLine="438"/>
        <w:spacing w:after="0" w:line="282" w:lineRule="auto"/>
        <w:rPr>
          <w:sz w:val="20"/>
          <w:szCs w:val="20"/>
          <w:color w:val="auto"/>
        </w:rPr>
      </w:pPr>
      <w:r>
        <w:rPr>
          <w:rFonts w:ascii="Times New Roman" w:cs="Times New Roman" w:eastAsia="Times New Roman" w:hAnsi="Times New Roman"/>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“Commission” shall mean the Securities and Exchange Commission.</w:t>
      </w:r>
    </w:p>
    <w:p>
      <w:pPr>
        <w:spacing w:after="0" w:line="117" w:lineRule="exact"/>
        <w:rPr>
          <w:sz w:val="20"/>
          <w:szCs w:val="20"/>
          <w:color w:val="auto"/>
        </w:rPr>
      </w:pPr>
    </w:p>
    <w:p>
      <w:pPr>
        <w:ind w:right="120" w:firstLine="438"/>
        <w:spacing w:after="0" w:line="282" w:lineRule="auto"/>
        <w:rPr>
          <w:sz w:val="20"/>
          <w:szCs w:val="20"/>
          <w:color w:val="auto"/>
        </w:rPr>
      </w:pPr>
      <w:r>
        <w:rPr>
          <w:rFonts w:ascii="Times New Roman" w:cs="Times New Roman" w:eastAsia="Times New Roman" w:hAnsi="Times New Roman"/>
          <w:sz w:val="18"/>
          <w:szCs w:val="18"/>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54" w:lineRule="exact"/>
        <w:rPr>
          <w:sz w:val="20"/>
          <w:szCs w:val="20"/>
          <w:color w:val="auto"/>
        </w:rPr>
      </w:pPr>
    </w:p>
    <w:p>
      <w:pPr>
        <w:ind w:right="240" w:firstLine="438"/>
        <w:spacing w:after="0" w:line="282" w:lineRule="auto"/>
        <w:rPr>
          <w:sz w:val="20"/>
          <w:szCs w:val="20"/>
          <w:color w:val="auto"/>
        </w:rPr>
      </w:pPr>
      <w:r>
        <w:rPr>
          <w:rFonts w:ascii="Times New Roman" w:cs="Times New Roman" w:eastAsia="Times New Roman" w:hAnsi="Times New Roman"/>
          <w:sz w:val="18"/>
          <w:szCs w:val="18"/>
          <w:color w:val="auto"/>
        </w:rPr>
        <w:t>“Exchange Act” shall mean the Securities Exchange Act of 1934, as amended, and the rules and regulations of the Commission promulgated thereunder.</w:t>
      </w:r>
    </w:p>
    <w:p>
      <w:pPr>
        <w:spacing w:after="0" w:line="54" w:lineRule="exact"/>
        <w:rPr>
          <w:sz w:val="20"/>
          <w:szCs w:val="20"/>
          <w:color w:val="auto"/>
        </w:rPr>
      </w:pPr>
    </w:p>
    <w:p>
      <w:pPr>
        <w:ind w:right="80" w:firstLine="438"/>
        <w:spacing w:after="0" w:line="282" w:lineRule="auto"/>
        <w:rPr>
          <w:sz w:val="20"/>
          <w:szCs w:val="20"/>
          <w:color w:val="auto"/>
        </w:rPr>
      </w:pPr>
      <w:r>
        <w:rPr>
          <w:rFonts w:ascii="Times New Roman" w:cs="Times New Roman" w:eastAsia="Times New Roman" w:hAnsi="Times New Roman"/>
          <w:sz w:val="18"/>
          <w:szCs w:val="18"/>
          <w:color w:val="auto"/>
        </w:rPr>
        <w:t>“Final Prospectus” shall mean the prospectus supplement relating to the Securities that was first filed pursuant to Rule 424(b) after the Time of Sale, together with the Basic Prospectus.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“1940 Act” shall mean the Investment Company Act of 1940, as amended.</w:t>
      </w:r>
    </w:p>
    <w:p>
      <w:pPr>
        <w:spacing w:after="0" w:line="117" w:lineRule="exact"/>
        <w:rPr>
          <w:sz w:val="20"/>
          <w:szCs w:val="20"/>
          <w:color w:val="auto"/>
        </w:rPr>
      </w:pPr>
    </w:p>
    <w:p>
      <w:pPr>
        <w:ind w:right="40" w:firstLine="438"/>
        <w:spacing w:after="0" w:line="282" w:lineRule="auto"/>
        <w:rPr>
          <w:sz w:val="20"/>
          <w:szCs w:val="20"/>
          <w:color w:val="auto"/>
        </w:rPr>
      </w:pPr>
      <w:r>
        <w:rPr>
          <w:rFonts w:ascii="Times New Roman" w:cs="Times New Roman" w:eastAsia="Times New Roman" w:hAnsi="Times New Roman"/>
          <w:sz w:val="18"/>
          <w:szCs w:val="18"/>
          <w:color w:val="auto"/>
        </w:rPr>
        <w:t>“Preliminary Prospectus” shall mean the preliminary prospectus supplement relating to the Securities dated May 5, 2014 that was filed with the Commission pursuant to Rule 424(b) prior to the Time of Sale, together with the Basic Prospectus.</w:t>
      </w:r>
    </w:p>
    <w:p>
      <w:pPr>
        <w:spacing w:after="0" w:line="54" w:lineRule="exact"/>
        <w:rPr>
          <w:sz w:val="20"/>
          <w:szCs w:val="20"/>
          <w:color w:val="auto"/>
        </w:rPr>
      </w:pPr>
    </w:p>
    <w:p>
      <w:pPr>
        <w:ind w:right="320" w:firstLine="438"/>
        <w:spacing w:after="0" w:line="266" w:lineRule="auto"/>
        <w:rPr>
          <w:sz w:val="20"/>
          <w:szCs w:val="20"/>
          <w:color w:val="auto"/>
        </w:rPr>
      </w:pPr>
      <w:r>
        <w:rPr>
          <w:rFonts w:ascii="Times New Roman" w:cs="Times New Roman" w:eastAsia="Times New Roman" w:hAnsi="Times New Roman"/>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0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20"/>
          </w:cols>
          <w:pgMar w:left="700" w:top="270" w:right="379" w:bottom="1440" w:gutter="0" w:footer="0" w:header="0"/>
        </w:sectPr>
      </w:pPr>
    </w:p>
    <w:bookmarkStart w:id="33" w:name="page34"/>
    <w:bookmarkEnd w:id="33"/>
    <w:p>
      <w:pPr>
        <w:ind w:left="360" w:firstLine="43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“Rule 415,” “Rule 424,” “Rule 430A,” “Rule 430B,” “Rule 430C” and “Rule 462” refer to such rules under the Act.</w:t>
      </w:r>
    </w:p>
    <w:p>
      <w:pPr>
        <w:spacing w:after="0" w:line="117" w:lineRule="exact"/>
        <w:rPr>
          <w:sz w:val="20"/>
          <w:szCs w:val="20"/>
          <w:color w:val="auto"/>
        </w:rPr>
      </w:pPr>
    </w:p>
    <w:p>
      <w:pPr>
        <w:ind w:left="360" w:right="540" w:firstLine="438"/>
        <w:spacing w:after="0" w:line="266" w:lineRule="auto"/>
        <w:rPr>
          <w:sz w:val="20"/>
          <w:szCs w:val="20"/>
          <w:color w:val="auto"/>
        </w:rPr>
      </w:pPr>
      <w:r>
        <w:rPr>
          <w:rFonts w:ascii="Times New Roman" w:cs="Times New Roman" w:eastAsia="Times New Roman" w:hAnsi="Times New Roman"/>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68" w:lineRule="exact"/>
        <w:rPr>
          <w:sz w:val="20"/>
          <w:szCs w:val="20"/>
          <w:color w:val="auto"/>
        </w:rPr>
      </w:pPr>
    </w:p>
    <w:p>
      <w:pPr>
        <w:ind w:left="360" w:right="140" w:firstLine="438"/>
        <w:spacing w:after="0" w:line="282" w:lineRule="auto"/>
        <w:rPr>
          <w:sz w:val="20"/>
          <w:szCs w:val="20"/>
          <w:color w:val="auto"/>
        </w:rPr>
      </w:pPr>
      <w:r>
        <w:rPr>
          <w:rFonts w:ascii="Times New Roman" w:cs="Times New Roman" w:eastAsia="Times New Roman" w:hAnsi="Times New Roman"/>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“Time of Sale” shall mean 3:05 P.M. New York time on May 5, 2014, the time when sales of the Securities were first made.</w:t>
      </w:r>
    </w:p>
    <w:p>
      <w:pPr>
        <w:spacing w:after="0" w:line="117" w:lineRule="exact"/>
        <w:rPr>
          <w:sz w:val="20"/>
          <w:szCs w:val="20"/>
          <w:color w:val="auto"/>
        </w:rPr>
      </w:pPr>
    </w:p>
    <w:p>
      <w:pPr>
        <w:ind w:left="360" w:right="240" w:firstLine="438"/>
        <w:spacing w:after="0" w:line="282" w:lineRule="auto"/>
        <w:rPr>
          <w:sz w:val="20"/>
          <w:szCs w:val="20"/>
          <w:color w:val="auto"/>
        </w:rPr>
      </w:pPr>
      <w:r>
        <w:rPr>
          <w:rFonts w:ascii="Times New Roman" w:cs="Times New Roman" w:eastAsia="Times New Roman" w:hAnsi="Times New Roman"/>
          <w:sz w:val="18"/>
          <w:szCs w:val="18"/>
          <w:color w:val="auto"/>
        </w:rPr>
        <w:t>“Trust Indenture Act” shall mean the Trust Indenture Act of 1939, as amended, and the rules and regulations of the Commission promulgated thereunder.</w:t>
      </w:r>
    </w:p>
    <w:p>
      <w:pPr>
        <w:spacing w:after="0" w:line="162" w:lineRule="exact"/>
        <w:rPr>
          <w:sz w:val="20"/>
          <w:szCs w:val="20"/>
          <w:color w:val="auto"/>
        </w:rPr>
      </w:pPr>
    </w:p>
    <w:p>
      <w:pPr>
        <w:ind w:left="-100" w:right="380" w:firstLine="464"/>
        <w:spacing w:after="0" w:line="266" w:lineRule="auto"/>
        <w:tabs>
          <w:tab w:leader="none" w:pos="6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Representation</w:t>
      </w:r>
      <w:r>
        <w:rPr>
          <w:rFonts w:ascii="Times New Roman" w:cs="Times New Roman" w:eastAsia="Times New Roman" w:hAnsi="Times New Roman"/>
          <w:sz w:val="18"/>
          <w:szCs w:val="18"/>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76" w:lineRule="exact"/>
        <w:rPr>
          <w:rFonts w:ascii="Times New Roman" w:cs="Times New Roman" w:eastAsia="Times New Roman" w:hAnsi="Times New Roman"/>
          <w:sz w:val="18"/>
          <w:szCs w:val="18"/>
          <w:color w:val="auto"/>
        </w:rPr>
      </w:pPr>
    </w:p>
    <w:p>
      <w:pPr>
        <w:ind w:left="-100" w:right="220" w:firstLine="464"/>
        <w:spacing w:after="0" w:line="261" w:lineRule="auto"/>
        <w:tabs>
          <w:tab w:leader="none" w:pos="6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40" w:top="270" w:right="339" w:bottom="1440" w:gutter="0" w:footer="0" w:header="0"/>
        </w:sectPr>
      </w:pPr>
    </w:p>
    <w:bookmarkStart w:id="34" w:name="page35"/>
    <w:bookmarkEnd w:id="34"/>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Devina A. Rankin</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4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Devina A. Rankin</w:t>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(I)</w:t>
      </w:r>
    </w:p>
    <w:p>
      <w:pPr>
        <w:sectPr>
          <w:pgSz w:w="11900" w:h="16838" w:orient="portrait"/>
          <w:cols w:equalWidth="0" w:num="1">
            <w:col w:w="11280"/>
          </w:cols>
          <w:pgMar w:left="240" w:top="27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set forth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Ritu Ketkar</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Ritu Ketkar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Eunice Kang</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Eunice Kang</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Som Bhattachryya</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Som Bhattachryya</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RBS SECURITIES INC.</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Thomas Bausano</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Bausano</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II to the foregoing Agreement.</w:t>
      </w:r>
    </w:p>
    <w:p>
      <w:pPr>
        <w:spacing w:after="0" w:line="205"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 (II)</w:t>
      </w:r>
    </w:p>
    <w:p>
      <w:pPr>
        <w:sectPr>
          <w:pgSz w:w="11900" w:h="16838" w:orient="portrait"/>
          <w:cols w:equalWidth="0" w:num="1">
            <w:col w:w="10219"/>
          </w:cols>
          <w:pgMar w:left="240" w:top="266"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May 5, 2014 relating to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May 5, 2014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Prospectus dated September 28, 2012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333-184157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Final Pricing Term Sheet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350,000,000 3.50% Senior Notes due 2024</w:t>
      </w:r>
    </w:p>
    <w:p>
      <w:pPr>
        <w:sectPr>
          <w:pgSz w:w="11900" w:h="16838" w:orient="portrait"/>
          <w:cols w:equalWidth="0" w:num="1">
            <w:col w:w="11420"/>
          </w:cols>
          <w:pgMar w:left="240" w:top="266" w:right="239" w:bottom="1440" w:gutter="0" w:footer="0" w:header="0"/>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128"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Waste Management Holdings, Inc.</w:t>
      </w:r>
    </w:p>
    <w:p>
      <w:pPr>
        <w:spacing w:after="0" w:line="128"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$350,000,000</w:t>
      </w:r>
    </w:p>
    <w:p>
      <w:pPr>
        <w:spacing w:after="0" w:line="128"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15, 2024</w:t>
      </w:r>
    </w:p>
    <w:p>
      <w:pPr>
        <w:spacing w:after="0" w:line="129"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3.50%</w:t>
      </w:r>
    </w:p>
    <w:p>
      <w:pPr>
        <w:spacing w:after="0" w:line="129"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99.748% of face amount</w:t>
      </w:r>
    </w:p>
    <w:p>
      <w:pPr>
        <w:spacing w:after="0" w:line="128"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0.65%</w:t>
      </w:r>
    </w:p>
    <w:p>
      <w:pPr>
        <w:spacing w:after="0" w:line="128"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2.75% due February 15, 2024</w:t>
      </w:r>
    </w:p>
    <w:p>
      <w:pPr>
        <w:spacing w:after="0" w:line="129"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92 basis points</w:t>
      </w:r>
    </w:p>
    <w:p>
      <w:pPr>
        <w:spacing w:after="0" w:line="128"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101-6+ / 2.61%</w:t>
      </w:r>
    </w:p>
    <w:p>
      <w:pPr>
        <w:spacing w:after="0" w:line="129"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3.53%</w:t>
      </w:r>
    </w:p>
    <w:p>
      <w:pPr>
        <w:spacing w:after="0" w:line="129"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Semi-annually on May 15 and November 15, commencing on November 15, 2014.</w:t>
      </w:r>
    </w:p>
    <w:p>
      <w:pPr>
        <w:spacing w:after="0" w:line="117"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Redemption Provisions:</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The Notes are redeemable at any time prior to February 15, 2024 (three months prior to the maturity date), in whole or from time to time in part, at the option of the Company, at a make whole redemption price using the applicable Treasury rate plus 15 basis points (as defined and described in further detail in the Prospectus Supplement). Redeemable on or after February 15, 2024 (three months prior to the maturity date), in whole or from time to time in part, at the option of the Company, at a price of 100% plus accrued interest.</w:t>
      </w:r>
    </w:p>
    <w:p>
      <w:pPr>
        <w:spacing w:after="0" w:line="80" w:lineRule="exact"/>
        <w:rPr>
          <w:sz w:val="20"/>
          <w:szCs w:val="20"/>
          <w:color w:val="auto"/>
        </w:rPr>
      </w:pPr>
    </w:p>
    <w:p>
      <w:pPr>
        <w:sectPr>
          <w:pgSz w:w="11900" w:h="16838" w:orient="portrait"/>
          <w:cols w:equalWidth="0" w:num="2">
            <w:col w:w="3060" w:space="720"/>
            <w:col w:w="764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5, 2014</w:t>
      </w:r>
    </w:p>
    <w:p>
      <w:pPr>
        <w:sectPr>
          <w:pgSz w:w="11900" w:h="16838" w:orient="portrait"/>
          <w:cols w:equalWidth="0" w:num="2">
            <w:col w:w="3060" w:space="720"/>
            <w:col w:w="7640"/>
          </w:cols>
          <w:pgMar w:left="240" w:top="266"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T+3; May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-206375</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060" w:space="720"/>
            <w:col w:w="7420"/>
          </w:cols>
          <w:pgMar w:left="240" w:top="270"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94106LAZ2 / US94106LAZ22</w:t>
      </w:r>
    </w:p>
    <w:p>
      <w:pPr>
        <w:spacing w:after="0" w:line="128" w:lineRule="exact"/>
        <w:rPr>
          <w:sz w:val="20"/>
          <w:szCs w:val="20"/>
          <w:color w:val="auto"/>
        </w:rPr>
      </w:pPr>
    </w:p>
    <w:p>
      <w:pPr>
        <w:sectPr>
          <w:pgSz w:w="11900" w:h="16838" w:orient="portrait"/>
          <w:cols w:equalWidth="0" w:num="2">
            <w:col w:w="3060" w:space="720"/>
            <w:col w:w="7420"/>
          </w:cols>
          <w:pgMar w:left="2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Denominations/Increments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$2,000/$1,000</w:t>
      </w:r>
    </w:p>
    <w:p>
      <w:pPr>
        <w:spacing w:after="0" w:line="128" w:lineRule="exact"/>
        <w:rPr>
          <w:sz w:val="20"/>
          <w:szCs w:val="20"/>
          <w:color w:val="auto"/>
        </w:rPr>
      </w:pPr>
    </w:p>
    <w:p>
      <w:pPr>
        <w:sectPr>
          <w:pgSz w:w="11900" w:h="16838" w:orient="portrait"/>
          <w:cols w:equalWidth="0" w:num="2">
            <w:col w:w="3060" w:space="720"/>
            <w:col w:w="7420"/>
          </w:cols>
          <w:pgMar w:left="2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Deutsche Bank Securities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RBS Securities Inc.</w:t>
      </w:r>
    </w:p>
    <w:p>
      <w:pPr>
        <w:spacing w:after="0" w:line="112" w:lineRule="exact"/>
        <w:rPr>
          <w:sz w:val="20"/>
          <w:szCs w:val="20"/>
          <w:color w:val="auto"/>
        </w:rPr>
      </w:pPr>
    </w:p>
    <w:p>
      <w:pPr>
        <w:sectPr>
          <w:pgSz w:w="11900" w:h="16838" w:orient="portrait"/>
          <w:cols w:equalWidth="0" w:num="2">
            <w:col w:w="3060" w:space="720"/>
            <w:col w:w="7420"/>
          </w:cols>
          <w:pgMar w:left="2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Blaylock Beal Van,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Mitsubishi UFJ Securities (USA),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Inc.</w:t>
      </w:r>
    </w:p>
    <w:p>
      <w:pPr>
        <w:spacing w:after="0" w:line="200" w:lineRule="exact"/>
        <w:rPr>
          <w:sz w:val="20"/>
          <w:szCs w:val="20"/>
          <w:color w:val="auto"/>
        </w:rPr>
      </w:pPr>
    </w:p>
    <w:p>
      <w:pPr>
        <w:sectPr>
          <w:pgSz w:w="11900" w:h="16838" w:orient="portrait"/>
          <w:cols w:equalWidth="0" w:num="2">
            <w:col w:w="3060" w:space="720"/>
            <w:col w:w="7420"/>
          </w:cols>
          <w:pgMar w:left="240" w:top="270" w:right="459" w:bottom="1440" w:gutter="0" w:footer="0" w:header="0"/>
          <w:type w:val="continuous"/>
        </w:sectPr>
      </w:pPr>
    </w:p>
    <w:p>
      <w:pPr>
        <w:spacing w:after="0" w:line="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Deutsche Bank Securities Inc. toll-free at (800) 503-4611; (2) J.P. Morgan Securities Inc. collect at (212) 834-4533; or (3) RBS Securities Inc. toll-free at (866) 884-2071. Any disclaimers or other notices that may appear below are not applicable to this communication and should be disregarded. Such disclaimers were automatically generated as a result of this communication being sent via email or another communication system.</w:t>
      </w:r>
    </w:p>
    <w:p>
      <w:pPr>
        <w:sectPr>
          <w:pgSz w:w="11900" w:h="16838" w:orient="portrait"/>
          <w:cols w:equalWidth="0" w:num="1">
            <w:col w:w="11200"/>
          </w:cols>
          <w:pgMar w:left="240" w:top="270" w:right="45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Representatives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RBS Securities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938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93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9380" w:type="dxa"/>
            <w:vAlign w:val="bottom"/>
            <w:vMerge w:val="continue"/>
          </w:tcPr>
          <w:p>
            <w:pPr>
              <w:spacing w:after="0"/>
              <w:rPr>
                <w:sz w:val="15"/>
                <w:szCs w:val="15"/>
                <w:color w:val="auto"/>
              </w:rPr>
            </w:pPr>
          </w:p>
        </w:tc>
        <w:tc>
          <w:tcPr>
            <w:tcW w:w="120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10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Deutsche Bank Securities Inc</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RBS Securities Inc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Beal Van, LLC</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UFJ Securities (USA), Inc.</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Inc.</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39" w:name="page40"/>
    <w:bookmarkEnd w:id="39"/>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Final Pricing Term Sheet, substantially in the form of Schedule I attached to this Agreement.</w:t>
      </w:r>
    </w:p>
    <w:p>
      <w:pPr>
        <w:sectPr>
          <w:pgSz w:w="11900" w:h="16838" w:orient="portrait"/>
          <w:cols w:equalWidth="0" w:num="1">
            <w:col w:w="9759"/>
          </w:cols>
          <w:pgMar w:left="700" w:top="266"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undersigned, the Vice President and Treasurer, and the Corporate Secretary of Waste Management, Inc. (the “Company”), hereby certify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60" w:firstLine="921"/>
        <w:spacing w:after="0" w:line="261"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May 8, 2014 (the “Order”) for the authentication and delivery by the Trustee of $350,000,000 aggregate principal amount of 3.50% Senior Notes due 2024 (the “Notes”).</w:t>
      </w:r>
    </w:p>
    <w:p>
      <w:pPr>
        <w:spacing w:after="0" w:line="180"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read Sections 102, 103, 301 and 303 of the Indenture and the definitions in the Indenture relating thereto.</w:t>
      </w:r>
    </w:p>
    <w:p>
      <w:pPr>
        <w:spacing w:after="0" w:line="225" w:lineRule="exact"/>
        <w:rPr>
          <w:rFonts w:ascii="Times New Roman" w:cs="Times New Roman" w:eastAsia="Times New Roman" w:hAnsi="Times New Roman"/>
          <w:sz w:val="18"/>
          <w:szCs w:val="18"/>
          <w:color w:val="auto"/>
        </w:rPr>
      </w:pPr>
    </w:p>
    <w:p>
      <w:pPr>
        <w:ind w:right="220" w:firstLine="921"/>
        <w:spacing w:after="0" w:line="282"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61"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have examined the Order, and they have read the covenants, conditions and provisions of the Indenture relating thereto.</w:t>
      </w:r>
    </w:p>
    <w:p>
      <w:pPr>
        <w:spacing w:after="0" w:line="225" w:lineRule="exact"/>
        <w:rPr>
          <w:rFonts w:ascii="Times New Roman" w:cs="Times New Roman" w:eastAsia="Times New Roman" w:hAnsi="Times New Roman"/>
          <w:sz w:val="18"/>
          <w:szCs w:val="18"/>
          <w:color w:val="auto"/>
        </w:rPr>
      </w:pPr>
    </w:p>
    <w:p>
      <w:pPr>
        <w:ind w:right="360" w:firstLine="921"/>
        <w:spacing w:after="0" w:line="26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rFonts w:ascii="Times New Roman" w:cs="Times New Roman" w:eastAsia="Times New Roman" w:hAnsi="Times New Roman"/>
          <w:sz w:val="18"/>
          <w:szCs w:val="18"/>
          <w:color w:val="auto"/>
        </w:rPr>
      </w:pPr>
    </w:p>
    <w:p>
      <w:pPr>
        <w:ind w:right="40" w:firstLine="921"/>
        <w:spacing w:after="0" w:line="26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and conditions (including all conditions precedent) provided in the Indenture to the authentication and delivery by the Trustee of $350,000,000 aggregate principal amount of the Notes have been complied with, and such Notes may be delivered in accordance with the Order as provided in the Indenture.</w:t>
      </w:r>
    </w:p>
    <w:p>
      <w:pPr>
        <w:spacing w:after="0" w:line="176" w:lineRule="exact"/>
        <w:rPr>
          <w:rFonts w:ascii="Times New Roman" w:cs="Times New Roman" w:eastAsia="Times New Roman" w:hAnsi="Times New Roman"/>
          <w:sz w:val="18"/>
          <w:szCs w:val="18"/>
          <w:color w:val="auto"/>
        </w:rPr>
      </w:pPr>
    </w:p>
    <w:p>
      <w:pPr>
        <w:ind w:right="80" w:firstLine="921"/>
        <w:spacing w:after="0" w:line="26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Officers’ Certificate have been approved by officers of the Company as duly authorized by resolutions of the Board of Directors of the Company as of August 24, 2012 and such resolutions, copies of which are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Devina A. Rankin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Vice President and Treasurer</w:t>
      </w:r>
    </w:p>
    <w:p>
      <w:pPr>
        <w:spacing w:after="0" w:line="2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Linda J. Smith</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9759"/>
          </w:cols>
          <w:pgMar w:left="700" w:top="270" w:right="1440"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August 24, 2012 and the Sole Director of Waste Management Holdings, Inc. on September 24, 2012 and May 1, 2014,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89"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“3.50% Senior Notes due 2024” (the “Notes”).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130"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$350,000,000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8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May 15, 2024.</w:t>
      </w:r>
    </w:p>
    <w:p>
      <w:pPr>
        <w:spacing w:after="0" w:line="130" w:lineRule="exact"/>
        <w:rPr>
          <w:rFonts w:ascii="Times New Roman" w:cs="Times New Roman" w:eastAsia="Times New Roman" w:hAnsi="Times New Roman"/>
          <w:sz w:val="18"/>
          <w:szCs w:val="18"/>
          <w:color w:val="auto"/>
        </w:rPr>
      </w:pPr>
    </w:p>
    <w:p>
      <w:pPr>
        <w:ind w:left="460" w:right="20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May 8, 2014 at the fixed rate of 3.50% per annum; the Interest Payment Dates on which such interest shall be payable shall be May 15 and November 15, of each year, commencing November 15, 2014,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85" w:lineRule="exact"/>
        <w:rPr>
          <w:rFonts w:ascii="Times New Roman" w:cs="Times New Roman" w:eastAsia="Times New Roman" w:hAnsi="Times New Roman"/>
          <w:sz w:val="18"/>
          <w:szCs w:val="18"/>
          <w:color w:val="auto"/>
        </w:rPr>
      </w:pPr>
    </w:p>
    <w:p>
      <w:pPr>
        <w:ind w:left="460" w:right="120" w:hanging="452"/>
        <w:spacing w:after="0" w:line="266"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81" w:lineRule="exact"/>
        <w:rPr>
          <w:rFonts w:ascii="Times New Roman" w:cs="Times New Roman" w:eastAsia="Times New Roman" w:hAnsi="Times New Roman"/>
          <w:sz w:val="18"/>
          <w:szCs w:val="18"/>
          <w:color w:val="auto"/>
        </w:rPr>
      </w:pPr>
    </w:p>
    <w:p>
      <w:pPr>
        <w:ind w:left="460" w:right="200" w:hanging="452"/>
        <w:spacing w:after="0" w:line="261"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380"/>
          </w:cols>
          <w:pgMar w:left="240" w:top="266" w:right="279" w:bottom="1440" w:gutter="0" w:footer="0" w:header="0"/>
        </w:sectPr>
      </w:pPr>
    </w:p>
    <w:bookmarkStart w:id="43" w:name="page44"/>
    <w:bookmarkEnd w:id="43"/>
    <w:p>
      <w:pPr>
        <w:ind w:left="452" w:right="160" w:hanging="452"/>
        <w:spacing w:after="0" w:line="261"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85" w:lineRule="exact"/>
        <w:rPr>
          <w:rFonts w:ascii="Times New Roman" w:cs="Times New Roman" w:eastAsia="Times New Roman" w:hAnsi="Times New Roman"/>
          <w:sz w:val="18"/>
          <w:szCs w:val="18"/>
          <w:color w:val="auto"/>
        </w:rPr>
      </w:pPr>
    </w:p>
    <w:p>
      <w:pPr>
        <w:ind w:left="452" w:hanging="452"/>
        <w:spacing w:after="0" w:line="255"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February 15, 2024,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thereon (exclusive of interest accrued to the Redemption Date (as defined in the Notes)) discounted to the Redemption Date on a semi-annual basis (assuming a 360-day year consisting of twelve 30-day months) at the applicable Treasury Yield (as defined in the Notes) plus 15 basis points; plus, in either case, accrued interest to the Redemption Date. On or after February 15, 2024,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w:t>
      </w:r>
    </w:p>
    <w:p>
      <w:pPr>
        <w:spacing w:after="0" w:line="94" w:lineRule="exact"/>
        <w:rPr>
          <w:rFonts w:ascii="Times New Roman" w:cs="Times New Roman" w:eastAsia="Times New Roman" w:hAnsi="Times New Roman"/>
          <w:sz w:val="18"/>
          <w:szCs w:val="18"/>
          <w:color w:val="auto"/>
        </w:rPr>
      </w:pPr>
    </w:p>
    <w:p>
      <w:pPr>
        <w:ind w:left="452" w:right="500" w:hanging="452"/>
        <w:spacing w:after="0" w:line="282"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67" w:lineRule="exact"/>
        <w:rPr>
          <w:rFonts w:ascii="Times New Roman" w:cs="Times New Roman" w:eastAsia="Times New Roman" w:hAnsi="Times New Roman"/>
          <w:sz w:val="18"/>
          <w:szCs w:val="18"/>
          <w:color w:val="auto"/>
        </w:rPr>
      </w:pPr>
    </w:p>
    <w:p>
      <w:pPr>
        <w:ind w:left="452" w:right="960" w:hanging="452"/>
        <w:spacing w:after="0" w:line="282"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130" w:lineRule="exact"/>
        <w:rPr>
          <w:rFonts w:ascii="Times New Roman" w:cs="Times New Roman" w:eastAsia="Times New Roman" w:hAnsi="Times New Roman"/>
          <w:sz w:val="18"/>
          <w:szCs w:val="18"/>
          <w:color w:val="auto"/>
        </w:rPr>
      </w:pPr>
    </w:p>
    <w:p>
      <w:pPr>
        <w:ind w:left="452" w:hanging="452"/>
        <w:spacing w:after="0" w:line="261" w:lineRule="auto"/>
        <w:tabs>
          <w:tab w:leader="none" w:pos="4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May 8, 2014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392"/>
          </w:cols>
          <w:pgMar w:left="248" w:top="270" w:right="2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NOTES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ind w:right="220" w:firstLine="456"/>
        <w:spacing w:after="0" w:line="274" w:lineRule="auto"/>
        <w:rPr>
          <w:sz w:val="20"/>
          <w:szCs w:val="20"/>
          <w:color w:val="auto"/>
        </w:rPr>
      </w:pPr>
      <w:r>
        <w:rPr>
          <w:rFonts w:ascii="Times New Roman" w:cs="Times New Roman" w:eastAsia="Times New Roman" w:hAnsi="Times New Roman"/>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RGN-1</w:t>
            </w:r>
          </w:p>
        </w:tc>
        <w:tc>
          <w:tcPr>
            <w:tcW w:w="586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c>
          <w:tcPr>
            <w:tcW w:w="0" w:type="dxa"/>
            <w:vAlign w:val="bottom"/>
          </w:tcPr>
          <w:p>
            <w:pPr>
              <w:spacing w:after="0"/>
              <w:rPr>
                <w:sz w:val="1"/>
                <w:szCs w:val="1"/>
                <w:color w:val="auto"/>
              </w:rPr>
            </w:pPr>
          </w:p>
        </w:tc>
      </w:tr>
      <w:tr>
        <w:trPr>
          <w:trHeight w:val="441"/>
        </w:trPr>
        <w:tc>
          <w:tcPr>
            <w:tcW w:w="25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$350,000,000,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860" w:type="dxa"/>
            <w:vAlign w:val="bottom"/>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5860" w:type="dxa"/>
            <w:vAlign w:val="bottom"/>
            <w:vMerge w:val="continue"/>
          </w:tcPr>
          <w:p>
            <w:pPr>
              <w:spacing w:after="0"/>
              <w:rPr>
                <w:sz w:val="14"/>
                <w:szCs w:val="14"/>
                <w:color w:val="auto"/>
              </w:rPr>
            </w:pPr>
          </w:p>
        </w:tc>
        <w:tc>
          <w:tcPr>
            <w:tcW w:w="3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586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540" w:type="dxa"/>
            <w:vAlign w:val="bottom"/>
          </w:tcPr>
          <w:p>
            <w:pPr>
              <w:spacing w:after="0"/>
              <w:rPr>
                <w:sz w:val="24"/>
                <w:szCs w:val="24"/>
                <w:color w:val="auto"/>
              </w:rPr>
            </w:pPr>
          </w:p>
        </w:tc>
        <w:tc>
          <w:tcPr>
            <w:tcW w:w="58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3.50% SENIOR NOTES DUE 2024</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5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94106LAZ2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Three Hundred Fifty Million ($350,000,000) U.S. dollars, or such lesser principal sum as is shown on the attached Schedule of Exchanges of Definitive Security, on May 15, 2024 in such coin or currency of the United States of America as at the time of payment shall</w:t>
      </w:r>
    </w:p>
    <w:p>
      <w:pPr>
        <w:sectPr>
          <w:pgSz w:w="11900" w:h="16838" w:orient="portrait"/>
          <w:cols w:equalWidth="0" w:num="1">
            <w:col w:w="11420"/>
          </w:cols>
          <w:pgMar w:left="240" w:top="266" w:right="239" w:bottom="1440" w:gutter="0" w:footer="0" w:header="0"/>
        </w:sectPr>
      </w:pPr>
    </w:p>
    <w:bookmarkStart w:id="45" w:name="page46"/>
    <w:bookmarkEnd w:id="4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legal tender for the payment of public and private debts, and to pay interest at an annual rate of 3.50% payable on May 15 and November 15 of each year, to the person in whose name this Security is registered at the close of business on the record date for such interest, which shall be the preceding May 1 or November 1, respectively, payable commencing November 15, 2014, with interest consisting of interest accrued from May 8, 2014.</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$350,000,000 in principal amount designated as the 3.50% Senior Notes due 2024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 charge.</w:t>
      </w:r>
    </w:p>
    <w:p>
      <w:pPr>
        <w:sectPr>
          <w:pgSz w:w="11900" w:h="16838" w:orient="portrait"/>
          <w:cols w:equalWidth="0" w:num="1">
            <w:col w:w="11320"/>
          </w:cols>
          <w:pgMar w:left="240" w:top="270" w:right="339" w:bottom="1440" w:gutter="0" w:footer="0" w:header="0"/>
        </w:sectPr>
      </w:pPr>
    </w:p>
    <w:bookmarkStart w:id="46" w:name="page47"/>
    <w:bookmarkEnd w:id="46"/>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2014</w:t>
            </w: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46"/>
        </w:trPr>
        <w:tc>
          <w:tcPr>
            <w:tcW w:w="3680" w:type="dxa"/>
            <w:vAlign w:val="bottom"/>
          </w:tcPr>
          <w:p>
            <w:pPr>
              <w:spacing w:after="0"/>
              <w:rPr>
                <w:sz w:val="24"/>
                <w:szCs w:val="24"/>
                <w:color w:val="auto"/>
              </w:rPr>
            </w:pP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Devina A. Rankin</w:t>
            </w:r>
          </w:p>
        </w:tc>
      </w:tr>
      <w:tr>
        <w:trPr>
          <w:trHeight w:val="234"/>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46"/>
        </w:trPr>
        <w:tc>
          <w:tcPr>
            <w:tcW w:w="3680" w:type="dxa"/>
            <w:vAlign w:val="bottom"/>
          </w:tcPr>
          <w:p>
            <w:pPr>
              <w:spacing w:after="0"/>
              <w:rPr>
                <w:sz w:val="24"/>
                <w:szCs w:val="24"/>
                <w:color w:val="auto"/>
              </w:rPr>
            </w:pP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Linda J. Smith</w:t>
            </w:r>
          </w:p>
        </w:tc>
      </w:tr>
      <w:tr>
        <w:trPr>
          <w:trHeight w:val="234"/>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AUTHENTICATION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of Authentication: May 8, 2014</w:t>
      </w:r>
      <w:r>
        <w:rPr>
          <w:sz w:val="20"/>
          <w:szCs w:val="20"/>
          <w:color w:val="auto"/>
        </w:rPr>
        <w:tab/>
      </w:r>
      <w:r>
        <w:rPr>
          <w:rFonts w:ascii="Times New Roman" w:cs="Times New Roman" w:eastAsia="Times New Roman" w:hAnsi="Times New Roman"/>
          <w:sz w:val="17"/>
          <w:szCs w:val="17"/>
          <w:color w:val="auto"/>
        </w:rPr>
        <w:t>The Bank of New York Mellon Trust Company N.A., as Trustee</w:t>
      </w:r>
    </w:p>
    <w:p>
      <w:pPr>
        <w:spacing w:after="0" w:line="23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Countryman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270" w:right="2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3.50% SENIOR NOTES DUE 2024</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3.50% Senior Notes due 2024 of the Company, in initial aggregate principal amount of $350,000,000 (the “Securities”).</w:t>
      </w:r>
    </w:p>
    <w:p>
      <w:pPr>
        <w:spacing w:after="0" w:line="336" w:lineRule="exact"/>
        <w:rPr>
          <w:sz w:val="20"/>
          <w:szCs w:val="20"/>
          <w:color w:val="auto"/>
        </w:rPr>
      </w:pPr>
    </w:p>
    <w:p>
      <w:pPr>
        <w:ind w:left="900" w:hanging="446"/>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3.50% per annum.</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will pay interest semi-annually on May 15 and November 15 of each year (each an “Interest Payment Date”), commencing November 15, 2014. Interest on the Securities will accrue from the most recent date to which interest has been paid or, if no interest has been paid on the Securities, from May 8, 2014.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3.50% per annum, in each case to the extent lawful.</w:t>
      </w:r>
    </w:p>
    <w:p>
      <w:pPr>
        <w:spacing w:after="0" w:line="331"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70" w:right="2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331"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p>
    <w:p>
      <w:pPr>
        <w:spacing w:after="0" w:line="119"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323"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24, 2012 (the “Resolutions”) and the written consents of the Sole Director of Waste Management Holdings, Inc. on September 24, 2012 and May 1, 2014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$350,000,000.</w:t>
      </w:r>
    </w:p>
    <w:p>
      <w:pPr>
        <w:spacing w:after="0" w:line="336" w:lineRule="exact"/>
        <w:rPr>
          <w:sz w:val="20"/>
          <w:szCs w:val="20"/>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Before February 15, 2024,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on the Securities (exclusive of interest accrued to the Redemption Date) discounted to the Redemption Date on a semi-annual basis (assuming a 360-day year consisting of twelve 30-day months) at the applicable Treasury Yield plus 15 basis points; plus, in either case, accrued interest to the Redemption Date.</w:t>
      </w:r>
    </w:p>
    <w:p>
      <w:pPr>
        <w:spacing w:after="0" w:line="184"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On or after February 15, 2024,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360"/>
          </w:cols>
          <w:pgMar w:left="240" w:top="270" w:right="299" w:bottom="1440" w:gutter="0" w:footer="0" w:header="0"/>
        </w:sectPr>
      </w:pPr>
    </w:p>
    <w:bookmarkStart w:id="49" w:name="page50"/>
    <w:bookmarkEnd w:id="49"/>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determining the Make-Whole Price, the following definitions are applicable:</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0"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any of Deutsche Bank Securities Inc., J.P. Morgan Securities LLC and RBS Securities Inc.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76" w:lineRule="exact"/>
        <w:rPr>
          <w:sz w:val="20"/>
          <w:szCs w:val="20"/>
          <w:color w:val="auto"/>
        </w:rPr>
      </w:pPr>
    </w:p>
    <w:p>
      <w:pPr>
        <w:ind w:right="440" w:firstLine="456"/>
        <w:spacing w:after="0" w:line="289" w:lineRule="auto"/>
        <w:rPr>
          <w:sz w:val="20"/>
          <w:szCs w:val="20"/>
          <w:color w:val="auto"/>
        </w:rPr>
      </w:pPr>
      <w:r>
        <w:rPr>
          <w:rFonts w:ascii="Times New Roman" w:cs="Times New Roman" w:eastAsia="Times New Roman" w:hAnsi="Times New Roman"/>
          <w:sz w:val="17"/>
          <w:szCs w:val="17"/>
          <w:color w:val="auto"/>
        </w:rPr>
        <w:t>“Reference Treasury Dealer” means (i) each of Deutsche Bank Securities Inc., J.P. Morgan Securities LLC and RBS Securities Inc.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ectPr>
          <w:pgSz w:w="11900" w:h="16838" w:orient="portrait"/>
          <w:cols w:equalWidth="0" w:num="1">
            <w:col w:w="11400"/>
          </w:cols>
          <w:pgMar w:left="240" w:top="270" w:right="259" w:bottom="1440" w:gutter="0" w:footer="0" w:header="0"/>
        </w:sectPr>
      </w:pPr>
    </w:p>
    <w:bookmarkStart w:id="50" w:name="page51"/>
    <w:bookmarkEnd w:id="50"/>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Except as set forth above, the Securities will not be redeemable prior to their Stated Maturity and will not be entitled to the benefit of any sinking fund.</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372" w:lineRule="exact"/>
        <w:rPr>
          <w:sz w:val="20"/>
          <w:szCs w:val="20"/>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 Offer.</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88" w:lineRule="exact"/>
        <w:rPr>
          <w:sz w:val="20"/>
          <w:szCs w:val="20"/>
          <w:color w:val="auto"/>
        </w:rPr>
      </w:pPr>
    </w:p>
    <w:p>
      <w:pPr>
        <w:ind w:right="340" w:firstLine="456"/>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131"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67" w:lineRule="exact"/>
        <w:rPr>
          <w:rFonts w:ascii="Times New Roman" w:cs="Times New Roman" w:eastAsia="Times New Roman" w:hAnsi="Times New Roman"/>
          <w:sz w:val="18"/>
          <w:szCs w:val="18"/>
          <w:color w:val="auto"/>
        </w:rPr>
      </w:pPr>
    </w:p>
    <w:p>
      <w:pPr>
        <w:ind w:left="900" w:right="560" w:hanging="44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ectPr>
          <w:pgSz w:w="11900" w:h="16838" w:orient="portrait"/>
          <w:cols w:equalWidth="0" w:num="1">
            <w:col w:w="11340"/>
          </w:cols>
          <w:pgMar w:left="240" w:top="270" w:right="319" w:bottom="1440" w:gutter="0" w:footer="0" w:header="0"/>
        </w:sectPr>
      </w:pPr>
    </w:p>
    <w:bookmarkStart w:id="51" w:name="page52"/>
    <w:bookmarkEnd w:id="51"/>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ectPr>
          <w:pgSz w:w="11900" w:h="16838" w:orient="portrait"/>
          <w:cols w:equalWidth="0" w:num="1">
            <w:col w:w="11360"/>
          </w:cols>
          <w:pgMar w:left="240" w:top="270" w:right="299" w:bottom="1440" w:gutter="0" w:footer="0" w:header="0"/>
        </w:sectPr>
      </w:pPr>
    </w:p>
    <w:bookmarkStart w:id="52" w:name="page53"/>
    <w:bookmarkEnd w:id="52"/>
    <w:p>
      <w:pPr>
        <w:ind w:right="140" w:firstLine="45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2" w:lineRule="exact"/>
        <w:rPr>
          <w:sz w:val="20"/>
          <w:szCs w:val="20"/>
          <w:color w:val="auto"/>
        </w:rPr>
      </w:pPr>
    </w:p>
    <w:p>
      <w:pPr>
        <w:ind w:right="180" w:firstLine="8"/>
        <w:spacing w:after="0" w:line="255" w:lineRule="auto"/>
        <w:tabs>
          <w:tab w:leader="none" w:pos="2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“S&amp;P” means Standard &amp; Poor’s Ratings Services, a division of The McGraw-Hill Companies, Inc., and its successors.</w:t>
      </w:r>
    </w:p>
    <w:p>
      <w:pPr>
        <w:sectPr>
          <w:pgSz w:w="11900" w:h="16838" w:orient="portrait"/>
          <w:cols w:equalWidth="0" w:num="1">
            <w:col w:w="11380"/>
          </w:cols>
          <w:pgMar w:left="240" w:top="270" w:right="279" w:bottom="1440" w:gutter="0" w:footer="0" w:header="0"/>
        </w:sectPr>
      </w:pPr>
    </w:p>
    <w:bookmarkStart w:id="53" w:name="page54"/>
    <w:bookmarkEnd w:id="53"/>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08" w:lineRule="exact"/>
        <w:rPr>
          <w:sz w:val="20"/>
          <w:szCs w:val="20"/>
          <w:color w:val="auto"/>
        </w:rPr>
      </w:pPr>
    </w:p>
    <w:p>
      <w:pPr>
        <w:ind w:left="900" w:hanging="446"/>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Transfer; Exchange.</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23"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 Deemed Owners.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372"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Supplement; Waiver.</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336"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p>
    <w:p>
      <w:pPr>
        <w:spacing w:after="0" w:line="119"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7"/>
          <w:szCs w:val="17"/>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160" w:firstLine="8"/>
        <w:spacing w:after="0" w:line="261" w:lineRule="auto"/>
        <w:tabs>
          <w:tab w:leader="none" w:pos="2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and the reasonable compensation, expenses, disbursements and advances of the Trustee, its agents and counsel and (2) all Events of Default under the Indenture with respect to the Securities, other than the</w:t>
      </w:r>
    </w:p>
    <w:p>
      <w:pPr>
        <w:sectPr>
          <w:pgSz w:w="11900" w:h="16838" w:orient="portrait"/>
          <w:cols w:equalWidth="0" w:num="1">
            <w:col w:w="11400"/>
          </w:cols>
          <w:pgMar w:left="240" w:top="270" w:right="259" w:bottom="1440" w:gutter="0" w:footer="0" w:header="0"/>
        </w:sectPr>
      </w:pPr>
    </w:p>
    <w:bookmarkStart w:id="54" w:name="page55"/>
    <w:bookmarkEnd w:id="54"/>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w:t>
      </w:r>
    </w:p>
    <w:p>
      <w:pPr>
        <w:spacing w:after="0" w:line="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Subject to certain limitations, Holders of a majority in aggregate principal amount of the Securities then outstanding may direct the Trustee in its exercise of any trust or power.</w:t>
      </w:r>
    </w:p>
    <w:p>
      <w:pPr>
        <w:spacing w:after="0" w:line="326" w:lineRule="exact"/>
        <w:rPr>
          <w:sz w:val="20"/>
          <w:szCs w:val="20"/>
          <w:color w:val="auto"/>
        </w:rPr>
      </w:pPr>
    </w:p>
    <w:p>
      <w:pPr>
        <w:ind w:left="900" w:hanging="44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323"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372" w:lineRule="exact"/>
        <w:rPr>
          <w:sz w:val="20"/>
          <w:szCs w:val="20"/>
          <w:color w:val="auto"/>
        </w:rPr>
      </w:pPr>
    </w:p>
    <w:p>
      <w:pPr>
        <w:ind w:left="900" w:hanging="446"/>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 and Defined Terms.</w:t>
      </w:r>
    </w:p>
    <w:p>
      <w:pPr>
        <w:spacing w:after="0" w:line="11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323"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323" w:lineRule="exact"/>
        <w:rPr>
          <w:sz w:val="20"/>
          <w:szCs w:val="20"/>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Absolute Obligation.</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323" w:lineRule="exact"/>
        <w:rPr>
          <w:sz w:val="20"/>
          <w:szCs w:val="20"/>
          <w:color w:val="auto"/>
        </w:rPr>
      </w:pPr>
    </w:p>
    <w:p>
      <w:pPr>
        <w:ind w:left="900" w:hanging="446"/>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w:t>
      </w:r>
    </w:p>
    <w:p>
      <w:pPr>
        <w:spacing w:after="0" w:line="11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w:t>
      </w:r>
    </w:p>
    <w:p>
      <w:pPr>
        <w:sectPr>
          <w:pgSz w:w="11900" w:h="16838" w:orient="portrait"/>
          <w:cols w:equalWidth="0" w:num="1">
            <w:col w:w="11380"/>
          </w:cols>
          <w:pgMar w:left="240" w:top="270" w:right="279" w:bottom="1440" w:gutter="0" w:footer="0" w:header="0"/>
        </w:sectPr>
      </w:pPr>
    </w:p>
    <w:bookmarkStart w:id="55" w:name="page56"/>
    <w:bookmarkEnd w:id="5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323" w:lineRule="exact"/>
        <w:rPr>
          <w:sz w:val="20"/>
          <w:szCs w:val="20"/>
          <w:color w:val="auto"/>
        </w:rPr>
      </w:pPr>
    </w:p>
    <w:p>
      <w:pPr>
        <w:ind w:left="900" w:hanging="44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372"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w:t>
      </w:r>
    </w:p>
    <w:p>
      <w:pPr>
        <w:spacing w:after="0" w:line="119"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Agreement dated May 8, 2014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420"/>
          </w:cols>
          <w:pgMar w:left="240" w:top="270"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DEFINITIVE SECURITY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60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256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60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w:t>
            </w:r>
          </w:p>
        </w:tc>
        <w:tc>
          <w:tcPr>
            <w:tcW w:w="256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of this Book-Entry</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60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this</w:t>
            </w:r>
          </w:p>
        </w:tc>
        <w:tc>
          <w:tcPr>
            <w:tcW w:w="2560" w:type="dxa"/>
            <w:vAlign w:val="bottom"/>
            <w:gridSpan w:val="2"/>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Security following</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officer</w:t>
            </w: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60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of this Book-Entry</w:t>
            </w:r>
          </w:p>
        </w:tc>
        <w:tc>
          <w:tcPr>
            <w:tcW w:w="260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Book-Entry</w:t>
            </w:r>
          </w:p>
        </w:tc>
        <w:tc>
          <w:tcPr>
            <w:tcW w:w="2560" w:type="dxa"/>
            <w:vAlign w:val="bottom"/>
            <w:gridSpan w:val="2"/>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such decrease (or</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Trustee or</w:t>
            </w: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26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6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56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Custodian</w:t>
            </w: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203"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22, 2009, Waste Management, Inc. (the “Company”) filed with the Securities Exchange Commission (the “SEC”)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 shelf registration statement on Form S-3, File No. 333-162059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80"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rules and regulations promulgated by the SEC, the Automatic Shelf Registration Statement will expire, by its terms,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22, 2012, three years after the effective date of the Automatic Shelf Registration Statement; and</w:t>
      </w:r>
    </w:p>
    <w:p>
      <w:pPr>
        <w:spacing w:after="0" w:line="15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time of the Board of Directors’ approval of the Automatic Shelf Registration Statement, the Board of Directors also authorized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offer and sell up to an aggregate of $3,000,000,000 of Securities (the “2009 Issuance Authorization”); and</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and finds it in the best interests of the Company, to file a new automatic shelf registration statement on Form S-3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facilitate any future offerings of securities by the Company or any selling security holders.</w:t>
      </w:r>
    </w:p>
    <w:p>
      <w:pPr>
        <w:spacing w:after="0" w:line="15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Company is hereby authorized to prepare and file with the SEC an automatic shelf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85"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(as established pursuant to these resolutions) be, and they hereby are, authorized, in their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ectPr>
          <w:pgSz w:w="11900" w:h="16838" w:orient="portrait"/>
          <w:cols w:equalWidth="0" w:num="1">
            <w:col w:w="11380"/>
          </w:cols>
          <w:pgMar w:left="240" w:top="266" w:right="279" w:bottom="1440" w:gutter="0" w:footer="0" w:header="0"/>
        </w:sectPr>
      </w:pPr>
    </w:p>
    <w:bookmarkStart w:id="58" w:name="page59"/>
    <w:bookmarkEnd w:id="58"/>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Times New Roman" w:cs="Times New Roman" w:eastAsia="Times New Roman" w:hAnsi="Times New Roman"/>
          <w:sz w:val="18"/>
          <w:szCs w:val="18"/>
          <w:color w:val="auto"/>
        </w:rPr>
        <w:t>, that upon the filing date of the New Registration Statement, authority to make new issuances of Securities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2009 Issuance Authorization shall be deemed rescinded;</w:t>
      </w:r>
    </w:p>
    <w:p>
      <w:pPr>
        <w:spacing w:after="0" w:line="155"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the authorized employees (as established pursuant to these resolutions) be, and each of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authorized, in the name and on behalf of the Company, to execute and cause to be filed with the SEC any and all amendments (including,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83"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General Counsel of the Company be, and he hereby is, designated and appointed the agent for service of process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under the Securities Act in connection with the New Registration Statement and any and all amendments and supplements thereto, with all powers incident to such appointment;</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hereby are authorized and directed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appropriate qualification or registration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ectPr>
          <w:pgSz w:w="11900" w:h="16838" w:orient="portrait"/>
          <w:cols w:equalWidth="0" w:num="1">
            <w:col w:w="11420"/>
          </w:cols>
          <w:pgMar w:left="240" w:top="266" w:right="239" w:bottom="1440" w:gutter="0" w:footer="0" w:header="0"/>
        </w:sectPr>
      </w:pPr>
    </w:p>
    <w:bookmarkStart w:id="59" w:name="page60"/>
    <w:bookmarkEnd w:id="59"/>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Times New Roman" w:cs="Times New Roman" w:eastAsia="Times New Roman" w:hAnsi="Times New Roman"/>
          <w:sz w:val="18"/>
          <w:szCs w:val="18"/>
          <w:color w:val="auto"/>
        </w:rPr>
        <w:t>, that any of the proper officers or authorized employees be, and each of them hereby is, authorized to approve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be, and each of them hereby is, authorized, at any time and from time to time,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to determine, within any limits that may be set by the Board of Directors, the number of shares of Common Stock, preferred stock or other equity securities to be offered and sold by the Company pursuant to the New 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 the proper officers may, at any time and from time to time, on behalf of the Company, authorize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80"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in connection with any such series of Securities (but without limiting the authority hereinafter in these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ectPr>
          <w:pgSz w:w="11900" w:h="16838" w:orient="portrait"/>
          <w:cols w:equalWidth="0" w:num="1">
            <w:col w:w="11420"/>
          </w:cols>
          <w:pgMar w:left="240" w:top="266" w:right="239" w:bottom="1440" w:gutter="0" w:footer="0" w:header="0"/>
        </w:sectPr>
      </w:pPr>
    </w:p>
    <w:bookmarkStart w:id="60" w:name="page61"/>
    <w:bookmarkEnd w:id="60"/>
    <w:p>
      <w:pPr>
        <w:jc w:val="both"/>
        <w:ind w:right="200" w:firstLine="456"/>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RESOLVED FURTHER, </w:t>
      </w:r>
      <w:r>
        <w:rPr>
          <w:rFonts w:ascii="Times New Roman" w:cs="Times New Roman" w:eastAsia="Times New Roman" w:hAnsi="Times New Roman"/>
          <w:sz w:val="17"/>
          <w:szCs w:val="17"/>
          <w:color w:val="auto"/>
        </w:rPr>
        <w:t>that, in connection with the issuance of Securities of any series which may not be originally issued at one time (except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153"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in connection with any such series of Securities, any of the proper officers is authorized to approve any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7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7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subject to and in accordance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indentures 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8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and authorized employees be, and each of them hereby is, authorized, in the name and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w:t>
      </w:r>
    </w:p>
    <w:p>
      <w:pPr>
        <w:sectPr>
          <w:pgSz w:w="11900" w:h="16838" w:orient="portrait"/>
          <w:cols w:equalWidth="0" w:num="1">
            <w:col w:w="11400"/>
          </w:cols>
          <w:pgMar w:left="240" w:top="266" w:right="259" w:bottom="1440" w:gutter="0" w:footer="0" w:header="0"/>
        </w:sectPr>
      </w:pPr>
    </w:p>
    <w:bookmarkStart w:id="61" w:name="page62"/>
    <w:bookmarkEnd w:id="6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72"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proper officers be, and each of them hereby is, authorized, in the name and on behalf of the Company,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8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officers and authorized employees of the Company be, and each of them hereby is, authorized to take,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18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for purposes of these resolutions, the term “proper officer” shall mean any or all of the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the General Counsel, the Chief Accounting Officer and the Treasurer of the Company and the term “authorized employees” shall mean either or both of the Vice President and Assistant General Counsel – Corporate and Securities and the Senior Legal Counsel – Corporate &amp; Securities of the Company;</w:t>
      </w:r>
    </w:p>
    <w:p>
      <w:pPr>
        <w:spacing w:after="0" w:line="177"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the form of any additional resolutions required in connection with the foregoing resolutions be and hereby is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77"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RESOLVED FURTHER</w:t>
      </w:r>
      <w:r>
        <w:rPr>
          <w:rFonts w:ascii="Times New Roman" w:cs="Times New Roman" w:eastAsia="Times New Roman" w:hAnsi="Times New Roman"/>
          <w:sz w:val="18"/>
          <w:szCs w:val="18"/>
          <w:color w:val="auto"/>
        </w:rPr>
        <w:t>, that any officer of the Company is hereby authorized and directed to make, provide, execute, and deliver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20"/>
          </w:cols>
          <w:pgMar w:left="240" w:top="270"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GUARANTEE</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in Favor of The Bank of New York Mellon Trust Company, N.A., as Trustee for the Holders of Certain Debt Securities of</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$350,000,000</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3.50% Senior Notes due 2024</w:t>
      </w:r>
    </w:p>
    <w:p>
      <w:pPr>
        <w:spacing w:after="0" w:line="2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May 8, 2014</w:t>
      </w:r>
    </w:p>
    <w:p>
      <w:pPr>
        <w:sectPr>
          <w:pgSz w:w="11900" w:h="16838" w:orient="portrait"/>
          <w:cols w:equalWidth="0" w:num="1">
            <w:col w:w="10220"/>
          </w:cols>
          <w:pgMar w:left="1440" w:top="117" w:right="239" w:bottom="1440" w:gutter="0" w:footer="0" w:header="0"/>
        </w:sectPr>
      </w:pPr>
    </w:p>
    <w:bookmarkStart w:id="63" w:name="page64"/>
    <w:bookmarkEnd w:id="63"/>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dated as of May 8, 2014 (as amended from time to time, this “Guarantee”), made by Waste Management Holdings, Inc. (formerly known as Waste Management, Inc.), a Delaware corporation (the “Guarantor”), in favor of The Bank of New York Mellon Trust Company, N.A., as trustee for the holders of the $350 million 3.50% Senior Notes due 2024 (the “Debt Securities”) of Waste Management, Inc. (formerly known as USA Waste Services, Inc.), a Delaware corporation (the “Issuer”).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ind w:firstLine="921"/>
        <w:spacing w:after="0" w:line="256" w:lineRule="auto"/>
        <w:tabs>
          <w:tab w:leader="none" w:pos="11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87" w:lineRule="exact"/>
        <w:rPr>
          <w:rFonts w:ascii="Times New Roman" w:cs="Times New Roman" w:eastAsia="Times New Roman" w:hAnsi="Times New Roman"/>
          <w:sz w:val="18"/>
          <w:szCs w:val="18"/>
          <w:color w:val="auto"/>
        </w:rPr>
      </w:pPr>
    </w:p>
    <w:p>
      <w:pPr>
        <w:ind w:right="40" w:firstLine="921"/>
        <w:spacing w:after="0" w:line="256" w:lineRule="auto"/>
        <w:tabs>
          <w:tab w:leader="none" w:pos="11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8"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68" w:lineRule="exact"/>
        <w:rPr>
          <w:sz w:val="20"/>
          <w:szCs w:val="20"/>
          <w:color w:val="auto"/>
        </w:rPr>
      </w:pPr>
    </w:p>
    <w:p>
      <w:pPr>
        <w:ind w:left="1120" w:hanging="217"/>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Indenture, the Debt Securities or any other agreement or instrument relating thereto;</w:t>
      </w:r>
    </w:p>
    <w:p>
      <w:pPr>
        <w:spacing w:after="0" w:line="117" w:lineRule="exact"/>
        <w:rPr>
          <w:rFonts w:ascii="Times New Roman" w:cs="Times New Roman" w:eastAsia="Times New Roman" w:hAnsi="Times New Roman"/>
          <w:sz w:val="18"/>
          <w:szCs w:val="18"/>
          <w:color w:val="auto"/>
        </w:rPr>
      </w:pPr>
    </w:p>
    <w:p>
      <w:pPr>
        <w:ind w:left="460" w:right="440" w:firstLine="443"/>
        <w:spacing w:after="0" w:line="282" w:lineRule="auto"/>
        <w:tabs>
          <w:tab w:leader="none" w:pos="11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or any other amendment or waiver of or any consent to departure from the Indenture;</w:t>
      </w:r>
    </w:p>
    <w:p>
      <w:pPr>
        <w:spacing w:after="0" w:line="53" w:lineRule="exact"/>
        <w:rPr>
          <w:rFonts w:ascii="Times New Roman" w:cs="Times New Roman" w:eastAsia="Times New Roman" w:hAnsi="Times New Roman"/>
          <w:sz w:val="18"/>
          <w:szCs w:val="18"/>
          <w:color w:val="auto"/>
        </w:rPr>
      </w:pPr>
    </w:p>
    <w:p>
      <w:pPr>
        <w:ind w:left="460" w:right="180" w:firstLine="443"/>
        <w:spacing w:after="0" w:line="282" w:lineRule="auto"/>
        <w:tabs>
          <w:tab w:leader="none" w:pos="12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other guaranty, for all or any of the Obligations; or</w:t>
      </w:r>
    </w:p>
    <w:p>
      <w:pPr>
        <w:spacing w:after="0" w:line="53"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the Issuer or a guarantor.</w:t>
      </w:r>
    </w:p>
    <w:p>
      <w:pPr>
        <w:sectPr>
          <w:pgSz w:w="11900" w:h="16838" w:orient="portrait"/>
          <w:cols w:equalWidth="0" w:num="1">
            <w:col w:w="11400"/>
          </w:cols>
          <w:pgMar w:left="240" w:top="270" w:right="259" w:bottom="1440" w:gutter="0" w:footer="0" w:header="0"/>
        </w:sectPr>
      </w:pPr>
    </w:p>
    <w:bookmarkStart w:id="64" w:name="page65"/>
    <w:bookmarkEnd w:id="64"/>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p>
    <w:p>
      <w:pPr>
        <w:spacing w:after="0" w:line="225" w:lineRule="exact"/>
        <w:rPr>
          <w:sz w:val="20"/>
          <w:szCs w:val="20"/>
          <w:color w:val="auto"/>
        </w:rPr>
      </w:pPr>
    </w:p>
    <w:p>
      <w:pPr>
        <w:jc w:val="both"/>
        <w:ind w:right="340" w:firstLine="921"/>
        <w:spacing w:after="0" w:line="266" w:lineRule="auto"/>
        <w:tabs>
          <w:tab w:leader="none" w:pos="11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6" w:lineRule="exact"/>
        <w:rPr>
          <w:rFonts w:ascii="Times New Roman" w:cs="Times New Roman" w:eastAsia="Times New Roman" w:hAnsi="Times New Roman"/>
          <w:sz w:val="18"/>
          <w:szCs w:val="18"/>
          <w:color w:val="auto"/>
        </w:rPr>
      </w:pPr>
    </w:p>
    <w:p>
      <w:pPr>
        <w:ind w:right="160" w:firstLine="921"/>
        <w:spacing w:after="0" w:line="266" w:lineRule="auto"/>
        <w:tabs>
          <w:tab w:leader="none" w:pos="11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6" w:lineRule="exact"/>
        <w:rPr>
          <w:sz w:val="20"/>
          <w:szCs w:val="20"/>
          <w:color w:val="auto"/>
        </w:rPr>
      </w:pPr>
    </w:p>
    <w:p>
      <w:pPr>
        <w:ind w:right="240" w:firstLine="456"/>
        <w:spacing w:after="0" w:line="289"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No Waiver, Remedies</w:t>
      </w:r>
      <w:r>
        <w:rPr>
          <w:rFonts w:ascii="Times New Roman" w:cs="Times New Roman" w:eastAsia="Times New Roman" w:hAnsi="Times New Roman"/>
          <w:sz w:val="17"/>
          <w:szCs w:val="17"/>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58"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Continuing Guarantee; Transfer of Interest</w:t>
      </w:r>
      <w:r>
        <w:rPr>
          <w:rFonts w:ascii="Times New Roman" w:cs="Times New Roman" w:eastAsia="Times New Roman" w:hAnsi="Times New Roman"/>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Second Amended and Restated Revolving Credit Agreement dated July 26, 2013,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w:t>
      </w:r>
    </w:p>
    <w:p>
      <w:pPr>
        <w:ind w:firstLine="8"/>
        <w:spacing w:after="0" w:line="261"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binding upon the Guarantor, its successors and assigns, and (iii) inure to the benefit of and be enforceable by any holder of Debt Securities, the Trustee, and by their respective successors, transferees, and assigns.</w:t>
      </w:r>
    </w:p>
    <w:p>
      <w:pPr>
        <w:sectPr>
          <w:pgSz w:w="11900" w:h="16838" w:orient="portrait"/>
          <w:cols w:equalWidth="0" w:num="1">
            <w:col w:w="11400"/>
          </w:cols>
          <w:pgMar w:left="240" w:top="270" w:right="259" w:bottom="1440" w:gutter="0" w:footer="0" w:header="0"/>
        </w:sectPr>
      </w:pPr>
    </w:p>
    <w:bookmarkStart w:id="65" w:name="page66"/>
    <w:bookmarkEnd w:id="65"/>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Don P. Carpenter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Chief Financial Officer and Controller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Jeff Bennett</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p>
      <w:pPr>
        <w:sectPr>
          <w:pgSz w:w="11900" w:h="16838" w:orient="portrait"/>
          <w:cols w:equalWidth="0" w:num="1">
            <w:col w:w="11360"/>
          </w:cols>
          <w:pgMar w:left="240" w:top="270" w:right="299" w:bottom="1440" w:gutter="0" w:footer="0" w:header="0"/>
        </w:sectPr>
      </w:pPr>
    </w:p>
    <w:bookmarkStart w:id="66" w:name="page67"/>
    <w:bookmarkEnd w:id="66"/>
    <w:tbl>
      <w:tblPr>
        <w:tblLayout w:type="fixed"/>
        <w:tblInd w:w="600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5.1</w:t>
            </w:r>
          </w:p>
        </w:tc>
      </w:tr>
      <w:tr>
        <w:trPr>
          <w:trHeight w:val="54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ONE SHELL PLAZA</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ABU DHABI</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HOUSTON</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AUSTIN</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BEIJING</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BRUSSELS</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800" w:type="dxa"/>
            <w:vAlign w:val="bottom"/>
          </w:tcPr>
          <w:p>
            <w:pPr>
              <w:spacing w:after="0"/>
              <w:rPr>
                <w:sz w:val="18"/>
                <w:szCs w:val="18"/>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DALLAS</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TEL +1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DUBAI</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RIO DE JANEIRO</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713.229.1234</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FAX +1</w:t>
            </w:r>
          </w:p>
        </w:tc>
        <w:tc>
          <w:tcPr>
            <w:tcW w:w="1620" w:type="dxa"/>
            <w:vAlign w:val="bottom"/>
          </w:tcPr>
          <w:p>
            <w:pPr>
              <w:spacing w:after="0"/>
              <w:rPr>
                <w:sz w:val="18"/>
                <w:szCs w:val="18"/>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WASHINGTON</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713.229.1522</w:t>
            </w: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180975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975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and Waste Management Holdings, Inc., a Delaware corporation (“Holdings”), have engaged us to render the opinions expressed below in connection with the Company’s proposed issuance of $350,000,000 aggregate principal amount of</w:t>
      </w:r>
    </w:p>
    <w:p>
      <w:pPr>
        <w:ind w:right="140"/>
        <w:spacing w:after="0" w:line="254" w:lineRule="auto"/>
        <w:rPr>
          <w:sz w:val="20"/>
          <w:szCs w:val="20"/>
          <w:color w:val="auto"/>
        </w:rPr>
      </w:pPr>
      <w:r>
        <w:rPr>
          <w:rFonts w:ascii="Times New Roman" w:cs="Times New Roman" w:eastAsia="Times New Roman" w:hAnsi="Times New Roman"/>
          <w:sz w:val="18"/>
          <w:szCs w:val="18"/>
          <w:color w:val="auto"/>
        </w:rPr>
        <w:t>3.50% Senior Notes due 2024 (the “Notes”) and the issuance of the related guarantee of the Notes by Holdings (the “Guarantee”), as contemplated by the Registration Statement on Form S-3 (Registration No. 333-184157)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86"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September 28, 2012 and prospectus supplement dated May 5, 2014 relating to the Notes (collectively, the “Prospectus”) have been filed with the Commission pursuant to Rule 424(b) under the Act.</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May 5, 2014, with Deutsche Bank Securities Inc., J.P. Morgan Securities LLC and RBS Securities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the current successor to Texas Commerce Bank National Association, as trustee (the “Trustee”).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 (i)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Restated Certificate of Incorporation and the Amended and Restated Bylaws of the Company, each as amended to date; (ii) the Third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 and Bylaws of Holdings, each as amended to date; (iii) the Indenture; (iv) the Officers’ Certificate delivered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of the Indenture; (v) the Guarantee to be entered into by Holdings in favor of the holders of the Notes concurrently with the issuance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Indenture (the “Guarantee Agreement”); (vi) the</w:t>
      </w:r>
    </w:p>
    <w:p>
      <w:pPr>
        <w:sectPr>
          <w:pgSz w:w="11900" w:h="16838" w:orient="portrait"/>
          <w:cols w:equalWidth="0" w:num="1">
            <w:col w:w="11420"/>
          </w:cols>
          <w:pgMar w:left="240" w:top="10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450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- 2 -</w:t>
            </w:r>
          </w:p>
        </w:tc>
        <w:tc>
          <w:tcPr>
            <w:tcW w:w="312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8"/>
              </w:rPr>
              <w:t>May 8, 2014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26185"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120015"/>
                    </a:xfrm>
                    <a:prstGeom prst="rect">
                      <a:avLst/>
                    </a:prstGeom>
                    <a:noFill/>
                  </pic:spPr>
                </pic:pic>
              </a:graphicData>
            </a:graphic>
          </wp:anchor>
        </w:drawing>
      </w:r>
    </w:p>
    <w:p>
      <w:pPr>
        <w:ind w:right="80"/>
        <w:spacing w:after="0" w:line="256" w:lineRule="auto"/>
        <w:rPr>
          <w:sz w:val="20"/>
          <w:szCs w:val="20"/>
          <w:color w:val="auto"/>
        </w:rPr>
      </w:pPr>
      <w:r>
        <w:rPr>
          <w:rFonts w:ascii="Times New Roman" w:cs="Times New Roman" w:eastAsia="Times New Roman" w:hAnsi="Times New Roman"/>
          <w:sz w:val="18"/>
          <w:szCs w:val="18"/>
          <w:color w:val="auto"/>
        </w:rPr>
        <w:t>Underwriting Agreement; (vii) 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8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ectPr>
          <w:pgSz w:w="11900" w:h="16838" w:orient="portrait"/>
          <w:cols w:equalWidth="0" w:num="1">
            <w:col w:w="11420"/>
          </w:cols>
          <w:pgMar w:left="240" w:top="56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450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- 3 -</w:t>
            </w:r>
          </w:p>
        </w:tc>
        <w:tc>
          <w:tcPr>
            <w:tcW w:w="312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8"/>
              </w:rPr>
              <w:t>May 8, 2014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2618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226185" cy="12001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KBR/JAR/MEW/LRR</w:t>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decimal"/>
      <w:start w:val="1"/>
    </w:lvl>
    <w:lvl w:ilvl="1">
      <w:lvlJc w:val="left"/>
      <w:lvlText w:val="(%2)"/>
      <w:numFmt w:val="lowerLetter"/>
      <w:start w:val="1"/>
    </w:lvl>
  </w:abstractNum>
  <w:abstractNum w:abstractNumId="2">
    <w:nsid w:val="2463B9EA"/>
    <w:multiLevelType w:val="hybridMultilevel"/>
    <w:lvl w:ilvl="0">
      <w:lvlJc w:val="left"/>
      <w:lvlText w:val="(%1)"/>
      <w:numFmt w:val="lowerLetter"/>
      <w:start w:val="3"/>
    </w:lvl>
  </w:abstractNum>
  <w:abstractNum w:abstractNumId="3">
    <w:nsid w:val="5E884ADC"/>
    <w:multiLevelType w:val="hybridMultilevel"/>
    <w:lvl w:ilvl="0">
      <w:lvlJc w:val="left"/>
      <w:lvlText w:val="(%1)"/>
      <w:numFmt w:val="lowerLetter"/>
      <w:start w:val="6"/>
    </w:lvl>
  </w:abstractNum>
  <w:abstractNum w:abstractNumId="4">
    <w:nsid w:val="51EAD36B"/>
    <w:multiLevelType w:val="hybridMultilevel"/>
    <w:lvl w:ilvl="0">
      <w:lvlJc w:val="left"/>
      <w:lvlText w:val="(%1)"/>
      <w:numFmt w:val="lowerLetter"/>
      <w:start w:val="10"/>
    </w:lvl>
  </w:abstractNum>
  <w:abstractNum w:abstractNumId="5">
    <w:nsid w:val="2D517796"/>
    <w:multiLevelType w:val="hybridMultilevel"/>
    <w:lvl w:ilvl="0">
      <w:lvlJc w:val="left"/>
      <w:lvlText w:val="(%1)"/>
      <w:numFmt w:val="lowerLetter"/>
      <w:start w:val="14"/>
    </w:lvl>
  </w:abstractNum>
  <w:abstractNum w:abstractNumId="6">
    <w:nsid w:val="580BD78F"/>
    <w:multiLevelType w:val="hybridMultilevel"/>
    <w:lvl w:ilvl="0">
      <w:lvlJc w:val="left"/>
      <w:lvlText w:val="(%1)"/>
      <w:numFmt w:val="lowerLetter"/>
      <w:start w:val="17"/>
    </w:lvl>
  </w:abstractNum>
  <w:abstractNum w:abstractNumId="7">
    <w:nsid w:val="153EA438"/>
    <w:multiLevelType w:val="hybridMultilevel"/>
    <w:lvl w:ilvl="0">
      <w:lvlJc w:val="left"/>
      <w:lvlText w:val="(%1)"/>
      <w:numFmt w:val="lowerLetter"/>
      <w:start w:val="23"/>
    </w:lvl>
  </w:abstractNum>
  <w:abstractNum w:abstractNumId="8">
    <w:nsid w:val="3855585C"/>
    <w:multiLevelType w:val="hybridMultilevel"/>
    <w:lvl w:ilvl="0">
      <w:lvlJc w:val="left"/>
      <w:lvlText w:val="%1"/>
      <w:numFmt w:val="lowerLetter"/>
      <w:start w:val="1"/>
    </w:lvl>
    <w:lvl w:ilvl="1">
      <w:lvlJc w:val="left"/>
      <w:lvlText w:val="(%2)"/>
      <w:numFmt w:val="lowerLetter"/>
      <w:start w:val="27"/>
    </w:lvl>
  </w:abstractNum>
  <w:abstractNum w:abstractNumId="9">
    <w:nsid w:val="70A64E2A"/>
    <w:multiLevelType w:val="hybridMultilevel"/>
    <w:lvl w:ilvl="0">
      <w:lvlJc w:val="left"/>
      <w:lvlText w:val="(%1)"/>
      <w:numFmt w:val="lowerLetter"/>
      <w:start w:val="35"/>
    </w:lvl>
    <w:lvl w:ilvl="1">
      <w:lvlJc w:val="left"/>
      <w:lvlText w:val="%2"/>
      <w:numFmt w:val="lowerLetter"/>
      <w:start w:val="1"/>
    </w:lvl>
  </w:abstractNum>
  <w:abstractNum w:abstractNumId="10">
    <w:nsid w:val="6A2342EC"/>
    <w:multiLevelType w:val="hybridMultilevel"/>
    <w:lvl w:ilvl="0">
      <w:lvlJc w:val="left"/>
      <w:lvlText w:val="%1"/>
      <w:numFmt w:val="lowerLetter"/>
      <w:start w:val="1"/>
    </w:lvl>
    <w:lvl w:ilvl="1">
      <w:lvlJc w:val="left"/>
      <w:lvlText w:val="(%2)"/>
      <w:numFmt w:val="lowerLetter"/>
      <w:start w:val="28"/>
    </w:lvl>
  </w:abstractNum>
  <w:abstractNum w:abstractNumId="11">
    <w:nsid w:val="2A487CB0"/>
    <w:multiLevelType w:val="hybridMultilevel"/>
    <w:lvl w:ilvl="0">
      <w:lvlJc w:val="left"/>
      <w:lvlText w:val="(%1)"/>
      <w:numFmt w:val="lowerLetter"/>
      <w:start w:val="9"/>
    </w:lvl>
    <w:lvl w:ilvl="1">
      <w:lvlJc w:val="left"/>
      <w:lvlText w:val="(%2)"/>
      <w:numFmt w:val="lowerLetter"/>
      <w:start w:val="31"/>
    </w:lvl>
  </w:abstractNum>
  <w:abstractNum w:abstractNumId="12">
    <w:nsid w:val="1D4ED43B"/>
    <w:multiLevelType w:val="hybridMultilevel"/>
    <w:lvl w:ilvl="0">
      <w:lvlJc w:val="left"/>
      <w:lvlText w:val="(%1)"/>
      <w:numFmt w:val="lowerLetter"/>
      <w:start w:val="32"/>
    </w:lvl>
  </w:abstractNum>
  <w:abstractNum w:abstractNumId="13">
    <w:nsid w:val="725A06FB"/>
    <w:multiLevelType w:val="hybridMultilevel"/>
    <w:lvl w:ilvl="0">
      <w:lvlJc w:val="left"/>
      <w:lvlText w:val="%1"/>
      <w:numFmt w:val="lowerLetter"/>
      <w:start w:val="1"/>
    </w:lvl>
    <w:lvl w:ilvl="1">
      <w:lvlJc w:val="left"/>
      <w:lvlText w:val="(%2)"/>
      <w:numFmt w:val="lowerLetter"/>
      <w:start w:val="35"/>
    </w:lvl>
  </w:abstractNum>
  <w:abstractNum w:abstractNumId="14">
    <w:nsid w:val="2CD89A32"/>
    <w:multiLevelType w:val="hybridMultilevel"/>
    <w:lvl w:ilvl="0">
      <w:lvlJc w:val="left"/>
      <w:lvlText w:val="(%1)"/>
      <w:numFmt w:val="lowerLetter"/>
      <w:start w:val="9"/>
    </w:lvl>
    <w:lvl w:ilvl="1">
      <w:lvlJc w:val="left"/>
      <w:lvlText w:val="(%2)"/>
      <w:numFmt w:val="lowerLetter"/>
      <w:start w:val="38"/>
    </w:lvl>
  </w:abstractNum>
  <w:abstractNum w:abstractNumId="15">
    <w:nsid w:val="57E4CCAF"/>
    <w:multiLevelType w:val="hybridMultilevel"/>
    <w:lvl w:ilvl="0">
      <w:lvlJc w:val="left"/>
      <w:lvlText w:val="(%1)"/>
      <w:numFmt w:val="lowerLetter"/>
      <w:start w:val="40"/>
    </w:lvl>
  </w:abstractNum>
  <w:abstractNum w:abstractNumId="16">
    <w:nsid w:val="7A6D8D3C"/>
    <w:multiLevelType w:val="hybridMultilevel"/>
    <w:lvl w:ilvl="0">
      <w:lvlJc w:val="left"/>
      <w:lvlText w:val="%1."/>
      <w:numFmt w:val="decimal"/>
      <w:start w:val="2"/>
    </w:lvl>
  </w:abstractNum>
  <w:abstractNum w:abstractNumId="17">
    <w:nsid w:val="4B588F54"/>
    <w:multiLevelType w:val="hybridMultilevel"/>
    <w:lvl w:ilvl="0">
      <w:lvlJc w:val="left"/>
      <w:lvlText w:val="%1."/>
      <w:numFmt w:val="decimal"/>
      <w:start w:val="3"/>
    </w:lvl>
  </w:abstractNum>
  <w:abstractNum w:abstractNumId="18">
    <w:nsid w:val="542289EC"/>
    <w:multiLevelType w:val="hybridMultilevel"/>
    <w:lvl w:ilvl="0">
      <w:lvlJc w:val="left"/>
      <w:lvlText w:val="%1."/>
      <w:numFmt w:val="decimal"/>
      <w:start w:val="5"/>
    </w:lvl>
    <w:lvl w:ilvl="1">
      <w:lvlJc w:val="left"/>
      <w:lvlText w:val="(%2)"/>
      <w:numFmt w:val="lowerLetter"/>
      <w:start w:val="1"/>
    </w:lvl>
  </w:abstractNum>
  <w:abstractNum w:abstractNumId="19">
    <w:nsid w:val="6DE91B18"/>
    <w:multiLevelType w:val="hybridMultilevel"/>
    <w:lvl w:ilvl="0">
      <w:lvlJc w:val="left"/>
      <w:lvlText w:val="%1"/>
      <w:numFmt w:val="decimal"/>
      <w:start w:val="1"/>
    </w:lvl>
    <w:lvl w:ilvl="1">
      <w:lvlJc w:val="left"/>
      <w:lvlText w:val="(%2)"/>
      <w:numFmt w:val="lowerLetter"/>
      <w:start w:val="4"/>
    </w:lvl>
  </w:abstractNum>
  <w:abstractNum w:abstractNumId="20">
    <w:nsid w:val="38437FDB"/>
    <w:multiLevelType w:val="hybridMultilevel"/>
    <w:lvl w:ilvl="0">
      <w:lvlJc w:val="left"/>
      <w:lvlText w:val="(%1)"/>
      <w:numFmt w:val="decimal"/>
      <w:start w:val="2"/>
    </w:lvl>
    <w:lvl w:ilvl="1">
      <w:lvlJc w:val="left"/>
      <w:lvlText w:val="(%2)"/>
      <w:numFmt w:val="lowerLetter"/>
      <w:start w:val="5"/>
    </w:lvl>
  </w:abstractNum>
  <w:abstractNum w:abstractNumId="21">
    <w:nsid w:val="7644A45C"/>
    <w:multiLevelType w:val="hybridMultilevel"/>
    <w:lvl w:ilvl="0">
      <w:lvlJc w:val="left"/>
      <w:lvlText w:val="%1"/>
      <w:numFmt w:val="decimal"/>
      <w:start w:val="1"/>
    </w:lvl>
    <w:lvl w:ilvl="1">
      <w:lvlJc w:val="left"/>
      <w:lvlText w:val="(%2)"/>
      <w:numFmt w:val="lowerLetter"/>
      <w:start w:val="8"/>
    </w:lvl>
  </w:abstractNum>
  <w:abstractNum w:abstractNumId="22">
    <w:nsid w:val="32FFF902"/>
    <w:multiLevelType w:val="hybridMultilevel"/>
    <w:lvl w:ilvl="0">
      <w:lvlJc w:val="left"/>
      <w:lvlText w:val="%1."/>
      <w:numFmt w:val="decimal"/>
      <w:start w:val="6"/>
    </w:lvl>
    <w:lvl w:ilvl="1">
      <w:lvlJc w:val="left"/>
      <w:lvlText w:val="(%2)"/>
      <w:numFmt w:val="lowerLetter"/>
      <w:start w:val="1"/>
    </w:lvl>
  </w:abstractNum>
  <w:abstractNum w:abstractNumId="23">
    <w:nsid w:val="684A481A"/>
    <w:multiLevelType w:val="hybridMultilevel"/>
    <w:lvl w:ilvl="0">
      <w:lvlJc w:val="left"/>
      <w:lvlText w:val="%1"/>
      <w:numFmt w:val="decimal"/>
      <w:start w:val="405"/>
    </w:lvl>
    <w:lvl w:ilvl="1">
      <w:lvlJc w:val="left"/>
      <w:lvlText w:val="%2"/>
      <w:numFmt w:val="lowerLetter"/>
      <w:start w:val="1"/>
    </w:lvl>
  </w:abstractNum>
  <w:abstractNum w:abstractNumId="24">
    <w:nsid w:val="579478F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749ABB4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
    <w:nsid w:val="3DC240FB"/>
    <w:multiLevelType w:val="hybridMultilevel"/>
    <w:lvl w:ilvl="0">
      <w:lvlJc w:val="left"/>
      <w:lvlText w:val="(%1)"/>
      <w:numFmt w:val="lowerRoman"/>
      <w:start w:val="4"/>
    </w:lvl>
  </w:abstractNum>
  <w:abstractNum w:abstractNumId="27">
    <w:nsid w:val="1BA026FA"/>
    <w:multiLevelType w:val="hybridMultilevel"/>
    <w:lvl w:ilvl="0">
      <w:lvlJc w:val="left"/>
      <w:lvlText w:val="(%1)"/>
      <w:numFmt w:val="lowerRoman"/>
      <w:start w:val="9"/>
    </w:lvl>
  </w:abstractNum>
  <w:abstractNum w:abstractNumId="28">
    <w:nsid w:val="79A1DEAA"/>
    <w:multiLevelType w:val="hybridMultilevel"/>
    <w:lvl w:ilvl="0">
      <w:lvlJc w:val="left"/>
      <w:lvlText w:val="(%1)"/>
      <w:numFmt w:val="lowerRoman"/>
      <w:start w:val="7"/>
    </w:lvl>
  </w:abstractNum>
  <w:abstractNum w:abstractNumId="29">
    <w:nsid w:val="75C6C33A"/>
    <w:multiLevelType w:val="hybridMultilevel"/>
    <w:lvl w:ilvl="0">
      <w:lvlJc w:val="left"/>
      <w:lvlText w:val="(%1)"/>
      <w:numFmt w:val="decimal"/>
      <w:start w:val="2"/>
    </w:lvl>
  </w:abstractNum>
  <w:abstractNum w:abstractNumId="30">
    <w:nsid w:val="12E685FB"/>
    <w:multiLevelType w:val="hybridMultilevel"/>
    <w:lvl w:ilvl="0">
      <w:lvlJc w:val="left"/>
      <w:lvlText w:val="(%1)"/>
      <w:numFmt w:val="lowerLetter"/>
      <w:start w:val="3"/>
    </w:lvl>
    <w:lvl w:ilvl="1">
      <w:lvlJc w:val="left"/>
      <w:lvlText w:val="(%2)"/>
      <w:numFmt w:val="lowerRoman"/>
      <w:start w:val="1"/>
    </w:lvl>
  </w:abstractNum>
  <w:abstractNum w:abstractNumId="31">
    <w:nsid w:val="70C6A529"/>
    <w:multiLevelType w:val="hybridMultilevel"/>
    <w:lvl w:ilvl="0">
      <w:lvlJc w:val="left"/>
      <w:lvlText w:val="%1"/>
      <w:numFmt w:val="lowerLetter"/>
      <w:start w:val="1"/>
    </w:lvl>
    <w:lvl w:ilvl="1">
      <w:lvlJc w:val="left"/>
      <w:lvlText w:val="(%2)"/>
      <w:numFmt w:val="lowerRoman"/>
      <w:start w:val="3"/>
    </w:lvl>
  </w:abstractNum>
  <w:abstractNum w:abstractNumId="32">
    <w:nsid w:val="520EEDD1"/>
    <w:multiLevelType w:val="hybridMultilevel"/>
    <w:lvl w:ilvl="0">
      <w:lvlJc w:val="left"/>
      <w:lvlText w:val="(%1)"/>
      <w:numFmt w:val="lowerLetter"/>
      <w:start w:val="4"/>
    </w:lvl>
    <w:lvl w:ilvl="1">
      <w:lvlJc w:val="left"/>
      <w:lvlText w:val="%2"/>
      <w:numFmt w:val="lowerRoman"/>
      <w:start w:val="1"/>
    </w:lvl>
  </w:abstractNum>
  <w:abstractNum w:abstractNumId="33">
    <w:nsid w:val="374A3FE6"/>
    <w:multiLevelType w:val="hybridMultilevel"/>
    <w:lvl w:ilvl="0">
      <w:lvlJc w:val="left"/>
      <w:lvlText w:val="(%1)"/>
      <w:numFmt w:val="lowerLetter"/>
      <w:start w:val="5"/>
    </w:lvl>
    <w:lvl w:ilvl="1">
      <w:lvlJc w:val="left"/>
      <w:lvlText w:val="(%2)"/>
      <w:numFmt w:val="lowerRoman"/>
      <w:start w:val="1"/>
    </w:lvl>
  </w:abstractNum>
  <w:abstractNum w:abstractNumId="34">
    <w:nsid w:val="4F4EF005"/>
    <w:multiLevelType w:val="hybridMultilevel"/>
    <w:lvl w:ilvl="0">
      <w:lvlJc w:val="left"/>
      <w:lvlText w:val="%1"/>
      <w:numFmt w:val="upperLetter"/>
      <w:start w:val="1"/>
    </w:lvl>
    <w:lvl w:ilvl="1">
      <w:lvlJc w:val="left"/>
      <w:lvlText w:val="(%2)"/>
      <w:numFmt w:val="lowerRoman"/>
      <w:start w:val="2"/>
    </w:lvl>
  </w:abstractNum>
  <w:abstractNum w:abstractNumId="35">
    <w:nsid w:val="23F9C13C"/>
    <w:multiLevelType w:val="hybridMultilevel"/>
    <w:lvl w:ilvl="0">
      <w:lvlJc w:val="left"/>
      <w:lvlText w:val="(%1)"/>
      <w:numFmt w:val="upperLetter"/>
      <w:start w:val="1"/>
    </w:lvl>
    <w:lvl w:ilvl="1">
      <w:lvlJc w:val="left"/>
      <w:lvlText w:val="%2"/>
      <w:numFmt w:val="lowerRoman"/>
      <w:start w:val="1"/>
    </w:lvl>
  </w:abstractNum>
  <w:abstractNum w:abstractNumId="36">
    <w:nsid w:val="649BB77C"/>
    <w:multiLevelType w:val="hybridMultilevel"/>
    <w:lvl w:ilvl="0">
      <w:lvlJc w:val="left"/>
      <w:lvlText w:val="(%1)"/>
      <w:numFmt w:val="lowerLetter"/>
      <w:start w:val="7"/>
    </w:lvl>
  </w:abstractNum>
  <w:abstractNum w:abstractNumId="37">
    <w:nsid w:val="275AC794"/>
    <w:multiLevelType w:val="hybridMultilevel"/>
    <w:lvl w:ilvl="0">
      <w:lvlJc w:val="left"/>
      <w:lvlText w:val="(%1)"/>
      <w:numFmt w:val="lowerLetter"/>
      <w:start w:val="8"/>
    </w:lvl>
  </w:abstractNum>
  <w:abstractNum w:abstractNumId="38">
    <w:nsid w:val="39386575"/>
    <w:multiLevelType w:val="hybridMultilevel"/>
    <w:lvl w:ilvl="0">
      <w:lvlJc w:val="left"/>
      <w:lvlText w:val="%1."/>
      <w:numFmt w:val="decimal"/>
      <w:start w:val="8"/>
    </w:lvl>
  </w:abstractNum>
  <w:abstractNum w:abstractNumId="39">
    <w:nsid w:val="1CF10FD8"/>
    <w:multiLevelType w:val="hybridMultilevel"/>
    <w:lvl w:ilvl="0">
      <w:lvlJc w:val="left"/>
      <w:lvlText w:val="%1"/>
      <w:numFmt w:val="lowerLetter"/>
      <w:start w:val="1"/>
    </w:lvl>
    <w:lvl w:ilvl="1">
      <w:lvlJc w:val="left"/>
      <w:lvlText w:val="(%2)"/>
      <w:numFmt w:val="lowerLetter"/>
      <w:start w:val="2"/>
    </w:lvl>
  </w:abstractNum>
  <w:abstractNum w:abstractNumId="40">
    <w:nsid w:val="180115BE"/>
    <w:multiLevelType w:val="hybridMultilevel"/>
    <w:lvl w:ilvl="0">
      <w:lvlJc w:val="left"/>
      <w:lvlText w:val="(%1)"/>
      <w:numFmt w:val="lowerLetter"/>
      <w:start w:val="35"/>
    </w:lvl>
    <w:lvl w:ilvl="1">
      <w:lvlJc w:val="left"/>
      <w:lvlText w:val="%2"/>
      <w:numFmt w:val="lowerLetter"/>
      <w:start w:val="1"/>
    </w:lvl>
  </w:abstractNum>
  <w:abstractNum w:abstractNumId="41">
    <w:nsid w:val="235BA861"/>
    <w:multiLevelType w:val="hybridMultilevel"/>
    <w:lvl w:ilvl="0">
      <w:lvlJc w:val="left"/>
      <w:lvlText w:val="(%1)"/>
      <w:numFmt w:val="lowerLetter"/>
      <w:start w:val="4"/>
    </w:lvl>
  </w:abstractNum>
  <w:abstractNum w:abstractNumId="42">
    <w:nsid w:val="47398C89"/>
    <w:multiLevelType w:val="hybridMultilevel"/>
    <w:lvl w:ilvl="0">
      <w:lvlJc w:val="left"/>
      <w:lvlText w:val="%1."/>
      <w:numFmt w:val="decimal"/>
      <w:start w:val="10"/>
    </w:lvl>
  </w:abstractNum>
  <w:abstractNum w:abstractNumId="43">
    <w:nsid w:val="354FE9F9"/>
    <w:multiLevelType w:val="hybridMultilevel"/>
    <w:lvl w:ilvl="0">
      <w:lvlJc w:val="left"/>
      <w:lvlText w:val="%1."/>
      <w:numFmt w:val="decimal"/>
      <w:start w:val="11"/>
    </w:lvl>
  </w:abstractNum>
  <w:abstractNum w:abstractNumId="44">
    <w:nsid w:val="15B5AF5C"/>
    <w:multiLevelType w:val="hybridMultilevel"/>
    <w:lvl w:ilvl="0">
      <w:lvlJc w:val="left"/>
      <w:lvlText w:val="%1."/>
      <w:numFmt w:val="decimal"/>
      <w:start w:val="17"/>
    </w:lvl>
  </w:abstractNum>
  <w:abstractNum w:abstractNumId="45">
    <w:nsid w:val="741226BB"/>
    <w:multiLevelType w:val="hybridMultilevel"/>
    <w:lvl w:ilvl="0">
      <w:lvlJc w:val="left"/>
      <w:lvlText w:val="%1."/>
      <w:numFmt w:val="decimal"/>
      <w:start w:val="19"/>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8"/>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2"/>
    </w:lvl>
  </w:abstractNum>
  <w:abstractNum w:abstractNumId="51">
    <w:nsid w:val="77AE35EB"/>
    <w:multiLevelType w:val="hybridMultilevel"/>
    <w:lvl w:ilvl="0">
      <w:lvlJc w:val="left"/>
      <w:lvlText w:val="%1."/>
      <w:numFmt w:val="decimal"/>
      <w:start w:val="3"/>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decimal"/>
      <w:start w:val="5"/>
    </w:lvl>
  </w:abstractNum>
  <w:abstractNum w:abstractNumId="54">
    <w:nsid w:val="5FF87E05"/>
    <w:multiLevelType w:val="hybridMultilevel"/>
    <w:lvl w:ilvl="0">
      <w:lvlJc w:val="left"/>
      <w:lvlText w:val="%1."/>
      <w:numFmt w:val="decimal"/>
      <w:start w:val="6"/>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1)"/>
      <w:numFmt w:val="upperLetter"/>
      <w:start w:val="2"/>
    </w:lvl>
  </w:abstractNum>
  <w:abstractNum w:abstractNumId="57">
    <w:nsid w:val="1DBABF00"/>
    <w:multiLevelType w:val="hybridMultilevel"/>
    <w:lvl w:ilvl="0">
      <w:lvlJc w:val="left"/>
      <w:lvlText w:val="%1."/>
      <w:numFmt w:val="decimal"/>
      <w:start w:val="7"/>
    </w:lvl>
  </w:abstractNum>
  <w:abstractNum w:abstractNumId="58">
    <w:nsid w:val="4AD084E9"/>
    <w:multiLevelType w:val="hybridMultilevel"/>
    <w:lvl w:ilvl="0">
      <w:lvlJc w:val="left"/>
      <w:lvlText w:val="%1."/>
      <w:numFmt w:val="decimal"/>
      <w:start w:val="8"/>
    </w:lvl>
  </w:abstractNum>
  <w:abstractNum w:abstractNumId="59">
    <w:nsid w:val="1F48EAA1"/>
    <w:multiLevelType w:val="hybridMultilevel"/>
    <w:lvl w:ilvl="0">
      <w:lvlJc w:val="left"/>
      <w:lvlText w:val="%1."/>
      <w:numFmt w:val="decimal"/>
      <w:start w:val="9"/>
    </w:lvl>
  </w:abstractNum>
  <w:abstractNum w:abstractNumId="60">
    <w:nsid w:val="1381823A"/>
    <w:multiLevelType w:val="hybridMultilevel"/>
    <w:lvl w:ilvl="0">
      <w:lvlJc w:val="left"/>
      <w:lvlText w:val="%1."/>
      <w:numFmt w:val="decimal"/>
      <w:start w:val="10"/>
    </w:lvl>
  </w:abstractNum>
  <w:abstractNum w:abstractNumId="61">
    <w:nsid w:val="5DB70AE5"/>
    <w:multiLevelType w:val="hybridMultilevel"/>
    <w:lvl w:ilvl="0">
      <w:lvlJc w:val="left"/>
      <w:lvlText w:val="(%1)"/>
      <w:numFmt w:val="upperLetter"/>
      <w:start w:val="4"/>
    </w:lvl>
  </w:abstractNum>
  <w:abstractNum w:abstractNumId="62">
    <w:nsid w:val="100F8FCA"/>
    <w:multiLevelType w:val="hybridMultilevel"/>
    <w:lvl w:ilvl="0">
      <w:lvlJc w:val="left"/>
      <w:lvlText w:val="%1."/>
      <w:numFmt w:val="decimal"/>
      <w:start w:val="11"/>
    </w:lvl>
  </w:abstractNum>
  <w:abstractNum w:abstractNumId="63">
    <w:nsid w:val="6590700B"/>
    <w:multiLevelType w:val="hybridMultilevel"/>
    <w:lvl w:ilvl="0">
      <w:lvlJc w:val="left"/>
      <w:lvlText w:val="%1."/>
      <w:numFmt w:val="decimal"/>
      <w:start w:val="12"/>
    </w:lvl>
  </w:abstractNum>
  <w:abstractNum w:abstractNumId="64">
    <w:nsid w:val="15014ACB"/>
    <w:multiLevelType w:val="hybridMultilevel"/>
    <w:lvl w:ilvl="0">
      <w:lvlJc w:val="left"/>
      <w:lvlText w:val="%1."/>
      <w:numFmt w:val="decimal"/>
      <w:start w:val="13"/>
    </w:lvl>
  </w:abstractNum>
  <w:abstractNum w:abstractNumId="65">
    <w:nsid w:val="5F5E7FD0"/>
    <w:multiLevelType w:val="hybridMultilevel"/>
    <w:lvl w:ilvl="0">
      <w:lvlJc w:val="left"/>
      <w:lvlText w:val="%1."/>
      <w:numFmt w:val="decimal"/>
      <w:start w:val="14"/>
    </w:lvl>
  </w:abstractNum>
  <w:abstractNum w:abstractNumId="66">
    <w:nsid w:val="98A3148"/>
    <w:multiLevelType w:val="hybridMultilevel"/>
    <w:lvl w:ilvl="0">
      <w:lvlJc w:val="left"/>
      <w:lvlText w:val="%1."/>
      <w:numFmt w:val="decimal"/>
      <w:start w:val="15"/>
    </w:lvl>
  </w:abstractNum>
  <w:abstractNum w:abstractNumId="67">
    <w:nsid w:val="799D0247"/>
    <w:multiLevelType w:val="hybridMultilevel"/>
    <w:lvl w:ilvl="0">
      <w:lvlJc w:val="left"/>
      <w:lvlText w:val="%1."/>
      <w:numFmt w:val="decimal"/>
      <w:start w:val="16"/>
    </w:lvl>
  </w:abstractNum>
  <w:abstractNum w:abstractNumId="68">
    <w:nsid w:val="6B94764"/>
    <w:multiLevelType w:val="hybridMultilevel"/>
    <w:lvl w:ilvl="0">
      <w:lvlJc w:val="left"/>
      <w:lvlText w:val="%1."/>
      <w:numFmt w:val="decimal"/>
      <w:start w:val="17"/>
    </w:lvl>
  </w:abstractNum>
  <w:abstractNum w:abstractNumId="69">
    <w:nsid w:val="42C296BD"/>
    <w:multiLevelType w:val="hybridMultilevel"/>
    <w:lvl w:ilvl="0">
      <w:lvlJc w:val="left"/>
      <w:lvlText w:val="%1."/>
      <w:numFmt w:val="decimal"/>
      <w:start w:val="18"/>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1)"/>
      <w:numFmt w:val="lowerRoman"/>
      <w:start w:val="1"/>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2019-12-06T00:36:26Z</dcterms:created>
  <dcterms:modified xsi:type="dcterms:W3CDTF">2019-12-06T00:36:26Z</dcterms:modified>
</cp:coreProperties>
</file>