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Issuer Free Writing Prospectus dated May 9, 2016 relating to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Preliminary Prospectus Supplement dated May 9, 2016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to Prospectus dated October 27, 2015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333-207628</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Pricing Term Sheet</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$500,000,000 2.400% Senior Notes due 2023</w:t>
      </w:r>
    </w:p>
    <w:p>
      <w:pPr>
        <w:sectPr>
          <w:pgSz w:w="11900" w:h="16838" w:orient="portrait"/>
          <w:cols w:equalWidth="0" w:num="1">
            <w:col w:w="11420"/>
          </w:cols>
          <w:pgMar w:left="240" w:top="233" w:right="239" w:bottom="1440" w:gutter="0" w:footer="0" w:header="0"/>
        </w:sect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rPr>
          <w:sz w:val="20"/>
          <w:szCs w:val="20"/>
          <w:color w:val="auto"/>
        </w:rPr>
      </w:pPr>
      <w:r>
        <w:rPr>
          <w:rFonts w:ascii="Arial" w:cs="Arial" w:eastAsia="Arial" w:hAnsi="Arial"/>
          <w:sz w:val="16"/>
          <w:szCs w:val="16"/>
          <w:color w:val="auto"/>
        </w:rPr>
        <w:t>Waste Management, Inc.</w:t>
      </w:r>
    </w:p>
    <w:p>
      <w:pPr>
        <w:spacing w:after="0" w:line="140" w:lineRule="exact"/>
        <w:rPr>
          <w:sz w:val="24"/>
          <w:szCs w:val="24"/>
          <w:color w:val="auto"/>
        </w:rPr>
      </w:pPr>
    </w:p>
    <w:p>
      <w:pPr>
        <w:sectPr>
          <w:pgSz w:w="11900" w:h="16838" w:orient="portrait"/>
          <w:cols w:equalWidth="0" w:num="2">
            <w:col w:w="3520" w:space="720"/>
            <w:col w:w="718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Guarantor: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Waste Management Holdings, Inc.</w:t>
      </w:r>
    </w:p>
    <w:p>
      <w:pPr>
        <w:spacing w:after="0" w:line="140" w:lineRule="exact"/>
        <w:rPr>
          <w:sz w:val="24"/>
          <w:szCs w:val="24"/>
          <w:color w:val="auto"/>
        </w:rPr>
      </w:pPr>
    </w:p>
    <w:p>
      <w:pPr>
        <w:sectPr>
          <w:pgSz w:w="11900" w:h="16838" w:orient="portrait"/>
          <w:cols w:equalWidth="0" w:num="2">
            <w:col w:w="3520" w:space="720"/>
            <w:col w:w="7180"/>
          </w:cols>
          <w:pgMar w:left="240" w:top="233" w:right="239" w:bottom="1440" w:gutter="0" w:footer="0" w:header="0"/>
          <w:type w:val="continuous"/>
        </w:sectPr>
      </w:pPr>
    </w:p>
    <w:p>
      <w:pPr>
        <w:spacing w:after="0"/>
        <w:rPr>
          <w:sz w:val="20"/>
          <w:szCs w:val="20"/>
          <w:color w:val="auto"/>
        </w:rPr>
      </w:pPr>
      <w:r>
        <w:rPr>
          <w:rFonts w:ascii="Arial" w:cs="Arial" w:eastAsia="Arial" w:hAnsi="Arial"/>
          <w:sz w:val="17"/>
          <w:szCs w:val="17"/>
          <w:color w:val="auto"/>
        </w:rPr>
        <w:t>Ratings*: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Moody’s: Baa2 (stable)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S&amp;P: A- (stable)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Fitch: BBB (stable)</w:t>
      </w:r>
    </w:p>
    <w:p>
      <w:pPr>
        <w:spacing w:after="0" w:line="116" w:lineRule="exact"/>
        <w:rPr>
          <w:sz w:val="24"/>
          <w:szCs w:val="24"/>
          <w:color w:val="auto"/>
        </w:rPr>
      </w:pPr>
    </w:p>
    <w:p>
      <w:pPr>
        <w:sectPr>
          <w:pgSz w:w="11900" w:h="16838" w:orient="portrait"/>
          <w:cols w:equalWidth="0" w:num="2">
            <w:col w:w="3520" w:space="720"/>
            <w:col w:w="718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May 9, 2016</w:t>
      </w:r>
    </w:p>
    <w:p>
      <w:pPr>
        <w:spacing w:after="0" w:line="140" w:lineRule="exact"/>
        <w:rPr>
          <w:sz w:val="24"/>
          <w:szCs w:val="24"/>
          <w:color w:val="auto"/>
        </w:rPr>
      </w:pPr>
    </w:p>
    <w:p>
      <w:pPr>
        <w:sectPr>
          <w:pgSz w:w="11900" w:h="16838" w:orient="portrait"/>
          <w:cols w:equalWidth="0" w:num="2">
            <w:col w:w="3520" w:space="720"/>
            <w:col w:w="718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T+5; May 16, 2016</w:t>
      </w:r>
    </w:p>
    <w:p>
      <w:pPr>
        <w:spacing w:after="0" w:line="140" w:lineRule="exact"/>
        <w:rPr>
          <w:sz w:val="24"/>
          <w:szCs w:val="24"/>
          <w:color w:val="auto"/>
        </w:rPr>
      </w:pPr>
    </w:p>
    <w:p>
      <w:pPr>
        <w:sectPr>
          <w:pgSz w:w="11900" w:h="16838" w:orient="portrait"/>
          <w:cols w:equalWidth="0" w:num="2">
            <w:col w:w="3520" w:space="720"/>
            <w:col w:w="7180"/>
          </w:cols>
          <w:pgMar w:left="240" w:top="233" w:right="239" w:bottom="1440" w:gutter="0" w:footer="0" w:header="0"/>
          <w:type w:val="continuous"/>
        </w:sectPr>
      </w:pPr>
    </w:p>
    <w:p>
      <w:pPr>
        <w:spacing w:after="0"/>
        <w:rPr>
          <w:sz w:val="20"/>
          <w:szCs w:val="20"/>
          <w:color w:val="auto"/>
        </w:rPr>
      </w:pPr>
      <w:r>
        <w:rPr>
          <w:rFonts w:ascii="Arial" w:cs="Arial" w:eastAsia="Arial" w:hAnsi="Arial"/>
          <w:sz w:val="17"/>
          <w:szCs w:val="17"/>
          <w:color w:val="auto"/>
        </w:rPr>
        <w:t>Principal Amount: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$500,000,000</w:t>
      </w:r>
    </w:p>
    <w:p>
      <w:pPr>
        <w:spacing w:after="0" w:line="140" w:lineRule="exact"/>
        <w:rPr>
          <w:sz w:val="24"/>
          <w:szCs w:val="24"/>
          <w:color w:val="auto"/>
        </w:rPr>
      </w:pPr>
    </w:p>
    <w:p>
      <w:pPr>
        <w:sectPr>
          <w:pgSz w:w="11900" w:h="16838" w:orient="portrait"/>
          <w:cols w:equalWidth="0" w:num="2">
            <w:col w:w="3520" w:space="720"/>
            <w:col w:w="7180"/>
          </w:cols>
          <w:pgMar w:left="240" w:top="233" w:right="239" w:bottom="1440" w:gutter="0" w:footer="0" w:header="0"/>
          <w:type w:val="continuous"/>
        </w:sectPr>
      </w:pPr>
    </w:p>
    <w:p>
      <w:pPr>
        <w:spacing w:after="0"/>
        <w:rPr>
          <w:sz w:val="20"/>
          <w:szCs w:val="20"/>
          <w:color w:val="auto"/>
        </w:rPr>
      </w:pPr>
      <w:r>
        <w:rPr>
          <w:rFonts w:ascii="Arial" w:cs="Arial" w:eastAsia="Arial" w:hAnsi="Arial"/>
          <w:sz w:val="17"/>
          <w:szCs w:val="17"/>
          <w:color w:val="auto"/>
        </w:rPr>
        <w:t>Maturity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May 15, 2023</w:t>
      </w:r>
    </w:p>
    <w:p>
      <w:pPr>
        <w:spacing w:after="0" w:line="140" w:lineRule="exact"/>
        <w:rPr>
          <w:sz w:val="24"/>
          <w:szCs w:val="24"/>
          <w:color w:val="auto"/>
        </w:rPr>
      </w:pPr>
    </w:p>
    <w:p>
      <w:pPr>
        <w:sectPr>
          <w:pgSz w:w="11900" w:h="16838" w:orient="portrait"/>
          <w:cols w:equalWidth="0" w:num="2">
            <w:col w:w="3520" w:space="720"/>
            <w:col w:w="718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Coupon: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2.400%</w:t>
      </w:r>
    </w:p>
    <w:p>
      <w:pPr>
        <w:spacing w:after="0" w:line="140" w:lineRule="exact"/>
        <w:rPr>
          <w:sz w:val="24"/>
          <w:szCs w:val="24"/>
          <w:color w:val="auto"/>
        </w:rPr>
      </w:pPr>
    </w:p>
    <w:p>
      <w:pPr>
        <w:sectPr>
          <w:pgSz w:w="11900" w:h="16838" w:orient="portrait"/>
          <w:cols w:equalWidth="0" w:num="2">
            <w:col w:w="3520" w:space="720"/>
            <w:col w:w="718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1.625% due April 30, 2023</w:t>
      </w:r>
    </w:p>
    <w:p>
      <w:pPr>
        <w:spacing w:after="0" w:line="140" w:lineRule="exact"/>
        <w:rPr>
          <w:sz w:val="24"/>
          <w:szCs w:val="24"/>
          <w:color w:val="auto"/>
        </w:rPr>
      </w:pPr>
    </w:p>
    <w:p>
      <w:pPr>
        <w:sectPr>
          <w:pgSz w:w="11900" w:h="16838" w:orient="portrait"/>
          <w:cols w:equalWidth="0" w:num="2">
            <w:col w:w="3520" w:space="720"/>
            <w:col w:w="718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 Price and Yield: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100-23 / 1.516%</w:t>
      </w:r>
    </w:p>
    <w:p>
      <w:pPr>
        <w:spacing w:after="0" w:line="140" w:lineRule="exact"/>
        <w:rPr>
          <w:sz w:val="24"/>
          <w:szCs w:val="24"/>
          <w:color w:val="auto"/>
        </w:rPr>
      </w:pPr>
    </w:p>
    <w:p>
      <w:pPr>
        <w:sectPr>
          <w:pgSz w:w="11900" w:h="16838" w:orient="portrait"/>
          <w:cols w:equalWidth="0" w:num="2">
            <w:col w:w="3520" w:space="720"/>
            <w:col w:w="718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Spread to 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+90 basis points</w:t>
      </w:r>
    </w:p>
    <w:p>
      <w:pPr>
        <w:spacing w:after="0" w:line="151" w:lineRule="exact"/>
        <w:rPr>
          <w:sz w:val="24"/>
          <w:szCs w:val="24"/>
          <w:color w:val="auto"/>
        </w:rPr>
      </w:pPr>
    </w:p>
    <w:p>
      <w:pPr>
        <w:sectPr>
          <w:pgSz w:w="11900" w:h="16838" w:orient="portrait"/>
          <w:cols w:equalWidth="0" w:num="2">
            <w:col w:w="3520" w:space="720"/>
            <w:col w:w="7180"/>
          </w:cols>
          <w:pgMar w:left="240" w:top="233" w:right="239" w:bottom="1440" w:gutter="0" w:footer="0" w:header="0"/>
          <w:type w:val="continuous"/>
        </w:sectPr>
      </w:pPr>
    </w:p>
    <w:p>
      <w:pPr>
        <w:spacing w:after="0"/>
        <w:rPr>
          <w:sz w:val="20"/>
          <w:szCs w:val="20"/>
          <w:color w:val="auto"/>
        </w:rPr>
      </w:pPr>
      <w:r>
        <w:rPr>
          <w:rFonts w:ascii="Arial" w:cs="Arial" w:eastAsia="Arial" w:hAnsi="Arial"/>
          <w:sz w:val="17"/>
          <w:szCs w:val="17"/>
          <w:color w:val="auto"/>
        </w:rPr>
        <w:t>Yield to Maturity: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2.416%</w:t>
      </w:r>
    </w:p>
    <w:p>
      <w:pPr>
        <w:spacing w:after="0" w:line="140" w:lineRule="exact"/>
        <w:rPr>
          <w:sz w:val="24"/>
          <w:szCs w:val="24"/>
          <w:color w:val="auto"/>
        </w:rPr>
      </w:pPr>
    </w:p>
    <w:p>
      <w:pPr>
        <w:sectPr>
          <w:pgSz w:w="11900" w:h="16838" w:orient="portrait"/>
          <w:cols w:equalWidth="0" w:num="2">
            <w:col w:w="3520" w:space="720"/>
            <w:col w:w="718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Price to Public: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99.898% of face amount</w:t>
      </w:r>
    </w:p>
    <w:p>
      <w:pPr>
        <w:spacing w:after="0" w:line="140" w:lineRule="exact"/>
        <w:rPr>
          <w:sz w:val="24"/>
          <w:szCs w:val="24"/>
          <w:color w:val="auto"/>
        </w:rPr>
      </w:pPr>
    </w:p>
    <w:p>
      <w:pPr>
        <w:sectPr>
          <w:pgSz w:w="11900" w:h="16838" w:orient="portrait"/>
          <w:cols w:equalWidth="0" w:num="2">
            <w:col w:w="3520" w:space="720"/>
            <w:col w:w="7180"/>
          </w:cols>
          <w:pgMar w:left="240" w:top="233" w:right="239" w:bottom="1440" w:gutter="0" w:footer="0" w:header="0"/>
          <w:type w:val="continuous"/>
        </w:sectPr>
      </w:pPr>
    </w:p>
    <w:p>
      <w:pPr>
        <w:spacing w:after="0"/>
        <w:rPr>
          <w:sz w:val="20"/>
          <w:szCs w:val="20"/>
          <w:color w:val="auto"/>
        </w:rPr>
      </w:pPr>
      <w:r>
        <w:rPr>
          <w:rFonts w:ascii="Arial" w:cs="Arial" w:eastAsia="Arial" w:hAnsi="Arial"/>
          <w:sz w:val="15"/>
          <w:szCs w:val="15"/>
          <w:color w:val="auto"/>
        </w:rPr>
        <w:t>Net Proceeds (before expenses):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$496,365,000</w:t>
      </w:r>
    </w:p>
    <w:p>
      <w:pPr>
        <w:spacing w:after="0" w:line="140" w:lineRule="exact"/>
        <w:rPr>
          <w:sz w:val="24"/>
          <w:szCs w:val="24"/>
          <w:color w:val="auto"/>
        </w:rPr>
      </w:pPr>
    </w:p>
    <w:p>
      <w:pPr>
        <w:sectPr>
          <w:pgSz w:w="11900" w:h="16838" w:orient="portrait"/>
          <w:cols w:equalWidth="0" w:num="2">
            <w:col w:w="3520" w:space="720"/>
            <w:col w:w="718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Semi-annually on May 15 and November 15, commencing on November 15, 2016.</w:t>
      </w:r>
    </w:p>
    <w:p>
      <w:pPr>
        <w:sectPr>
          <w:pgSz w:w="11900" w:h="16838" w:orient="portrait"/>
          <w:cols w:equalWidth="0" w:num="2">
            <w:col w:w="3520" w:space="720"/>
            <w:col w:w="7180"/>
          </w:cols>
          <w:pgMar w:left="240" w:top="2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Redemption Provisions:</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The Notes are redeemable at any time prior to March 15, 2023 (two months prior to the maturity date), in whole or from time to time in part, at the option of the Company, at a make whole redemption price using the applicable Treasury rate plus 15 basis points (as defined and described in further detail in the Prospectus Supplement). The Notes are redeemable on or after March 15, 2023 (two months prior to the maturity date), in whole or from time to time in part, at the option of the Company, at par.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-922655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3520" w:space="720"/>
            <w:col w:w="7120"/>
          </w:cols>
          <w:pgMar w:left="240" w:top="274" w:right="299" w:bottom="1440" w:gutter="0" w:footer="0" w:header="0"/>
        </w:sect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94106L BD0 / US94106LBD01</w:t>
      </w:r>
    </w:p>
    <w:p>
      <w:pPr>
        <w:spacing w:after="0" w:line="140" w:lineRule="exact"/>
        <w:rPr>
          <w:sz w:val="20"/>
          <w:szCs w:val="20"/>
          <w:color w:val="auto"/>
        </w:rPr>
      </w:pPr>
    </w:p>
    <w:p>
      <w:pPr>
        <w:sectPr>
          <w:pgSz w:w="11900" w:h="16838" w:orient="portrait"/>
          <w:cols w:equalWidth="0" w:num="2">
            <w:col w:w="3520" w:space="720"/>
            <w:col w:w="7120"/>
          </w:cols>
          <w:pgMar w:left="240" w:top="274" w:right="29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Inc.</w:t>
      </w:r>
    </w:p>
    <w:p>
      <w:pPr>
        <w:spacing w:after="0" w:line="116" w:lineRule="exact"/>
        <w:rPr>
          <w:sz w:val="20"/>
          <w:szCs w:val="20"/>
          <w:color w:val="auto"/>
        </w:rPr>
      </w:pPr>
    </w:p>
    <w:p>
      <w:pPr>
        <w:sectPr>
          <w:pgSz w:w="11900" w:h="16838" w:orient="portrait"/>
          <w:cols w:equalWidth="0" w:num="2">
            <w:col w:w="3520" w:space="720"/>
            <w:col w:w="7120"/>
          </w:cols>
          <w:pgMar w:left="240" w:top="274" w:right="29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Scotia Capital (USA)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Comerica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Drexel Hamilton,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Siebert Brandford Shank &amp; Co., L.L.C.</w:t>
      </w:r>
    </w:p>
    <w:p>
      <w:pPr>
        <w:spacing w:after="0" w:line="200" w:lineRule="exact"/>
        <w:rPr>
          <w:sz w:val="20"/>
          <w:szCs w:val="20"/>
          <w:color w:val="auto"/>
        </w:rPr>
      </w:pPr>
    </w:p>
    <w:p>
      <w:pPr>
        <w:sectPr>
          <w:pgSz w:w="11900" w:h="16838" w:orient="portrait"/>
          <w:cols w:equalWidth="0" w:num="2">
            <w:col w:w="3520" w:space="720"/>
            <w:col w:w="7120"/>
          </w:cols>
          <w:pgMar w:left="240" w:top="274" w:right="29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*Note: A securities rating is not a recommendation to buy, sell or hold securities and may be subject to revision or withdrawal at any time.</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(1) Citigroup Global Markets Inc. toll-free at 1-800-831-9146; (2) Merrill Lynch, Pierce, Fenner &amp; Smith Incorporated toll-free at 1-800-294-1322; or (3) Mizuho Securities USA Inc. toll-free at 1-866-271-7403.</w:t>
      </w:r>
    </w:p>
    <w:p>
      <w:pPr>
        <w:spacing w:after="0" w:line="17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were automatically generated as a result of this communication being sent via email or another communication system.</w:t>
      </w:r>
    </w:p>
    <w:sectPr>
      <w:pgSz w:w="11900" w:h="16838" w:orient="portrait"/>
      <w:cols w:equalWidth="0" w:num="1">
        <w:col w:w="11360"/>
      </w:cols>
      <w:pgMar w:left="240" w:top="274"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2019-12-20T21:45:31Z</dcterms:created>
  <dcterms:modified xsi:type="dcterms:W3CDTF">2019-12-20T21:45:31Z</dcterms:modified>
</cp:coreProperties>
</file>