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4"/>
          <w:szCs w:val="24"/>
          <w:color w:val="auto"/>
        </w:rPr>
      </w:pPr>
    </w:p>
    <w:p>
      <w:pPr>
        <w:ind w:left="4080"/>
        <w:spacing w:after="0"/>
        <w:rPr>
          <w:sz w:val="20"/>
          <w:szCs w:val="20"/>
          <w:color w:val="auto"/>
        </w:rPr>
      </w:pPr>
      <w:r>
        <w:rPr>
          <w:rFonts w:ascii="Courier New" w:cs="Courier New" w:eastAsia="Courier New" w:hAnsi="Courier New"/>
          <w:sz w:val="15"/>
          <w:szCs w:val="15"/>
          <w:color w:val="auto"/>
        </w:rPr>
        <w:t>FILED PURSUANT TO RULE 424(b)(5)</w:t>
      </w:r>
    </w:p>
    <w:p>
      <w:pPr>
        <w:spacing w:after="0" w:line="1" w:lineRule="exact"/>
        <w:rPr>
          <w:sz w:val="24"/>
          <w:szCs w:val="24"/>
          <w:color w:val="auto"/>
        </w:rPr>
      </w:pPr>
    </w:p>
    <w:p>
      <w:pPr>
        <w:ind w:left="4080"/>
        <w:spacing w:after="0"/>
        <w:rPr>
          <w:sz w:val="20"/>
          <w:szCs w:val="20"/>
          <w:color w:val="auto"/>
        </w:rPr>
      </w:pPr>
      <w:r>
        <w:rPr>
          <w:rFonts w:ascii="Courier New" w:cs="Courier New" w:eastAsia="Courier New" w:hAnsi="Courier New"/>
          <w:sz w:val="15"/>
          <w:szCs w:val="15"/>
          <w:color w:val="auto"/>
        </w:rPr>
        <w:t>REGISTRATION NO. 333-17453</w:t>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jc w:val="right"/>
              <w:ind w:right="151"/>
              <w:spacing w:after="0"/>
              <w:rPr>
                <w:sz w:val="20"/>
                <w:szCs w:val="20"/>
                <w:color w:val="auto"/>
              </w:rPr>
            </w:pPr>
            <w:r>
              <w:rPr>
                <w:rFonts w:ascii="Courier New" w:cs="Courier New" w:eastAsia="Courier New" w:hAnsi="Courier New"/>
                <w:sz w:val="14"/>
                <w:szCs w:val="14"/>
                <w:color w:val="auto"/>
                <w:w w:val="70"/>
              </w:rPr>
              <w:t>*</w:t>
            </w:r>
          </w:p>
        </w:tc>
        <w:tc>
          <w:tcPr>
            <w:tcW w:w="37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INFORMATION CONTAINED HEREIN IS SUBJECT</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w w:val="99"/>
              </w:rPr>
              <w:t>TO COMPLETION OR</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AMENDMENT.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 w:type="dxa"/>
            <w:vAlign w:val="bottom"/>
          </w:tcPr>
          <w:p>
            <w:pPr>
              <w:jc w:val="right"/>
              <w:ind w:right="151"/>
              <w:spacing w:after="0"/>
              <w:rPr>
                <w:sz w:val="20"/>
                <w:szCs w:val="20"/>
                <w:color w:val="auto"/>
              </w:rPr>
            </w:pPr>
            <w:r>
              <w:rPr>
                <w:rFonts w:ascii="Courier New" w:cs="Courier New" w:eastAsia="Courier New" w:hAnsi="Courier New"/>
                <w:sz w:val="14"/>
                <w:szCs w:val="14"/>
                <w:color w:val="auto"/>
                <w:w w:val="70"/>
              </w:rPr>
              <w:t>*</w:t>
            </w:r>
          </w:p>
        </w:tc>
        <w:tc>
          <w:tcPr>
            <w:tcW w:w="2580" w:type="dxa"/>
            <w:vAlign w:val="bottom"/>
          </w:tcPr>
          <w:p>
            <w:pPr>
              <w:ind w:left="220"/>
              <w:spacing w:after="0"/>
              <w:rPr>
                <w:sz w:val="20"/>
                <w:szCs w:val="20"/>
                <w:color w:val="auto"/>
              </w:rPr>
            </w:pPr>
            <w:r>
              <w:rPr>
                <w:rFonts w:ascii="Courier New" w:cs="Courier New" w:eastAsia="Courier New" w:hAnsi="Courier New"/>
                <w:sz w:val="15"/>
                <w:szCs w:val="15"/>
                <w:color w:val="auto"/>
                <w:w w:val="99"/>
              </w:rPr>
              <w:t>THIS PROSPECTUS SUPPLEMENT</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SHALL NOT CONSTITUTE AN OFFER</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TO SELL OR</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 w:type="dxa"/>
            <w:vAlign w:val="bottom"/>
          </w:tcPr>
          <w:p>
            <w:pPr>
              <w:jc w:val="right"/>
              <w:ind w:right="151"/>
              <w:spacing w:after="0"/>
              <w:rPr>
                <w:sz w:val="20"/>
                <w:szCs w:val="20"/>
                <w:color w:val="auto"/>
              </w:rPr>
            </w:pPr>
            <w:r>
              <w:rPr>
                <w:rFonts w:ascii="Courier New" w:cs="Courier New" w:eastAsia="Courier New" w:hAnsi="Courier New"/>
                <w:sz w:val="14"/>
                <w:szCs w:val="14"/>
                <w:color w:val="auto"/>
                <w:w w:val="70"/>
              </w:rPr>
              <w:t>*</w:t>
            </w:r>
          </w:p>
        </w:tc>
        <w:tc>
          <w:tcPr>
            <w:tcW w:w="37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THE SOLICITATION OF AN OFFER TO BUY NOR</w:t>
            </w:r>
          </w:p>
        </w:tc>
        <w:tc>
          <w:tcPr>
            <w:tcW w:w="2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SHALL THERE BE ANY SALE OF THE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 w:type="dxa"/>
            <w:vAlign w:val="bottom"/>
          </w:tcPr>
          <w:p>
            <w:pPr>
              <w:jc w:val="right"/>
              <w:ind w:right="151"/>
              <w:spacing w:after="0"/>
              <w:rPr>
                <w:sz w:val="20"/>
                <w:szCs w:val="20"/>
                <w:color w:val="auto"/>
              </w:rPr>
            </w:pPr>
            <w:r>
              <w:rPr>
                <w:rFonts w:ascii="Courier New" w:cs="Courier New" w:eastAsia="Courier New" w:hAnsi="Courier New"/>
                <w:sz w:val="14"/>
                <w:szCs w:val="14"/>
                <w:color w:val="auto"/>
                <w:w w:val="70"/>
              </w:rPr>
              <w:t>*</w:t>
            </w:r>
          </w:p>
        </w:tc>
        <w:tc>
          <w:tcPr>
            <w:tcW w:w="2580" w:type="dxa"/>
            <w:vAlign w:val="bottom"/>
          </w:tcPr>
          <w:p>
            <w:pPr>
              <w:ind w:left="220"/>
              <w:spacing w:after="0"/>
              <w:rPr>
                <w:sz w:val="20"/>
                <w:szCs w:val="20"/>
                <w:color w:val="auto"/>
              </w:rPr>
            </w:pPr>
            <w:r>
              <w:rPr>
                <w:rFonts w:ascii="Courier New" w:cs="Courier New" w:eastAsia="Courier New" w:hAnsi="Courier New"/>
                <w:sz w:val="15"/>
                <w:szCs w:val="15"/>
                <w:color w:val="auto"/>
                <w:w w:val="99"/>
              </w:rPr>
              <w:t>SECURITIES IN ANY STATE IN</w:t>
            </w:r>
          </w:p>
        </w:tc>
        <w:tc>
          <w:tcPr>
            <w:tcW w:w="3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WHICH SUCH OFFER, SOLICITATION OR SALE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 w:type="dxa"/>
            <w:vAlign w:val="bottom"/>
          </w:tcPr>
          <w:p>
            <w:pPr>
              <w:jc w:val="right"/>
              <w:ind w:right="151"/>
              <w:spacing w:after="0"/>
              <w:rPr>
                <w:sz w:val="20"/>
                <w:szCs w:val="20"/>
                <w:color w:val="auto"/>
              </w:rPr>
            </w:pPr>
            <w:r>
              <w:rPr>
                <w:rFonts w:ascii="Courier New" w:cs="Courier New" w:eastAsia="Courier New" w:hAnsi="Courier New"/>
                <w:sz w:val="14"/>
                <w:szCs w:val="14"/>
                <w:color w:val="auto"/>
                <w:w w:val="70"/>
              </w:rPr>
              <w:t>*</w:t>
            </w:r>
          </w:p>
        </w:tc>
        <w:tc>
          <w:tcPr>
            <w:tcW w:w="2580" w:type="dxa"/>
            <w:vAlign w:val="bottom"/>
          </w:tcPr>
          <w:p>
            <w:pPr>
              <w:ind w:left="220"/>
              <w:spacing w:after="0"/>
              <w:rPr>
                <w:sz w:val="20"/>
                <w:szCs w:val="20"/>
                <w:color w:val="auto"/>
              </w:rPr>
            </w:pPr>
            <w:r>
              <w:rPr>
                <w:rFonts w:ascii="Courier New" w:cs="Courier New" w:eastAsia="Courier New" w:hAnsi="Courier New"/>
                <w:sz w:val="15"/>
                <w:szCs w:val="15"/>
                <w:color w:val="auto"/>
                <w:w w:val="99"/>
              </w:rPr>
              <w:t>WOULD BE UNLAWFUL PRIOR TO</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REGISTRATION</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w w:val="99"/>
              </w:rPr>
              <w:t>OR QUALIFICATION</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UNDER THE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 w:type="dxa"/>
            <w:vAlign w:val="bottom"/>
          </w:tcPr>
          <w:p>
            <w:pPr>
              <w:jc w:val="right"/>
              <w:ind w:right="151"/>
              <w:spacing w:after="0"/>
              <w:rPr>
                <w:sz w:val="20"/>
                <w:szCs w:val="20"/>
                <w:color w:val="auto"/>
              </w:rPr>
            </w:pPr>
            <w:r>
              <w:rPr>
                <w:rFonts w:ascii="Courier New" w:cs="Courier New" w:eastAsia="Courier New" w:hAnsi="Courier New"/>
                <w:sz w:val="14"/>
                <w:szCs w:val="14"/>
                <w:color w:val="auto"/>
                <w:w w:val="70"/>
              </w:rPr>
              <w:t>*</w:t>
            </w:r>
          </w:p>
        </w:tc>
        <w:tc>
          <w:tcPr>
            <w:tcW w:w="3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SECURITIES LAWS OF ANY SUCH STATE.</w:t>
            </w: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SUBJECT TO COMPLETION, DATED JANUARY 16, 1997</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PROSPECTUS SUPPLEMENT</w:t>
      </w:r>
    </w:p>
    <w:p>
      <w:pPr>
        <w:spacing w:after="0" w:line="1"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 1997</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 PROSPECTUS DATED JANUARY 15, 1997)</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$300,000,000</w:t>
      </w:r>
    </w:p>
    <w:p>
      <w:pPr>
        <w:spacing w:after="0" w:line="17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USA WASTE SERVICES, INC.</w:t>
      </w:r>
    </w:p>
    <w:p>
      <w:pPr>
        <w:spacing w:after="0" w:line="171"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 CONVERTIBLE SUBORDINATED NOTES DUE 2002</w:t>
      </w:r>
    </w:p>
    <w:p>
      <w:pPr>
        <w:spacing w:after="0" w:line="171" w:lineRule="exact"/>
        <w:rPr>
          <w:sz w:val="24"/>
          <w:szCs w:val="24"/>
          <w:color w:val="auto"/>
        </w:rPr>
      </w:pPr>
    </w:p>
    <w:p>
      <w:pPr>
        <w:ind w:left="340"/>
        <w:spacing w:after="0"/>
        <w:tabs>
          <w:tab w:leader="none" w:pos="1040" w:val="left"/>
        </w:tabs>
        <w:rPr>
          <w:sz w:val="20"/>
          <w:szCs w:val="20"/>
          <w:color w:val="auto"/>
        </w:rPr>
      </w:pP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5"/>
          <w:szCs w:val="15"/>
          <w:color w:val="auto"/>
        </w:rPr>
        <w:t>% Convertible Subordinated Notes due 2002 will be convertible at the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option</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4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the holder into shares of Common Stock</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the Company,</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at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any</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time at</w:t>
            </w:r>
          </w:p>
        </w:tc>
      </w:tr>
      <w:tr>
        <w:trPr>
          <w:trHeight w:val="171"/>
        </w:trPr>
        <w:tc>
          <w:tcPr>
            <w:tcW w:w="4660" w:type="dxa"/>
            <w:vAlign w:val="bottom"/>
            <w:gridSpan w:val="5"/>
          </w:tcPr>
          <w:p>
            <w:pPr>
              <w:spacing w:after="0"/>
              <w:rPr>
                <w:sz w:val="20"/>
                <w:szCs w:val="20"/>
                <w:color w:val="auto"/>
              </w:rPr>
            </w:pPr>
            <w:r>
              <w:rPr>
                <w:rFonts w:ascii="Courier New" w:cs="Courier New" w:eastAsia="Courier New" w:hAnsi="Courier New"/>
                <w:sz w:val="15"/>
                <w:szCs w:val="15"/>
                <w:color w:val="auto"/>
                <w:w w:val="99"/>
              </w:rPr>
              <w:t>or prior to maturity, unless previously redeemed, at</w:t>
            </w:r>
          </w:p>
        </w:tc>
        <w:tc>
          <w:tcPr>
            <w:tcW w:w="16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a conversion price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per share</w:t>
            </w:r>
          </w:p>
        </w:tc>
        <w:tc>
          <w:tcPr>
            <w:tcW w:w="3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(equivalent to a conversion rate of</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1460" w:type="dxa"/>
            <w:vAlign w:val="bottom"/>
            <w:gridSpan w:val="3"/>
          </w:tcPr>
          <w:p>
            <w:pPr>
              <w:spacing w:after="0"/>
              <w:rPr>
                <w:sz w:val="20"/>
                <w:szCs w:val="20"/>
                <w:color w:val="auto"/>
              </w:rPr>
            </w:pPr>
            <w:r>
              <w:rPr>
                <w:rFonts w:ascii="Courier New" w:cs="Courier New" w:eastAsia="Courier New" w:hAnsi="Courier New"/>
                <w:sz w:val="15"/>
                <w:szCs w:val="15"/>
                <w:color w:val="auto"/>
                <w:w w:val="99"/>
              </w:rPr>
              <w:t>principal amount</w:t>
            </w:r>
          </w:p>
        </w:tc>
        <w:tc>
          <w:tcPr>
            <w:tcW w:w="32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of Notes), subject to adjustment in</w:t>
            </w:r>
          </w:p>
        </w:tc>
        <w:tc>
          <w:tcPr>
            <w:tcW w:w="24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certain events. Interest on</w:t>
            </w:r>
          </w:p>
        </w:tc>
      </w:tr>
      <w:tr>
        <w:trPr>
          <w:trHeight w:val="171"/>
        </w:trPr>
        <w:tc>
          <w:tcPr>
            <w:tcW w:w="4300" w:type="dxa"/>
            <w:vAlign w:val="bottom"/>
            <w:gridSpan w:val="4"/>
          </w:tcPr>
          <w:p>
            <w:pPr>
              <w:spacing w:after="0"/>
              <w:rPr>
                <w:sz w:val="20"/>
                <w:szCs w:val="20"/>
                <w:color w:val="auto"/>
              </w:rPr>
            </w:pPr>
            <w:r>
              <w:rPr>
                <w:rFonts w:ascii="Courier New" w:cs="Courier New" w:eastAsia="Courier New" w:hAnsi="Courier New"/>
                <w:sz w:val="15"/>
                <w:szCs w:val="15"/>
                <w:color w:val="auto"/>
                <w:w w:val="99"/>
              </w:rPr>
              <w:t>the Notes is payable semi-annually on February 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August 1 of</w:t>
            </w:r>
          </w:p>
        </w:tc>
        <w:tc>
          <w:tcPr>
            <w:tcW w:w="13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each year,</w:t>
            </w:r>
          </w:p>
        </w:tc>
      </w:tr>
    </w:tbl>
    <w:p>
      <w:pPr>
        <w:spacing w:after="0" w:line="3" w:lineRule="exact"/>
        <w:rPr>
          <w:sz w:val="24"/>
          <w:szCs w:val="24"/>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commencing on August 1, 1997. On January 13, 1997, the closing sale price of the Common Stock of the Company as reported on the New York Stock Exchange Composite Tape (where it is traded under the symbol "UW") was $31 per share. See "Price Range of Common Stock."</w:t>
      </w:r>
    </w:p>
    <w:p>
      <w:pPr>
        <w:spacing w:after="0" w:line="176" w:lineRule="exact"/>
        <w:rPr>
          <w:sz w:val="24"/>
          <w:szCs w:val="24"/>
          <w:color w:val="auto"/>
        </w:rPr>
      </w:pPr>
    </w:p>
    <w:p>
      <w:pPr>
        <w:ind w:right="3119" w:firstLine="355"/>
        <w:spacing w:after="0"/>
        <w:rPr>
          <w:sz w:val="20"/>
          <w:szCs w:val="20"/>
          <w:color w:val="auto"/>
        </w:rPr>
      </w:pPr>
      <w:r>
        <w:rPr>
          <w:rFonts w:ascii="Courier New" w:cs="Courier New" w:eastAsia="Courier New" w:hAnsi="Courier New"/>
          <w:sz w:val="15"/>
          <w:szCs w:val="15"/>
          <w:color w:val="auto"/>
        </w:rPr>
        <w:t>The Notes are redeemable, in whole or in part, at the option of the Company, at any time on or after February 1, 2000, at the redemption prices set forth herein, plus accrued and unpaid interest to the date of redemption. The Company will be required to offer to repurchase the Notes upon a Change of Control of the Company, at 100% of the principal amount thereof, plus accrued and unpaid interest to the date of repurchase.</w:t>
      </w:r>
    </w:p>
    <w:p>
      <w:pPr>
        <w:spacing w:after="0" w:line="175" w:lineRule="exact"/>
        <w:rPr>
          <w:sz w:val="24"/>
          <w:szCs w:val="24"/>
          <w:color w:val="auto"/>
        </w:rPr>
      </w:pPr>
    </w:p>
    <w:p>
      <w:pPr>
        <w:ind w:right="3119" w:firstLine="355"/>
        <w:spacing w:after="0"/>
        <w:rPr>
          <w:sz w:val="20"/>
          <w:szCs w:val="20"/>
          <w:color w:val="auto"/>
        </w:rPr>
      </w:pPr>
      <w:r>
        <w:rPr>
          <w:rFonts w:ascii="Courier New" w:cs="Courier New" w:eastAsia="Courier New" w:hAnsi="Courier New"/>
          <w:sz w:val="15"/>
          <w:szCs w:val="15"/>
          <w:color w:val="auto"/>
        </w:rPr>
        <w:t>The Notes are general, unsecured obligations of the Company, subordinated in right of payment to all Senior Indebtedness of the Company, and are subordinated by operation of law to all liabilities (including trade payables) of the Company's subsidiaries. The Subordinated Indenture pursuant to which the Notes will be issued will not restrict the incurrence of Senior Indebtedness or other indebtedness by the Company or its subsidiaries. At September 30, 1996, the Company and its subsidiaries would have had an aggregate of approximately $1.7 billion of consolidated indebtedness and other obligations effectively ranking senior to the Notes after adjustments to give effect to the subsequent incurrence of indebtedness primarily in connection with acquisitions, consummation of this Offering and the concurrent Common Stock Offering and the application of the aggregate net proceeds from such offerings, and the assumed consummation of the pending Canadian Acquisition described herein. See "Description of Notes."</w:t>
      </w:r>
    </w:p>
    <w:p>
      <w:pPr>
        <w:spacing w:after="0" w:line="178"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Application will be made to list the Notes on the New York Stock Exchange.</w:t>
      </w:r>
    </w:p>
    <w:p>
      <w:pPr>
        <w:spacing w:after="0" w:line="174" w:lineRule="exact"/>
        <w:rPr>
          <w:sz w:val="24"/>
          <w:szCs w:val="24"/>
          <w:color w:val="auto"/>
        </w:rPr>
      </w:pPr>
    </w:p>
    <w:p>
      <w:pPr>
        <w:ind w:right="3119" w:firstLine="355"/>
        <w:spacing w:after="0"/>
        <w:rPr>
          <w:sz w:val="20"/>
          <w:szCs w:val="20"/>
          <w:color w:val="auto"/>
        </w:rPr>
      </w:pPr>
      <w:r>
        <w:rPr>
          <w:rFonts w:ascii="Courier New" w:cs="Courier New" w:eastAsia="Courier New" w:hAnsi="Courier New"/>
          <w:sz w:val="15"/>
          <w:szCs w:val="15"/>
          <w:color w:val="auto"/>
        </w:rPr>
        <w:t>Concurrently with this Offering, the Company is offering, pursuant to a separate Prospectus Supplement, 10,000,000 shares of Common Stock (11,500,000 shares if the underwriters' over-allotment option is exercised in full). The net proceeds of this Offering, together with the net proceeds of the Common Stock Offering, are expected to be used to repay a portion of the outstanding indebtedness under the Company's revolving Credit Facility. Amounts repaid on the Credit Facility may be reborrowed from time to time for possible future acquisitions (including the pending Canadian Acquisition), capital expenditures and other general corporate purposes. Consummation of this Offering is not a condition to consummation of the Common Stock Offering, and consummation of the Common Stock Offering is not a condition to consummation of this Offering. See "Prospectus Supplement Summary -- The Company -- Recent Developments" and "Use of Proceeds."</w:t>
      </w:r>
    </w:p>
    <w:p>
      <w:pPr>
        <w:spacing w:after="0" w:line="180" w:lineRule="exact"/>
        <w:rPr>
          <w:sz w:val="24"/>
          <w:szCs w:val="24"/>
          <w:color w:val="auto"/>
        </w:rPr>
      </w:pPr>
    </w:p>
    <w:p>
      <w:pPr>
        <w:ind w:right="3659" w:firstLine="532"/>
        <w:spacing w:after="0" w:line="238" w:lineRule="auto"/>
        <w:rPr>
          <w:sz w:val="20"/>
          <w:szCs w:val="20"/>
          <w:color w:val="auto"/>
        </w:rPr>
      </w:pPr>
      <w:r>
        <w:rPr>
          <w:rFonts w:ascii="Courier New" w:cs="Courier New" w:eastAsia="Courier New" w:hAnsi="Courier New"/>
          <w:sz w:val="15"/>
          <w:szCs w:val="15"/>
          <w:color w:val="auto"/>
        </w:rPr>
        <w:t>SEE "RISK FACTORS" BEGINNING ON PAGE S-6 FOR A DISCUSSION OF CERTAIN FACTORS THAT SHOULD BE CONSIDERED BY PROSPECTIVE INVESTORS.</w:t>
      </w:r>
    </w:p>
    <w:p>
      <w:pPr>
        <w:spacing w:after="0" w:line="172"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AND EXCHANGE COMMISSION OR ANY STATE SECURITIES</w:t>
      </w:r>
    </w:p>
    <w:p>
      <w:pPr>
        <w:spacing w:after="0" w:line="1"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COMMISSION PASSED UPON THE ACCURACY OR ADEQUACY OF</w:t>
      </w:r>
    </w:p>
    <w:p>
      <w:pPr>
        <w:spacing w:after="0" w:line="1"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THIS PROSPECTUS. ANY REPRESENTATION TO THE</w:t>
      </w:r>
    </w:p>
    <w:p>
      <w:pPr>
        <w:spacing w:after="0" w:line="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C ONTRARY IS A CRIMINAL OFFENSE.</w:t>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tbl>
      <w:tblPr>
        <w:tblLayout w:type="fixed"/>
        <w:tblInd w:w="4340" w:type="dxa"/>
        <w:tblCellMar>
          <w:top w:w="0" w:type="dxa"/>
          <w:left w:w="0" w:type="dxa"/>
          <w:bottom w:w="0" w:type="dxa"/>
          <w:right w:w="0" w:type="dxa"/>
        </w:tblCellMar>
      </w:tblPr>
      <w:tr>
        <w:trPr>
          <w:trHeight w:val="170"/>
        </w:trPr>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PRICE</w:t>
            </w:r>
          </w:p>
        </w:tc>
        <w:tc>
          <w:tcPr>
            <w:tcW w:w="20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UNDERWRITING</w:t>
            </w:r>
          </w:p>
        </w:tc>
        <w:tc>
          <w:tcPr>
            <w:tcW w:w="12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PROCEEDS</w:t>
            </w:r>
          </w:p>
        </w:tc>
      </w:tr>
      <w:tr>
        <w:trPr>
          <w:trHeight w:val="171"/>
        </w:trPr>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TO THE</w:t>
            </w:r>
          </w:p>
        </w:tc>
        <w:tc>
          <w:tcPr>
            <w:tcW w:w="2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DISCOUNTS AND</w:t>
            </w:r>
          </w:p>
        </w:tc>
        <w:tc>
          <w:tcPr>
            <w:tcW w:w="12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6"/>
              </w:rPr>
              <w:t>TO THE</w:t>
            </w:r>
          </w:p>
        </w:tc>
      </w:tr>
      <w:tr>
        <w:trPr>
          <w:trHeight w:val="0"/>
        </w:trPr>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PUBLIC(1)</w:t>
            </w:r>
          </w:p>
        </w:tc>
        <w:tc>
          <w:tcPr>
            <w:tcW w:w="2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COMMISSIONS(2)</w:t>
            </w:r>
          </w:p>
        </w:tc>
        <w:tc>
          <w:tcPr>
            <w:tcW w:w="12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7"/>
              </w:rPr>
              <w:t>COMPANY(3)</w:t>
            </w:r>
          </w:p>
        </w:tc>
      </w:tr>
    </w:tbl>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spacing w:after="0"/>
        <w:tabs>
          <w:tab w:leader="none" w:pos="5020" w:val="left"/>
          <w:tab w:leader="none" w:pos="6980" w:val="left"/>
          <w:tab w:leader="none" w:pos="8840" w:val="left"/>
        </w:tabs>
        <w:rPr>
          <w:sz w:val="20"/>
          <w:szCs w:val="20"/>
          <w:color w:val="auto"/>
        </w:rPr>
      </w:pPr>
      <w:r>
        <w:rPr>
          <w:rFonts w:ascii="Courier New" w:cs="Courier New" w:eastAsia="Courier New" w:hAnsi="Courier New"/>
          <w:sz w:val="15"/>
          <w:szCs w:val="15"/>
          <w:color w:val="auto"/>
        </w:rPr>
        <w:t>Per Note...................................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4"/>
          <w:szCs w:val="24"/>
          <w:color w:val="auto"/>
        </w:rPr>
      </w:pPr>
    </w:p>
    <w:p>
      <w:pPr>
        <w:spacing w:after="0"/>
        <w:tabs>
          <w:tab w:leader="none" w:pos="4320" w:val="left"/>
          <w:tab w:leader="none" w:pos="6100" w:val="left"/>
          <w:tab w:leader="none" w:pos="7960" w:val="left"/>
        </w:tabs>
        <w:rPr>
          <w:sz w:val="20"/>
          <w:szCs w:val="20"/>
          <w:color w:val="auto"/>
        </w:rPr>
      </w:pPr>
      <w:r>
        <w:rPr>
          <w:rFonts w:ascii="Courier New" w:cs="Courier New" w:eastAsia="Courier New" w:hAnsi="Courier New"/>
          <w:sz w:val="15"/>
          <w:szCs w:val="15"/>
          <w:color w:val="auto"/>
        </w:rPr>
        <w:t>Total (4)..................................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30" w:right="1440" w:bottom="0" w:gutter="0" w:footer="0" w:header="0"/>
        </w:sectPr>
      </w:pPr>
    </w:p>
    <w:bookmarkStart w:id="1" w:name="page2"/>
    <w:bookmarkEnd w:id="1"/>
    <w:p>
      <w:pPr>
        <w:ind w:left="349" w:hanging="349"/>
        <w:spacing w:after="0"/>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accrued interest, if any, from the date of issuance.</w:t>
      </w:r>
    </w:p>
    <w:p>
      <w:pPr>
        <w:spacing w:after="0" w:line="3" w:lineRule="exact"/>
        <w:rPr>
          <w:rFonts w:ascii="Courier New" w:cs="Courier New" w:eastAsia="Courier New" w:hAnsi="Courier New"/>
          <w:sz w:val="15"/>
          <w:szCs w:val="15"/>
          <w:color w:val="auto"/>
        </w:rPr>
      </w:pPr>
    </w:p>
    <w:p>
      <w:pPr>
        <w:ind w:left="349" w:right="3579" w:hanging="349"/>
        <w:spacing w:after="0" w:line="239" w:lineRule="auto"/>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See "Underwriting."</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$400,000.</w:t>
      </w:r>
    </w:p>
    <w:p>
      <w:pPr>
        <w:spacing w:after="0" w:line="3" w:lineRule="exact"/>
        <w:rPr>
          <w:rFonts w:ascii="Courier New" w:cs="Courier New" w:eastAsia="Courier New" w:hAnsi="Courier New"/>
          <w:sz w:val="15"/>
          <w:szCs w:val="15"/>
          <w:color w:val="auto"/>
        </w:rPr>
      </w:pPr>
    </w:p>
    <w:p>
      <w:pPr>
        <w:ind w:left="349" w:right="3219" w:hanging="349"/>
        <w:spacing w:after="0" w:line="258" w:lineRule="auto"/>
        <w:tabs>
          <w:tab w:leader="none" w:pos="34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granted to the Underwriters an option exercisable within 30 days after the date of this Prospectus Supplement to purchase up to an additional $45,000,000 aggregate principal amount of the Notes on the same terms as set forth above, at the Price to the Public, less the Underwriting Discounts and Commissions, solely for the purpose of covering over-allotments, if any. If such option is exercised in full, the total</w:t>
      </w:r>
    </w:p>
    <w:p>
      <w:pPr>
        <w:spacing w:after="0" w:line="1" w:lineRule="exact"/>
        <w:rPr>
          <w:rFonts w:ascii="Courier New" w:cs="Courier New" w:eastAsia="Courier New" w:hAnsi="Courier New"/>
          <w:sz w:val="14"/>
          <w:szCs w:val="14"/>
          <w:color w:val="auto"/>
        </w:rPr>
      </w:pPr>
    </w:p>
    <w:p>
      <w:pPr>
        <w:ind w:left="34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Price to the Public, Underwriting Discounts and Commissions and Proceeds to</w:t>
      </w:r>
    </w:p>
    <w:p>
      <w:pPr>
        <w:spacing w:after="0" w:line="172" w:lineRule="exact"/>
        <w:rPr>
          <w:sz w:val="20"/>
          <w:szCs w:val="20"/>
          <w:color w:val="auto"/>
        </w:rPr>
      </w:pPr>
    </w:p>
    <w:p>
      <w:pPr>
        <w:ind w:left="349" w:right="3479"/>
        <w:spacing w:after="0"/>
        <w:rPr>
          <w:sz w:val="20"/>
          <w:szCs w:val="20"/>
          <w:color w:val="auto"/>
        </w:rPr>
      </w:pPr>
      <w:r>
        <w:rPr>
          <w:rFonts w:ascii="Courier New" w:cs="Courier New" w:eastAsia="Courier New" w:hAnsi="Courier New"/>
          <w:sz w:val="15"/>
          <w:szCs w:val="15"/>
          <w:color w:val="auto"/>
        </w:rPr>
        <w:t>the Company will be $ , $ and $ , respectively. See "Underwriting."</w:t>
      </w:r>
    </w:p>
    <w:p>
      <w:pPr>
        <w:spacing w:after="0" w:line="342"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The Notes are offered by the several Underwriters when, as and if delivered to and accepted by them, subject to certain conditions, including their rights to withdraw, cancel or reject orders in whole or in part. It is expected that delivery of the Notes will be made in New York, New York, on or about</w:t>
      </w:r>
    </w:p>
    <w:p>
      <w:pPr>
        <w:spacing w:after="0" w:line="1" w:lineRule="exact"/>
        <w:rPr>
          <w:sz w:val="20"/>
          <w:szCs w:val="20"/>
          <w:color w:val="auto"/>
        </w:rPr>
      </w:pPr>
    </w:p>
    <w:p>
      <w:pPr>
        <w:ind w:left="9" w:right="3399" w:firstLine="878"/>
        <w:spacing w:after="0" w:line="271" w:lineRule="auto"/>
        <w:tabs>
          <w:tab w:leader="none" w:pos="107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1997, in book-entry form through the facilities of The Depository Trust Company against payment therefor in immediately available funds.</w:t>
      </w:r>
    </w:p>
    <w:p>
      <w:pPr>
        <w:spacing w:after="0" w:line="154" w:lineRule="exact"/>
        <w:rPr>
          <w:sz w:val="20"/>
          <w:szCs w:val="20"/>
          <w:color w:val="auto"/>
        </w:rPr>
      </w:pPr>
    </w:p>
    <w:p>
      <w:pPr>
        <w:jc w:val="center"/>
        <w:ind w:right="7730"/>
        <w:spacing w:after="0"/>
        <w:rPr>
          <w:sz w:val="20"/>
          <w:szCs w:val="20"/>
          <w:color w:val="auto"/>
        </w:rPr>
      </w:pPr>
      <w:r>
        <w:rPr>
          <w:rFonts w:ascii="Courier New" w:cs="Courier New" w:eastAsia="Courier New" w:hAnsi="Courier New"/>
          <w:sz w:val="14"/>
          <w:szCs w:val="14"/>
          <w:color w:val="auto"/>
        </w:rPr>
        <w:t>DONALDSON, LUFKIN &amp; JENRETTE</w:t>
      </w:r>
    </w:p>
    <w:p>
      <w:pPr>
        <w:spacing w:after="0" w:line="9" w:lineRule="exact"/>
        <w:rPr>
          <w:sz w:val="20"/>
          <w:szCs w:val="20"/>
          <w:color w:val="auto"/>
        </w:rPr>
      </w:pPr>
    </w:p>
    <w:p>
      <w:pPr>
        <w:jc w:val="center"/>
        <w:ind w:right="7730"/>
        <w:spacing w:after="0"/>
        <w:rPr>
          <w:sz w:val="20"/>
          <w:szCs w:val="20"/>
          <w:color w:val="auto"/>
        </w:rPr>
      </w:pPr>
      <w:r>
        <w:rPr>
          <w:rFonts w:ascii="Courier New" w:cs="Courier New" w:eastAsia="Courier New" w:hAnsi="Courier New"/>
          <w:sz w:val="15"/>
          <w:szCs w:val="15"/>
          <w:color w:val="auto"/>
        </w:rPr>
        <w:t>SECURITIES CORPORATION</w:t>
      </w:r>
    </w:p>
    <w:p>
      <w:pPr>
        <w:spacing w:after="0" w:line="17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DEUTSCHE MORGAN GRENFELL</w:t>
      </w:r>
    </w:p>
    <w:p>
      <w:pPr>
        <w:spacing w:after="0" w:line="17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GOLDMAN, SACHS &amp; CO.</w:t>
      </w:r>
    </w:p>
    <w:p>
      <w:pPr>
        <w:spacing w:after="0" w:line="171" w:lineRule="exact"/>
        <w:rPr>
          <w:sz w:val="20"/>
          <w:szCs w:val="20"/>
          <w:color w:val="auto"/>
        </w:rPr>
      </w:pPr>
    </w:p>
    <w:p>
      <w:pPr>
        <w:ind w:left="4789"/>
        <w:spacing w:after="0"/>
        <w:rPr>
          <w:sz w:val="20"/>
          <w:szCs w:val="20"/>
          <w:color w:val="auto"/>
        </w:rPr>
      </w:pPr>
      <w:r>
        <w:rPr>
          <w:rFonts w:ascii="Courier New" w:cs="Courier New" w:eastAsia="Courier New" w:hAnsi="Courier New"/>
          <w:sz w:val="15"/>
          <w:szCs w:val="15"/>
          <w:color w:val="auto"/>
        </w:rPr>
        <w:t>MERRILL LYNCH &amp; CO.</w:t>
      </w:r>
    </w:p>
    <w:p>
      <w:pPr>
        <w:sectPr>
          <w:pgSz w:w="11900" w:h="16838" w:orient="portrait"/>
          <w:cols w:equalWidth="0" w:num="1">
            <w:col w:w="10228"/>
          </w:cols>
          <w:pgMar w:left="231" w:top="480"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IN CONNECTION WITH THE OFFERING, THE UNDERWRITERS MAY OVER-ALLOT OR EFFECT TRANSACTIONS WHICH STABILIZE OR MAINTAIN THE MARKET PRICE OF THE NOTES OR THE COMMON STOCK AT LEVELS ABOVE THAT WHICH MIGHT OTHERWISE PREVAIL IN THE OPEN MARKET. SUCH TRANSACTIONS MAY BE EFFECTED ON THE NEW YORK STOCK EXCHANGE OR OTHERWISE. SUCH STABILIZING, IF COMMENCED, MAY BE DISCONTINUED AT ANY TIME.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287" w:right="1440" w:bottom="1440" w:gutter="0" w:footer="0" w:header="0"/>
        </w:sectPr>
      </w:pPr>
    </w:p>
    <w:bookmarkStart w:id="3" w:name="page4"/>
    <w:bookmarkEnd w:id="3"/>
    <w:p>
      <w:pPr>
        <w:ind w:left="269"/>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PROSPECTUS SUPPLEMENT SUMMARY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summary is qualified in its entirety by the more detailed information, including the Selected Consolidated Financial Data and the Company's Consolidated Financial Statements and Notes thereto, included or incorporated by reference in this Prospectus Supplement and the accompanying Prospectus. Except as otherwise specified, all information in this Prospectus Supplement assumes that the Underwriters do not exercise the over-allotment option described under the caption "Underwriting." The "Company" and "USA Waste" refer to USA Waste Services, Inc. and its subsidiaries and predecessors, unless otherwise indicated or the context requires otherwise.</w:t>
      </w:r>
    </w:p>
    <w:p>
      <w:pPr>
        <w:spacing w:after="0" w:line="175"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COMPANY</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USA Waste is the third largest solid waste management company in North America and serves municipal, commercial, industrial and residential customers in 36 states, the District of Columbia, Canada, Mexico and Puerto Rico. The Company's solid waste management services include collection, transfer and disposal operations and, to a lesser extent, recycling and certain other waste management services. USA Waste owns or operates 101 landfills, 61 transfer stations and 123 collection operations and serves more than 2.0 million customers.</w:t>
      </w:r>
    </w:p>
    <w:p>
      <w:pPr>
        <w:spacing w:after="0" w:line="177"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For the nine months ended September 30, 1996, approximately 52.9% of the Company's revenues was attributable to collection operations, approximately 28.9% was attributable to landfill operations and approximately 10.6% was attributable to transfer operations. Of the collection revenues, approximately 39.6%, 28.8% and 31.6% were from commercial, residential, and industrial customers, respectively. For the nine months ended September 30, 1996, the Company's average landfill volume was approximately 72,500 tons per day.</w:t>
      </w:r>
    </w:p>
    <w:p>
      <w:pPr>
        <w:spacing w:after="0" w:line="163"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The Company's strategy includes the following key elements (i) increasing productivity and operating efficiencies in existing and acquired operations,</w:t>
      </w:r>
    </w:p>
    <w:p>
      <w:pPr>
        <w:ind w:left="9" w:right="3119" w:hanging="9"/>
        <w:spacing w:after="0"/>
        <w:tabs>
          <w:tab w:leader="none" w:pos="45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in its existing markets through "tuck-in" acquisitions, and (iii) expanding into new markets through acquisitions. The Company seeks to become the low-cost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acquisitions in new markets where the Company believes it can strengthen its overall competitive position as a national provider of integrated solid waste management services.</w:t>
      </w:r>
    </w:p>
    <w:p>
      <w:pPr>
        <w:spacing w:after="0" w:line="18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On December 16, 1996, the Company acquired Empire Sanitary Landfill, Inc., a large landfill, and Danella Environmental Technologies, Inc., a collection operation, both located near Scranton, Pennsylvania. The annualized revenues from these acquired operations are approximately $52 million.</w:t>
      </w:r>
    </w:p>
    <w:p>
      <w:pPr>
        <w:spacing w:after="0" w:line="161" w:lineRule="exact"/>
        <w:rPr>
          <w:sz w:val="20"/>
          <w:szCs w:val="20"/>
          <w:color w:val="auto"/>
        </w:rPr>
      </w:pPr>
    </w:p>
    <w:p>
      <w:pPr>
        <w:ind w:left="9" w:right="3299" w:firstLine="444"/>
        <w:spacing w:after="0" w:line="259" w:lineRule="auto"/>
        <w:rPr>
          <w:sz w:val="20"/>
          <w:szCs w:val="20"/>
          <w:color w:val="auto"/>
        </w:rPr>
      </w:pPr>
      <w:r>
        <w:rPr>
          <w:rFonts w:ascii="Courier New" w:cs="Courier New" w:eastAsia="Courier New" w:hAnsi="Courier New"/>
          <w:sz w:val="14"/>
          <w:szCs w:val="14"/>
          <w:color w:val="auto"/>
        </w:rPr>
        <w:t>USA Waste has signed a definitive agreement, effective as of January 15, 1997, to acquire the Canadian operations of Allied Waste Industries, Inc. for approximately US $518 million in cash (the "Canadian Acquisition"). Allied acquired these operations from Laidlaw Inc. on December 30, 1996. The Canadian Acquisition includes landfill and collection operations in the provinces of Alberta, British Columbia, Manitoba, Ontario, Quebec and Saskatchewan. The annualized revenues from the Canadian Acquisition are approximately US $270 million. Completion of the Canadian Acquisition is subject to certain Canadian regulatory approvals and other customary conditions. There can be no assurance that the Canadian Acquisition will be completed. Consummation of this Offering is not conditioned on consummation of the</w:t>
      </w:r>
    </w:p>
    <w:p>
      <w:pPr>
        <w:spacing w:after="0" w:line="1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28"/>
          </w:cols>
          <w:pgMar w:left="231"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5"/>
          <w:szCs w:val="15"/>
          <w:color w:val="auto"/>
        </w:rPr>
        <w:t>Canadian Acquisition, nor is consummation of the Canadian Acquisition conditioned on consummation of this Offering.</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Company has received a commitment from a group of commercial banks for a $400 million bridge credit facility with an 18-month maturity and other proposed terms that the Company believes to be generally acceptable (the "Bank Bridge Facility"). In the event that this offering (the "Offering") or the Company's concurrent offering of Common Stock (the "Common Stock Offering") is not consummated or is delayed, the Company intends to use the proceeds from the Bank Bridge Facility to fund a portion of the Canadian Acquisition.</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31, 1996, the Company was served with subpoenas relating to documents covering a period from 1990 to the present in connection with an ongoing investigation being conducted by the United States Attorney's Office for the Central District of California. The Company has been informed that it is not a target of the investigation but that one of its subsidiaries, Western Waste Industries, which the Company acquired in May of 1996, is a target of the investigation. The Company has pledged its full cooperation in the investigation.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2000" w:type="dxa"/>
            <w:vAlign w:val="bottom"/>
          </w:tcPr>
          <w:p>
            <w:pPr>
              <w:ind w:left="220"/>
              <w:spacing w:after="0"/>
              <w:rPr>
                <w:sz w:val="20"/>
                <w:szCs w:val="20"/>
                <w:color w:val="auto"/>
              </w:rPr>
            </w:pPr>
            <w:r>
              <w:rPr>
                <w:rFonts w:ascii="Courier New" w:cs="Courier New" w:eastAsia="Courier New" w:hAnsi="Courier New"/>
                <w:sz w:val="15"/>
                <w:szCs w:val="15"/>
                <w:color w:val="auto"/>
              </w:rPr>
              <w:t>THE OFFERING</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2780" w:type="dxa"/>
            <w:vAlign w:val="bottom"/>
          </w:tcPr>
          <w:p>
            <w:pPr>
              <w:spacing w:after="0"/>
              <w:rPr>
                <w:sz w:val="20"/>
                <w:szCs w:val="20"/>
                <w:color w:val="auto"/>
              </w:rPr>
            </w:pPr>
            <w:r>
              <w:rPr>
                <w:rFonts w:ascii="Courier New" w:cs="Courier New" w:eastAsia="Courier New" w:hAnsi="Courier New"/>
                <w:sz w:val="15"/>
                <w:szCs w:val="15"/>
                <w:color w:val="auto"/>
              </w:rPr>
              <w:t>Securities Offered............</w:t>
            </w:r>
          </w:p>
        </w:tc>
        <w:tc>
          <w:tcPr>
            <w:tcW w:w="3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$300,000,000 principal amount of</w:t>
            </w:r>
          </w:p>
        </w:tc>
        <w:tc>
          <w:tcPr>
            <w:tcW w:w="9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Convertible Subordinated Notes due February 1,</w:t>
            </w:r>
          </w:p>
        </w:tc>
      </w:tr>
      <w:tr>
        <w:trPr>
          <w:trHeight w:val="171"/>
        </w:trPr>
        <w:tc>
          <w:tcPr>
            <w:tcW w:w="278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2002 (the "Notes").</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2780" w:type="dxa"/>
            <w:vAlign w:val="bottom"/>
          </w:tcPr>
          <w:p>
            <w:pPr>
              <w:spacing w:after="0"/>
              <w:rPr>
                <w:sz w:val="20"/>
                <w:szCs w:val="20"/>
                <w:color w:val="auto"/>
              </w:rPr>
            </w:pPr>
            <w:r>
              <w:rPr>
                <w:rFonts w:ascii="Courier New" w:cs="Courier New" w:eastAsia="Courier New" w:hAnsi="Courier New"/>
                <w:sz w:val="15"/>
                <w:szCs w:val="15"/>
                <w:color w:val="auto"/>
              </w:rPr>
              <w:t>Maturity......................</w:t>
            </w: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February 1, 2002, unless earlier redeemed or</w:t>
            </w:r>
          </w:p>
        </w:tc>
      </w:tr>
      <w:tr>
        <w:trPr>
          <w:trHeight w:val="171"/>
        </w:trPr>
        <w:tc>
          <w:tcPr>
            <w:tcW w:w="278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converted.</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Interest Payment Dates........</w:t>
            </w: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February 1 and August 1, commencing August 1,</w:t>
            </w:r>
          </w:p>
        </w:tc>
      </w:tr>
      <w:tr>
        <w:trPr>
          <w:trHeight w:val="171"/>
        </w:trPr>
        <w:tc>
          <w:tcPr>
            <w:tcW w:w="278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2780" w:type="dxa"/>
            <w:vAlign w:val="bottom"/>
          </w:tcPr>
          <w:p>
            <w:pPr>
              <w:spacing w:after="0"/>
              <w:rPr>
                <w:sz w:val="20"/>
                <w:szCs w:val="20"/>
                <w:color w:val="auto"/>
              </w:rPr>
            </w:pPr>
            <w:r>
              <w:rPr>
                <w:rFonts w:ascii="Courier New" w:cs="Courier New" w:eastAsia="Courier New" w:hAnsi="Courier New"/>
                <w:sz w:val="15"/>
                <w:szCs w:val="15"/>
                <w:color w:val="auto"/>
              </w:rPr>
              <w:t>Conversion Rights.............</w:t>
            </w: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The Notes are convertible into shares of Common</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Stock, par value $.01 per share, of the Company</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(the "Common Stock"), at any time prior to the</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close of business on the second business day</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prior to maturity, unless previously redeemed,</w:t>
            </w:r>
          </w:p>
        </w:tc>
      </w:tr>
      <w:tr>
        <w:trPr>
          <w:trHeight w:val="171"/>
        </w:trPr>
        <w:tc>
          <w:tcPr>
            <w:tcW w:w="2780" w:type="dxa"/>
            <w:vAlign w:val="bottom"/>
          </w:tcPr>
          <w:p>
            <w:pPr>
              <w:spacing w:after="0"/>
              <w:rPr>
                <w:sz w:val="14"/>
                <w:szCs w:val="14"/>
                <w:color w:val="auto"/>
              </w:rPr>
            </w:pPr>
          </w:p>
        </w:tc>
        <w:tc>
          <w:tcPr>
            <w:tcW w:w="3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at a conversion price of $</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per share,</w:t>
            </w:r>
          </w:p>
        </w:tc>
      </w:tr>
      <w:tr>
        <w:trPr>
          <w:trHeight w:val="171"/>
        </w:trPr>
        <w:tc>
          <w:tcPr>
            <w:tcW w:w="2780" w:type="dxa"/>
            <w:vAlign w:val="bottom"/>
          </w:tcPr>
          <w:p>
            <w:pPr>
              <w:spacing w:after="0"/>
              <w:rPr>
                <w:sz w:val="14"/>
                <w:szCs w:val="14"/>
                <w:color w:val="auto"/>
              </w:rPr>
            </w:pPr>
          </w:p>
        </w:tc>
        <w:tc>
          <w:tcPr>
            <w:tcW w:w="3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subject to adjustment under certain</w:t>
            </w:r>
          </w:p>
        </w:tc>
        <w:tc>
          <w:tcPr>
            <w:tcW w:w="98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circumstances as described herein. Accordingly,</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each $1,000 principal amount of Notes is</w:t>
            </w:r>
          </w:p>
        </w:tc>
      </w:tr>
      <w:tr>
        <w:trPr>
          <w:trHeight w:val="171"/>
        </w:trPr>
        <w:tc>
          <w:tcPr>
            <w:tcW w:w="2780" w:type="dxa"/>
            <w:vAlign w:val="bottom"/>
          </w:tcPr>
          <w:p>
            <w:pPr>
              <w:spacing w:after="0"/>
              <w:rPr>
                <w:sz w:val="14"/>
                <w:szCs w:val="14"/>
                <w:color w:val="auto"/>
              </w:rPr>
            </w:pPr>
          </w:p>
        </w:tc>
        <w:tc>
          <w:tcPr>
            <w:tcW w:w="3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convertible initially into</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shares of</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Common Stock, subject to adjustment, for an</w:t>
            </w:r>
          </w:p>
        </w:tc>
      </w:tr>
      <w:tr>
        <w:trPr>
          <w:trHeight w:val="171"/>
        </w:trPr>
        <w:tc>
          <w:tcPr>
            <w:tcW w:w="278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aggregate of</w:t>
            </w:r>
          </w:p>
        </w:tc>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shares. See</w:t>
            </w:r>
          </w:p>
        </w:tc>
        <w:tc>
          <w:tcPr>
            <w:tcW w:w="98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33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"Capitalization" and "Description of</w:t>
            </w:r>
          </w:p>
        </w:tc>
        <w:tc>
          <w:tcPr>
            <w:tcW w:w="98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3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Notes -- Conversion Rights."</w:t>
            </w:r>
          </w:p>
        </w:tc>
        <w:tc>
          <w:tcPr>
            <w:tcW w:w="980" w:type="dxa"/>
            <w:vAlign w:val="bottom"/>
          </w:tcPr>
          <w:p>
            <w:pPr>
              <w:spacing w:after="0"/>
              <w:rPr>
                <w:sz w:val="14"/>
                <w:szCs w:val="14"/>
                <w:color w:val="auto"/>
              </w:rPr>
            </w:pPr>
          </w:p>
        </w:tc>
      </w:tr>
      <w:tr>
        <w:trPr>
          <w:trHeight w:val="341"/>
        </w:trPr>
        <w:tc>
          <w:tcPr>
            <w:tcW w:w="2780" w:type="dxa"/>
            <w:vAlign w:val="bottom"/>
          </w:tcPr>
          <w:p>
            <w:pPr>
              <w:spacing w:after="0"/>
              <w:rPr>
                <w:sz w:val="20"/>
                <w:szCs w:val="20"/>
                <w:color w:val="auto"/>
              </w:rPr>
            </w:pPr>
            <w:r>
              <w:rPr>
                <w:rFonts w:ascii="Courier New" w:cs="Courier New" w:eastAsia="Courier New" w:hAnsi="Courier New"/>
                <w:sz w:val="15"/>
                <w:szCs w:val="15"/>
                <w:color w:val="auto"/>
              </w:rPr>
              <w:t>Optional Redemption...........</w:t>
            </w: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The Notes are redeemable, in whole or in part,</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at the option of the Company at any time on or</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after February 1, 2000 at the redemption prices</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set forth herein, plus accrued and unpaid</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interest, if any, to the date of redemption.</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See "Description of Notes -- Redemption at the</w:t>
            </w:r>
          </w:p>
        </w:tc>
      </w:tr>
      <w:tr>
        <w:trPr>
          <w:trHeight w:val="171"/>
        </w:trPr>
        <w:tc>
          <w:tcPr>
            <w:tcW w:w="278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Company's Option."</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2780" w:type="dxa"/>
            <w:vAlign w:val="bottom"/>
          </w:tcPr>
          <w:p>
            <w:pPr>
              <w:spacing w:after="0"/>
              <w:rPr>
                <w:sz w:val="20"/>
                <w:szCs w:val="20"/>
                <w:color w:val="auto"/>
              </w:rPr>
            </w:pPr>
            <w:r>
              <w:rPr>
                <w:rFonts w:ascii="Courier New" w:cs="Courier New" w:eastAsia="Courier New" w:hAnsi="Courier New"/>
                <w:sz w:val="15"/>
                <w:szCs w:val="15"/>
                <w:color w:val="auto"/>
              </w:rPr>
              <w:t>Change of Control.............</w:t>
            </w: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Upon a Change of Control, as defined in the</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Subordinated Indenture, the Company will be</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required to offer to repurchase the Notes at</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100% of the principal amount thereof, plus</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accrued and unpaid interest to the date of</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repurchase. See "Description of Notes --</w:t>
            </w:r>
          </w:p>
        </w:tc>
      </w:tr>
      <w:tr>
        <w:trPr>
          <w:trHeight w:val="171"/>
        </w:trPr>
        <w:tc>
          <w:tcPr>
            <w:tcW w:w="2780" w:type="dxa"/>
            <w:vAlign w:val="bottom"/>
          </w:tcPr>
          <w:p>
            <w:pPr>
              <w:spacing w:after="0"/>
              <w:rPr>
                <w:sz w:val="14"/>
                <w:szCs w:val="14"/>
                <w:color w:val="auto"/>
              </w:rPr>
            </w:pPr>
          </w:p>
        </w:tc>
        <w:tc>
          <w:tcPr>
            <w:tcW w:w="43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8"/>
              </w:rPr>
              <w:t>Repurchase of Notes at the Option of the Holder</w:t>
            </w:r>
          </w:p>
        </w:tc>
      </w:tr>
      <w:tr>
        <w:trPr>
          <w:trHeight w:val="171"/>
        </w:trPr>
        <w:tc>
          <w:tcPr>
            <w:tcW w:w="2780" w:type="dxa"/>
            <w:vAlign w:val="bottom"/>
          </w:tcPr>
          <w:p>
            <w:pPr>
              <w:spacing w:after="0"/>
              <w:rPr>
                <w:sz w:val="14"/>
                <w:szCs w:val="14"/>
                <w:color w:val="auto"/>
              </w:rPr>
            </w:pPr>
          </w:p>
        </w:tc>
        <w:tc>
          <w:tcPr>
            <w:tcW w:w="3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Upon a Change of Control."</w:t>
            </w:r>
          </w:p>
        </w:tc>
        <w:tc>
          <w:tcPr>
            <w:tcW w:w="980" w:type="dxa"/>
            <w:vAlign w:val="bottom"/>
          </w:tcPr>
          <w:p>
            <w:pPr>
              <w:spacing w:after="0"/>
              <w:rPr>
                <w:sz w:val="14"/>
                <w:szCs w:val="14"/>
                <w:color w:val="auto"/>
              </w:rPr>
            </w:pPr>
          </w:p>
        </w:tc>
      </w:tr>
    </w:tbl>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Any future credit agreements or other</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agreements relating to indebtedness (including</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Senior Indebtedness, as defined in the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Subordinated Indenture) to which the Company</w:t>
      </w:r>
    </w:p>
    <w:p>
      <w:pPr>
        <w:spacing w:after="0" w:line="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becomes a party may contain restrictions on the</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repurchase of the Notes. In the event that a</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Change in Control occurs at a time when the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Company is prohibited from repurchasing Notes,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the Company could seek the consent of its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lenders to the repurchase of Notes or</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could attempt to refinance the borrowings that</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contain such prohibition. If the Company does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not obtain such a consent or repay such</w:t>
      </w:r>
    </w:p>
    <w:p>
      <w:pPr>
        <w:spacing w:after="0" w:line="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borrowings, the Company would remain prohibited</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from repurchasing Notes. In such case, the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Company's failure to repurchase tendered Notes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would constitute an Event of Default under the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Subordinated Indenture, which would, in turn,</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constitute a further default under certain of</w:t>
      </w:r>
    </w:p>
    <w:p>
      <w:pPr>
        <w:spacing w:after="0" w:line="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the Company's existing debt instruments and may</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constitute a default under the terms of other</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indebtedness that the Company may enter into</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from time to time. In such circumstances, the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subordination provisions in the Subordinated</w:t>
      </w:r>
    </w:p>
    <w:p>
      <w:pPr>
        <w:spacing w:after="0" w:line="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Indenture would likely restrict payments to the</w:t>
      </w:r>
    </w:p>
    <w:p>
      <w:pPr>
        <w:spacing w:after="0" w:line="9"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holders of Notes.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The Notes will be general, unsecured obligations of the Company, subordinated in right of payment to all Senior Indebtedness of the Company and will be structurally subordinated to all liabilities (including trade payables) of the Company's subsidiaries. At September 30, 1996, the Company and its subsidiaries would have had an aggregate of approximately $1.7 billion of consolidated indebtedness and other obligations effectively ranking senior to the Notes after adjustments to give effect to the subsequent incurrence of indebtedness primarily in connection with acquisitions, consummation of this Offering and the Common Stock Offering and the application of the aggregate net proceeds from such offerings, and the assumed consummation of the pending Canadian Acquisition. The Subordinated Indenture will not restrict the incurrence of Senior Indebtedness or other indebtedness by the Company or any of its subsidiaries. See "Description of Notes -- Subordination."</w:t>
      </w:r>
    </w:p>
    <w:p>
      <w:pPr>
        <w:spacing w:after="0" w:line="174"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Concurrent Offering...........</w:t>
      </w:r>
    </w:p>
    <w:p>
      <w:pPr>
        <w:spacing w:after="0" w:line="20" w:lineRule="exact"/>
        <w:rPr>
          <w:sz w:val="20"/>
          <w:szCs w:val="20"/>
          <w:color w:val="auto"/>
        </w:rPr>
      </w:pPr>
      <w:r>
        <w:rPr>
          <w:sz w:val="20"/>
          <w:szCs w:val="20"/>
          <w:color w:val="auto"/>
        </w:rPr>
        <w:br w:type="column"/>
      </w:r>
    </w:p>
    <w:p>
      <w:pPr>
        <w:ind w:right="3119"/>
        <w:spacing w:after="0"/>
        <w:rPr>
          <w:sz w:val="20"/>
          <w:szCs w:val="20"/>
          <w:color w:val="auto"/>
        </w:rPr>
      </w:pPr>
      <w:r>
        <w:rPr>
          <w:rFonts w:ascii="Courier New" w:cs="Courier New" w:eastAsia="Courier New" w:hAnsi="Courier New"/>
          <w:sz w:val="15"/>
          <w:szCs w:val="15"/>
          <w:color w:val="auto"/>
        </w:rPr>
        <w:t>Concurrently with this Offering, the Company is offering 10,000,000 shares of Common Stock (11,500,000 shares if the underwriters' over-allotment option is exercised in full) pursuant to a separate Prospectus Supplement. Consummation of this Offering is not a condition to consummation of the Common Stock Offering, and consummation of the Common Stock Offering is not a condition to consummation of this Offering.</w:t>
      </w:r>
    </w:p>
    <w:p>
      <w:pPr>
        <w:spacing w:after="0" w:line="178"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3219"/>
        <w:spacing w:after="0"/>
        <w:rPr>
          <w:sz w:val="20"/>
          <w:szCs w:val="20"/>
          <w:color w:val="auto"/>
        </w:rPr>
      </w:pPr>
      <w:r>
        <w:rPr>
          <w:rFonts w:ascii="Courier New" w:cs="Courier New" w:eastAsia="Courier New" w:hAnsi="Courier New"/>
          <w:sz w:val="15"/>
          <w:szCs w:val="15"/>
          <w:color w:val="auto"/>
        </w:rPr>
        <w:t>The net proceeds of this Offering, together with the net proceeds of the Common Stock Offering, are expected to be used to repay a portion of the outstanding indebtedness under the Company's revolving credit facility (the "Credit Facility"). Amounts repaid on the Credit Facility may be reborrowed from time to time for possible future acquisitions (including the pending Canadian Acquisition), capital expenditures and other general corporate purposes. See "Use of Proceeds."</w:t>
      </w:r>
    </w:p>
    <w:p>
      <w:pPr>
        <w:spacing w:after="0" w:line="179"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Listing.......................</w:t>
      </w:r>
    </w:p>
    <w:p>
      <w:pPr>
        <w:spacing w:after="0" w:line="20" w:lineRule="exact"/>
        <w:rPr>
          <w:sz w:val="20"/>
          <w:szCs w:val="20"/>
          <w:color w:val="auto"/>
        </w:rPr>
      </w:pPr>
      <w:r>
        <w:rPr>
          <w:sz w:val="20"/>
          <w:szCs w:val="20"/>
          <w:color w:val="auto"/>
        </w:rPr>
        <w:br w:type="column"/>
      </w:r>
    </w:p>
    <w:p>
      <w:pPr>
        <w:ind w:right="3299"/>
        <w:spacing w:after="0" w:line="238" w:lineRule="auto"/>
        <w:rPr>
          <w:sz w:val="20"/>
          <w:szCs w:val="20"/>
          <w:color w:val="auto"/>
        </w:rPr>
      </w:pPr>
      <w:r>
        <w:rPr>
          <w:rFonts w:ascii="Courier New" w:cs="Courier New" w:eastAsia="Courier New" w:hAnsi="Courier New"/>
          <w:sz w:val="15"/>
          <w:szCs w:val="15"/>
          <w:color w:val="auto"/>
        </w:rPr>
        <w:t>Application will be made to list the Notes on the New York Stock Exchange ("NYSE").</w:t>
      </w:r>
    </w:p>
    <w:p>
      <w:pPr>
        <w:spacing w:after="0" w:line="175"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Traded...........</w:t>
      </w:r>
    </w:p>
    <w:p>
      <w:pPr>
        <w:spacing w:after="0" w:line="20" w:lineRule="exact"/>
        <w:rPr>
          <w:sz w:val="20"/>
          <w:szCs w:val="20"/>
          <w:color w:val="auto"/>
        </w:rPr>
      </w:pPr>
      <w:r>
        <w:rPr>
          <w:sz w:val="20"/>
          <w:szCs w:val="20"/>
          <w:color w:val="auto"/>
        </w:rPr>
        <w:br w:type="column"/>
      </w:r>
    </w:p>
    <w:p>
      <w:pPr>
        <w:ind w:right="3399"/>
        <w:spacing w:after="0" w:line="238" w:lineRule="auto"/>
        <w:rPr>
          <w:sz w:val="20"/>
          <w:szCs w:val="20"/>
          <w:color w:val="auto"/>
        </w:rPr>
      </w:pPr>
      <w:r>
        <w:rPr>
          <w:rFonts w:ascii="Courier New" w:cs="Courier New" w:eastAsia="Courier New" w:hAnsi="Courier New"/>
          <w:sz w:val="15"/>
          <w:szCs w:val="15"/>
          <w:color w:val="auto"/>
        </w:rPr>
        <w:t>The Common Stock is traded on the NYSE under the symbol "UW."</w:t>
      </w:r>
    </w:p>
    <w:p>
      <w:pPr>
        <w:spacing w:after="0" w:line="175" w:lineRule="exact"/>
        <w:rPr>
          <w:sz w:val="20"/>
          <w:szCs w:val="20"/>
          <w:color w:val="auto"/>
        </w:rPr>
      </w:pPr>
    </w:p>
    <w:p>
      <w:pPr>
        <w:sectPr>
          <w:pgSz w:w="11900" w:h="16838" w:orient="portrait"/>
          <w:cols w:equalWidth="0" w:num="2">
            <w:col w:w="2660" w:space="260"/>
            <w:col w:w="7299"/>
          </w:cols>
          <w:pgMar w:left="240" w:top="287"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4"/>
          <w:szCs w:val="14"/>
          <w:color w:val="auto"/>
        </w:rPr>
        <w:t>S-5</w:t>
      </w:r>
    </w:p>
    <w:p>
      <w:pPr>
        <w:sectPr>
          <w:pgSz w:w="11900" w:h="16838" w:orient="portrait"/>
          <w:cols w:equalWidth="0" w:num="1">
            <w:col w:w="10219"/>
          </w:cols>
          <w:pgMar w:left="240" w:top="287"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addition to the other information contained in or incorporated by reference in this Prospectus Supplement or the accompanying Prospectus, prospective investors should consider carefully the following factors relating to the business of the Company and the sale of the Notes before acquiring any of the Notes offered hereby. Information contained or incorporated by reference in this Prospectus Supplement or the accompanying Prospectus contains "forward-looking statements." No assurance can be given that the future results covered by the forward-looking statements will be achieved. The following cautionary statements identify certain important factors with respect to such forward-looking statements, including certain risks and uncertainties, that could cause actual results to vary materially from the future results covered in such forward-looking statements. Other factors also could cause actual results to vary materially from the future results covered in such forward-looking statements. In addition, prospective investors should consider carefully the information set forth under the captions "Business -- Regulation" and</w:t>
      </w:r>
    </w:p>
    <w:p>
      <w:pPr>
        <w:spacing w:after="0" w:line="164"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 Factors Influencing Future Results and Accuracy of Forward-Looking Statements" in Part I of the Company's Annual Report on Form 10-K for the fiscal year ended December 31, 1995, which is incorporated by reference herein.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ASSURANCE OF SUCCESSFUL MANAGEMENT AND MAINTENANCE OF GROWTH</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whether the anticipated benefits of acquired operations are ultimately achieved will depend on a number of factors, including the ability of the combined companies to achieve administrative cost savings, rationalization of collection routes, insurance and bonding cost reductions, general economies of scale and the ability of the Company, generally, to capitalize on its combined asset base and strategic position. Moreover, the ability of the Company to continue to grow will depend on a number of factors, including competition from other waste management companies, availability of capital, ability to maintain margins and the management of costs in a changing regulatory environment. There can be no assurance that the Company will be able to continue to expand and successfully manage its growth.</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regularly pursues opportunities to expand through acquisitions. The Company plans to continue to seek acquisitions that complement its services, broaden its customer base and improve its operating efficiencies. The Company's acquisition strategy involves certain potential risks associated with assessing, acquiring and integrating the operations of acquired companies. Although the Company generally has been successful in implementing its acquisition strategy, there can be no assurance that attractive acquisition opportunities will continue to be available, that the Company will have access to the capital required to finance potential acquisitions on satisfactory terms, or that any businesses acquired will prove profitable. Future acquisitions may result in the incurrence of additional indebtedness or the issuance of additional equity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EXPANSION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the pending Canadian Acquisition is consummated, a significant portion of the Company's operations will be conducted in Canada. The Company's operations in foreign countries, including Canada,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the Company. No prediction can be made as to how existing or future foreign governmental regulations in any jurisdiction may affect the Company in particular or the solid waste management industry in general.</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19"/>
          </w:cols>
          <w:pgMar w:left="240"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Notes will be subordinated in right of payment to all Senior Indebtedness and will be structurally subordinated to all liabilities (including trade payables) of the Company's subsidiaries. The Subordinated Indenture will not restrict the incurrence of Senior Indebtedness or other indebtedness by the Company or its subsidiaries. By reason of such subordination of the Notes, in the event of the insolvency, bankruptcy, liquidation, reorganization, dissolution or winding up of the business of the Company or upon a default in payment with respect to any indebtedness of the Company or an event of default with respect to such indebtedness resulting in the acceleration thereof, the assets of the Company will be available to pay the amounts due on the Notes only after all Senior Indebtedness has been paid in full. The Notes will rank pari passu with all other unsecured, subordinated obligations of the Company, including the Company's 5% Convertible Subordinated Debentures due 2006. See "Description of Notes -- Subordination."</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conducts its operations primarily through its subsidiaries. Accordingly, the Company's ability to meet its cash obligations is dependent in part upon the ability of its subsidiaries to make cash distributions to the Company. The ability of its subsidiaries to make distributions to the Company is, and will continue to be, restricted by, among other limitations, applicable provisions of the laws of national or state governments and contractual provisions. The Subordinated Indenture will not limit the ability of the Company's subsidiaries to agree to be bound by such contractual restrictions in the future. The right of the Company to participate in the assets of any subsidiary (and thus the ability of holders of the Notes to benefit indirectly from such assets) is generally subject to the prior claims of creditors, including trade creditors, of that subsidiary except to the extent that the Company is recognized as a creditor of such subsidiary, in which case the Company's claims would still be subject to any security interest of other creditors of such subsidiary. The Notes, therefore, will be subordinated by operation of law to creditors, including trade creditors, of subsidiaries of the Company with respect to the assets of the subsidiaries against which such creditors have a claim.</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September 30, 1996, the Company and its subsidiaries would have had an aggregate of approximately $1.7 billion of consolidated indebtedness and other obligations effectively ranking senior to the Notes after adjustments to give effect to the subsequent incurrence of indebtedness primarily in connection with acquisitions, consummation of this Offering and the Common Stock Offering and the application of the aggregate net proceeds from such offerings, and the assumed consummation of the pending Canadian Acquisition.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ON REPURCHASE OF NOTES UPON CHANGE IN CONTROL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the occurrence of a Change of Control, each holder of Notes may require the Company to repurchase all or a portion of such holder's Notes. If a Change of Control were to occur, there can be no assurance that the Company would have sufficient financial resources, or would be able to arrange financing, to pay the repurchase price for all Notes tendered by the holders thereof. Any future credit agreements or other agreements relating to indebtedness (including Senior Indebtedness) to which the Company becomes a party may contain restrictions on the repurchase of Notes. In the event a Change of Control occurs at a time when the Company is prohibited from repurchasing the Notes, the Company could seek the consent of its lenders to the repurchase of the Notes or could attempt to refinance the borrowings that contain such prohibition. If the Company does not obtain such a consent or repay such borrowings, the Company would remain prohibited from repurchasing Notes. In such case, the Company's failure to repurchase tendered Notes would constitute an Event of Default under the Subordinated Indenture, which would, in turn, constitute a further default under certain of the Company's existing debt instruments and may constitute a default under the terms of other indebtedness that the Company may enter into from time to time. In such circumstances, the subordination provisions in the Subordinated Indenture would likely restrict payments to the holders of Notes. See "Description of Notes -- Repurchase of Notes at the Option of the Holder Upon a Change of Control" and "-- Subordination."</w:t>
      </w:r>
    </w:p>
    <w:p>
      <w:pPr>
        <w:spacing w:after="0" w:line="1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19"/>
          </w:cols>
          <w:pgMar w:left="240"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ABSENCE OF EXISTING MARKET FOR NOTES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Notes will constitute a new issue of securities with no established trading market. Application will be made to have the Notes listed on the New York Stock Exchange. The Company has been advised by the Underwriters that, following completion of this Offering, they presently intend to make a market in the Notes. However, the Underwriters are not obligated to do so and any market-making activities may be discontinued at any time without notice. In addition, such market-making activities will be subject to the limits imposed by the Securities Exchange Act of 1934, as amended (the "Exchange Act"). No assurance can be given that an active trading market for the Notes will develop or, if such market develops, as to the liquidity or sustainability of such market. If a trading market does not develop or is not maintained, holders of the Notes may experience difficulty in reselling the Notes or may be unable to sell them at all. If a market for the Notes develops, any such market may be discontinued at any time. If a public trading market develops for the Notes, future trading prices of the Notes will depend on many factors, including, among other things, prevailing interest rates, the Company's results of operations and financial condition and the market for similar securities. Depending on such factors, the Notes may trade at a discount from their principal amount.</w:t>
      </w:r>
    </w:p>
    <w:p>
      <w:pPr>
        <w:spacing w:after="0" w:line="330"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proceeds to the Company from the sale of the Notes in this Offering, after deducting underwriting discounts and commissions and estimated offering expenses, are estimated to be $292.1 million ($336.0 million if the Underwriters' over-allotment option is exercised in full). The proceeds to the Company from the Common Stock Offering, after deducting underwriting discounts and commissions and estimated offering expenses, are estimated to be $297.2 million ($341.8 million if the underwriters' over-allotment option is exercised in full), based upon the closing sale price of the Common Stock as reported on the NYSE Composite Tape on January 13, 1997.</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net proceeds of this Offering, together with the net proceeds of the Common Stock Offering, are expected to be used repay a portion of the outstanding indebtedness under the Credit Facility. At January 8, 1997, the aggregate outstanding balance under the Credit Facility was $722.0 million. Borrowings under the Credit Facility bear interest at a rate equal to the Eurodollar rate plus an amount not in excess of 0.75% per annum (currently</w:t>
      </w:r>
    </w:p>
    <w:p>
      <w:pPr>
        <w:spacing w:after="0" w:line="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5.75%) and mature on August 31, 2001. Amounts currently outstanding under the Credit Facility were incurred primarily to fund acquisitions and to refinance existing indebtedness. Amounts repaid on the Credit Facility may be reborrowed from time to time for possible future acquisitions (including the pending Canadian Acquisition), capital expenditures and other general corporate purposes.</w:t>
      </w:r>
    </w:p>
    <w:p>
      <w:pPr>
        <w:spacing w:after="0" w:line="175"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Consummation of this Offering is not a condition to consummation of the Common Stock Offering, and consummation of the Common Stock Offering is not a condition to consummation of this Offering.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PRICE RANGE OF COMMON STOCK</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Common Stock is traded on the NYSE under the symbol "UW." The following table sets forth the range of the high and low per share sales prices for the Common Stock as reported on the NYSE Composite Tape for the period from January 1, 1995 through January 13, 1997.</w:t>
      </w:r>
    </w:p>
    <w:p>
      <w:pPr>
        <w:spacing w:after="0" w:line="200" w:lineRule="exact"/>
        <w:rPr>
          <w:sz w:val="20"/>
          <w:szCs w:val="20"/>
          <w:color w:val="auto"/>
        </w:rPr>
      </w:pPr>
    </w:p>
    <w:p>
      <w:pPr>
        <w:spacing w:after="0" w:line="31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14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PRICE RANGE</w:t>
            </w:r>
          </w:p>
        </w:tc>
        <w:tc>
          <w:tcPr>
            <w:tcW w:w="260" w:type="dxa"/>
            <w:vAlign w:val="bottom"/>
          </w:tcPr>
          <w:p>
            <w:pPr>
              <w:spacing w:after="0"/>
              <w:rPr>
                <w:sz w:val="14"/>
                <w:szCs w:val="14"/>
                <w:color w:val="auto"/>
              </w:rPr>
            </w:pPr>
          </w:p>
        </w:tc>
      </w:tr>
      <w:tr>
        <w:trPr>
          <w:trHeight w:val="171"/>
        </w:trPr>
        <w:tc>
          <w:tcPr>
            <w:tcW w:w="60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OF COMMON STOCK</w:t>
            </w:r>
          </w:p>
        </w:tc>
        <w:tc>
          <w:tcPr>
            <w:tcW w:w="260" w:type="dxa"/>
            <w:vAlign w:val="bottom"/>
          </w:tcPr>
          <w:p>
            <w:pPr>
              <w:spacing w:after="0"/>
              <w:rPr>
                <w:sz w:val="14"/>
                <w:szCs w:val="14"/>
                <w:color w:val="auto"/>
              </w:rPr>
            </w:pPr>
          </w:p>
        </w:tc>
      </w:tr>
      <w:tr>
        <w:trPr>
          <w:trHeight w:val="171"/>
        </w:trPr>
        <w:tc>
          <w:tcPr>
            <w:tcW w:w="60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r>
      <w:tr>
        <w:trPr>
          <w:trHeight w:val="171"/>
        </w:trPr>
        <w:tc>
          <w:tcPr>
            <w:tcW w:w="6040" w:type="dxa"/>
            <w:vAlign w:val="bottom"/>
          </w:tcPr>
          <w:p>
            <w:pPr>
              <w:spacing w:after="0"/>
              <w:rPr>
                <w:sz w:val="14"/>
                <w:szCs w:val="14"/>
                <w:color w:val="auto"/>
              </w:rPr>
            </w:pPr>
          </w:p>
        </w:tc>
        <w:tc>
          <w:tcPr>
            <w:tcW w:w="4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HIGH</w:t>
            </w:r>
          </w:p>
        </w:tc>
        <w:tc>
          <w:tcPr>
            <w:tcW w:w="44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LOW</w:t>
            </w:r>
          </w:p>
        </w:tc>
        <w:tc>
          <w:tcPr>
            <w:tcW w:w="260" w:type="dxa"/>
            <w:vAlign w:val="bottom"/>
          </w:tcPr>
          <w:p>
            <w:pPr>
              <w:spacing w:after="0"/>
              <w:rPr>
                <w:sz w:val="14"/>
                <w:szCs w:val="14"/>
                <w:color w:val="auto"/>
              </w:rPr>
            </w:pPr>
          </w:p>
        </w:tc>
      </w:tr>
      <w:tr>
        <w:trPr>
          <w:trHeight w:val="341"/>
        </w:trPr>
        <w:tc>
          <w:tcPr>
            <w:tcW w:w="60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71"/>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$12 1/2</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r>
      <w:tr>
        <w:trPr>
          <w:trHeight w:val="171"/>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4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16</w:t>
            </w:r>
          </w:p>
        </w:tc>
        <w:tc>
          <w:tcPr>
            <w:tcW w:w="4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5/8</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1"/>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w:t>
            </w:r>
          </w:p>
        </w:tc>
        <w:tc>
          <w:tcPr>
            <w:tcW w:w="4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22</w:t>
            </w:r>
          </w:p>
        </w:tc>
        <w:tc>
          <w:tcPr>
            <w:tcW w:w="44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1"/>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w:t>
            </w:r>
          </w:p>
        </w:tc>
        <w:tc>
          <w:tcPr>
            <w:tcW w:w="4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22</w:t>
            </w:r>
          </w:p>
        </w:tc>
        <w:tc>
          <w:tcPr>
            <w:tcW w:w="4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1/2</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4"/>
                <w:szCs w:val="14"/>
                <w:color w:val="auto"/>
              </w:rPr>
            </w:pP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$25 5/8</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 1/4</w:t>
            </w:r>
          </w:p>
        </w:tc>
      </w:tr>
      <w:tr>
        <w:trPr>
          <w:trHeight w:val="171"/>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4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32</w:t>
            </w:r>
          </w:p>
        </w:tc>
        <w:tc>
          <w:tcPr>
            <w:tcW w:w="4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5/8</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r>
      <w:tr>
        <w:trPr>
          <w:trHeight w:val="171"/>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w:t>
            </w:r>
          </w:p>
        </w:tc>
        <w:tc>
          <w:tcPr>
            <w:tcW w:w="4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34</w:t>
            </w:r>
          </w:p>
        </w:tc>
        <w:tc>
          <w:tcPr>
            <w:tcW w:w="4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1/8</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171"/>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w:t>
            </w:r>
          </w:p>
        </w:tc>
        <w:tc>
          <w:tcPr>
            <w:tcW w:w="4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9"/>
              </w:rPr>
              <w:t>34</w:t>
            </w:r>
          </w:p>
        </w:tc>
        <w:tc>
          <w:tcPr>
            <w:tcW w:w="4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6"/>
              </w:rPr>
              <w:t>1/4</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5/8</w:t>
            </w:r>
          </w:p>
        </w:tc>
      </w:tr>
      <w:tr>
        <w:trPr>
          <w:trHeight w:val="171"/>
        </w:trPr>
        <w:tc>
          <w:tcPr>
            <w:tcW w:w="60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1"/>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 (through January 13, 1997).........................</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$32 1/8</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 5/8</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On January 13, 1997, the closing sale price of the Common Stock as reported on the NYSE Composite Tape was $31 per share.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The Company has never paid cash dividends on its Common Stock, and the Company's Board of Directors presently intends to retain any earnings in the foreseeable future for use in the Company's business. Payment of dividends on the Common Stock is restricted by terms of the Credit Facility.</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287" w:right="1440" w:bottom="1440" w:gutter="0" w:footer="0" w:header="0"/>
        </w:sectPr>
      </w:pPr>
    </w:p>
    <w:bookmarkStart w:id="10" w:name="page11"/>
    <w:bookmarkEnd w:id="10"/>
    <w:p>
      <w:pPr>
        <w:ind w:left="269"/>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CAPITALIZATION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table sets forth the consolidated capitalization of the Company at September 30, 1996 (i) on an historical basis; (ii) "As Adjusted" to reflect additional borrowings under the Credit Facility through January 8, 1997 primarily related to acquisitions and repayment of a note payable after September 30, 1996; and (iii) "As Further Adjusted" to give effect to this Offering and the sale by the Company of 10,000,000 shares of Common Stock in the Common Stock Offering (based upon the closing sale price of the Common Stock on the NYSE Composite Tape on January 13, 1997) and the anticipated application of the aggregate net proceeds from such offerings. See "Use of Proceeds." This table should be read in conjunction with and is qualified by reference to the Company's Consolidated Financial Statements and Notes thereto incorporated by reference herein.</w:t>
      </w:r>
    </w:p>
    <w:p>
      <w:pPr>
        <w:spacing w:after="0" w:line="200" w:lineRule="exact"/>
        <w:rPr>
          <w:sz w:val="20"/>
          <w:szCs w:val="20"/>
          <w:color w:val="auto"/>
        </w:rPr>
      </w:pPr>
    </w:p>
    <w:p>
      <w:pPr>
        <w:spacing w:after="0" w:line="31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60" w:type="dxa"/>
            <w:vAlign w:val="bottom"/>
            <w:gridSpan w:val="4"/>
          </w:tcPr>
          <w:p>
            <w:pPr>
              <w:jc w:val="right"/>
              <w:ind w:right="726"/>
              <w:spacing w:after="0"/>
              <w:rPr>
                <w:sz w:val="20"/>
                <w:szCs w:val="20"/>
                <w:color w:val="auto"/>
              </w:rPr>
            </w:pPr>
            <w:r>
              <w:rPr>
                <w:rFonts w:ascii="Courier New" w:cs="Courier New" w:eastAsia="Courier New" w:hAnsi="Courier New"/>
                <w:sz w:val="15"/>
                <w:szCs w:val="15"/>
                <w:color w:val="auto"/>
              </w:rPr>
              <w:t>AS OF SEPTEMBER 30, 1996</w:t>
            </w:r>
          </w:p>
        </w:tc>
      </w:tr>
      <w:tr>
        <w:trPr>
          <w:trHeight w:val="171"/>
        </w:trPr>
        <w:tc>
          <w:tcPr>
            <w:tcW w:w="5180" w:type="dxa"/>
            <w:vAlign w:val="bottom"/>
          </w:tcPr>
          <w:p>
            <w:pPr>
              <w:spacing w:after="0"/>
              <w:rPr>
                <w:sz w:val="14"/>
                <w:szCs w:val="14"/>
                <w:color w:val="auto"/>
              </w:rPr>
            </w:pPr>
          </w:p>
        </w:tc>
        <w:tc>
          <w:tcPr>
            <w:tcW w:w="360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AS FURTHER</w:t>
            </w:r>
          </w:p>
        </w:tc>
      </w:t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ACTUAL</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AS ADJUSTED</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w w:val="96"/>
              </w:rPr>
              <w:t>ADJUSTED(1)</w:t>
            </w:r>
          </w:p>
        </w:tc>
      </w:tr>
      <w:tr>
        <w:trPr>
          <w:trHeight w:val="17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(IN THOUSANDS)</w:t>
            </w:r>
          </w:p>
        </w:tc>
        <w:tc>
          <w:tcPr>
            <w:tcW w:w="1120" w:type="dxa"/>
            <w:vAlign w:val="bottom"/>
          </w:tcPr>
          <w:p>
            <w:pPr>
              <w:spacing w:after="0"/>
              <w:rPr>
                <w:sz w:val="14"/>
                <w:szCs w:val="14"/>
                <w:color w:val="auto"/>
              </w:rPr>
            </w:pPr>
          </w:p>
        </w:tc>
      </w:tr>
      <w:tr>
        <w:trPr>
          <w:trHeight w:val="341"/>
        </w:trPr>
        <w:tc>
          <w:tcPr>
            <w:tcW w:w="518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 maturities):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Credit facility.........................................</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506,000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722,000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132,700</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Senior notes, maturing through 2005.....................</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106,947</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106,947</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106,947</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Note payable to bank....................................</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60,000</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5% Convertible subordinated debentures due 2006.........</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112,069</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112,069</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112,069</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 Convertible subordinated notes due 2002.............</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300,000</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Subordinated debt, maturing through 2008................</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6,931</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6,931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6,931</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Industrial revenue bonds................................</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163,230</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163,230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163,230</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71,254</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71,254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71,254</w:t>
            </w:r>
          </w:p>
        </w:tc>
      </w:tr>
      <w:tr>
        <w:trPr>
          <w:trHeight w:val="171"/>
        </w:trPr>
        <w:tc>
          <w:tcPr>
            <w:tcW w:w="518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Total long-term debt, including current</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maturities....................................</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1,026,431</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1,182,431</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893,131</w:t>
            </w:r>
          </w:p>
        </w:tc>
      </w:tr>
      <w:tr>
        <w:trPr>
          <w:trHeight w:val="171"/>
        </w:trPr>
        <w:tc>
          <w:tcPr>
            <w:tcW w:w="518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51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Preferred stock, 10,000,000 shares authorized, none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issued...............................................</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Common stock, 300,000,000 shares authorized, 138,343,184</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51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shares issued (Actual and As Adjusted) and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148,343,184 shares issued (As Further Adjusted)(2)...</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1,383</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1,383</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1,483</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1,232,775</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1,232,775</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1,529,875</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(131,875)</w:t>
            </w:r>
          </w:p>
        </w:tc>
        <w:tc>
          <w:tcPr>
            <w:tcW w:w="3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(131,875)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(131,875)</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Foreign currency translation adjustment.................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(14,625)</w:t>
            </w:r>
          </w:p>
        </w:tc>
        <w:tc>
          <w:tcPr>
            <w:tcW w:w="3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(14,625)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(14,625)</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Less treasury stock at cost, 23,485 shares..............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3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1"/>
        </w:trPr>
        <w:tc>
          <w:tcPr>
            <w:tcW w:w="518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14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1,087,174</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1,087,174</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1,384,374</w:t>
            </w:r>
          </w:p>
        </w:tc>
      </w:tr>
      <w:tr>
        <w:trPr>
          <w:trHeight w:val="171"/>
        </w:trPr>
        <w:tc>
          <w:tcPr>
            <w:tcW w:w="518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Total capitalization..........................</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2,113,605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2,269,605</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$2,277,505</w:t>
            </w:r>
          </w:p>
        </w:tc>
      </w:tr>
      <w:tr>
        <w:trPr>
          <w:trHeight w:val="171"/>
        </w:trPr>
        <w:tc>
          <w:tcPr>
            <w:tcW w:w="5180" w:type="dxa"/>
            <w:vAlign w:val="bottom"/>
          </w:tcPr>
          <w:p>
            <w:pPr>
              <w:spacing w:after="0"/>
              <w:rPr>
                <w:sz w:val="14"/>
                <w:szCs w:val="14"/>
                <w:color w:val="auto"/>
              </w:rPr>
            </w:pPr>
          </w:p>
        </w:tc>
        <w:tc>
          <w:tcPr>
            <w:tcW w:w="10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approximately $518 million of indebtedness which is expected to be incurred if the pending Canadian Acquisition is consummated. Consummation of the Common Stock Offering is not a condition to consummation of this Offering. If the Common Stock Offering is not consummated, long-term debt in the "As Further Adjusted" column would be increased by $297.2 million and stockholders' equity would be decreased by $297.2 million from the amounts shown.</w:t>
      </w:r>
    </w:p>
    <w:p>
      <w:pPr>
        <w:spacing w:after="0" w:line="17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of Common Stock outstanding as of September</w:t>
      </w:r>
    </w:p>
    <w:p>
      <w:pPr>
        <w:spacing w:after="0" w:line="1"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30, 1996. Does not include (i)</w:t>
            </w:r>
          </w:p>
        </w:tc>
        <w:tc>
          <w:tcPr>
            <w:tcW w:w="620" w:type="dxa"/>
            <w:vAlign w:val="bottom"/>
          </w:tcPr>
          <w:p>
            <w:pPr>
              <w:spacing w:after="0"/>
              <w:rPr>
                <w:sz w:val="14"/>
                <w:szCs w:val="14"/>
                <w:color w:val="auto"/>
              </w:rPr>
            </w:pP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shares issuable upon conversion of</w:t>
            </w:r>
          </w:p>
        </w:tc>
      </w:tr>
      <w:tr>
        <w:trPr>
          <w:trHeight w:val="171"/>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the Notes at a conversion price of $</w:t>
            </w:r>
          </w:p>
        </w:tc>
        <w:tc>
          <w:tcPr>
            <w:tcW w:w="3160" w:type="dxa"/>
            <w:vAlign w:val="bottom"/>
          </w:tcPr>
          <w:p>
            <w:pPr>
              <w:ind w:left="220"/>
              <w:spacing w:after="0"/>
              <w:rPr>
                <w:sz w:val="20"/>
                <w:szCs w:val="20"/>
                <w:color w:val="auto"/>
              </w:rPr>
            </w:pPr>
            <w:r>
              <w:rPr>
                <w:rFonts w:ascii="Courier New" w:cs="Courier New" w:eastAsia="Courier New" w:hAnsi="Courier New"/>
                <w:sz w:val="15"/>
                <w:szCs w:val="15"/>
                <w:color w:val="auto"/>
              </w:rPr>
              <w:t>per share, (ii) 4,062,168 shares</w:t>
            </w:r>
          </w:p>
        </w:tc>
      </w:tr>
      <w:tr>
        <w:trPr>
          <w:trHeight w:val="171"/>
        </w:trPr>
        <w:tc>
          <w:tcPr>
            <w:tcW w:w="6760" w:type="dxa"/>
            <w:vAlign w:val="bottom"/>
            <w:gridSpan w:val="3"/>
          </w:tcPr>
          <w:p>
            <w:pPr>
              <w:spacing w:after="0"/>
              <w:rPr>
                <w:sz w:val="20"/>
                <w:szCs w:val="20"/>
                <w:color w:val="auto"/>
              </w:rPr>
            </w:pPr>
            <w:r>
              <w:rPr>
                <w:rFonts w:ascii="Courier New" w:cs="Courier New" w:eastAsia="Courier New" w:hAnsi="Courier New"/>
                <w:sz w:val="15"/>
                <w:szCs w:val="15"/>
                <w:color w:val="auto"/>
              </w:rPr>
              <w:t>issuable upon conversion of the Company's outstanding 5% Convertible</w:t>
            </w:r>
          </w:p>
        </w:tc>
      </w:tr>
      <w:tr>
        <w:trPr>
          <w:trHeight w:val="171"/>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Subordinated Debentures due 2006,</w:t>
            </w:r>
          </w:p>
        </w:tc>
        <w:tc>
          <w:tcPr>
            <w:tcW w:w="37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at a conversion price of $28.31 per share,</w:t>
            </w:r>
          </w:p>
        </w:tc>
      </w:tr>
      <w:tr>
        <w:trPr>
          <w:trHeight w:val="171"/>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or (iii) 18,026,775 shares issuable upon</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exercise of outstanding stock</w:t>
            </w:r>
          </w:p>
        </w:tc>
      </w:tr>
      <w:tr>
        <w:trPr>
          <w:trHeight w:val="171"/>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options under the Company's stock</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option</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plans and outstanding warrants as</w:t>
            </w:r>
          </w:p>
        </w:tc>
      </w:tr>
      <w:tr>
        <w:trPr>
          <w:trHeight w:val="171"/>
        </w:trPr>
        <w:tc>
          <w:tcPr>
            <w:tcW w:w="2980" w:type="dxa"/>
            <w:vAlign w:val="bottom"/>
          </w:tcPr>
          <w:p>
            <w:pPr>
              <w:spacing w:after="0"/>
              <w:rPr>
                <w:sz w:val="20"/>
                <w:szCs w:val="20"/>
                <w:color w:val="auto"/>
              </w:rPr>
            </w:pPr>
            <w:r>
              <w:rPr>
                <w:rFonts w:ascii="Courier New" w:cs="Courier New" w:eastAsia="Courier New" w:hAnsi="Courier New"/>
                <w:sz w:val="15"/>
                <w:szCs w:val="15"/>
                <w:color w:val="auto"/>
              </w:rPr>
              <w:t>of such date.</w:t>
            </w:r>
          </w:p>
        </w:tc>
        <w:tc>
          <w:tcPr>
            <w:tcW w:w="62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341"/>
        </w:trPr>
        <w:tc>
          <w:tcPr>
            <w:tcW w:w="298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S-10</w:t>
            </w:r>
          </w:p>
        </w:tc>
        <w:tc>
          <w:tcPr>
            <w:tcW w:w="316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11" w:name="page12"/>
    <w:bookmarkEnd w:id="11"/>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11</w:t>
      </w:r>
    </w:p>
    <w:p>
      <w:pPr>
        <w:spacing w:after="0" w:line="17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4" w:lineRule="exact"/>
        <w:rPr>
          <w:sz w:val="20"/>
          <w:szCs w:val="20"/>
          <w:color w:val="auto"/>
        </w:rPr>
      </w:pPr>
    </w:p>
    <w:p>
      <w:pPr>
        <w:ind w:right="4420" w:firstLine="444"/>
        <w:spacing w:after="0" w:line="258" w:lineRule="auto"/>
        <w:rPr>
          <w:sz w:val="20"/>
          <w:szCs w:val="20"/>
          <w:color w:val="auto"/>
        </w:rPr>
      </w:pPr>
      <w:r>
        <w:rPr>
          <w:rFonts w:ascii="Courier New" w:cs="Courier New" w:eastAsia="Courier New" w:hAnsi="Courier New"/>
          <w:sz w:val="14"/>
          <w:szCs w:val="14"/>
          <w:color w:val="auto"/>
        </w:rPr>
        <w:t>The following selected consolidated financial data of the Company as of December 31, 1994 and 1995, and for each of the three years in the period ended December 31, 1995, have been derived from the audited Consolidated Financial Statements and Notes thereto of the Company. The following selected consolidated financial data of the Company as of December 31, 1991, 1992, and 1993, for each of the two years in the period ended December 31, 1992, and as of and for the nine months ended September 30, 1995 and 1996, have been derived from the unaudited Consolidated Financial Statements of the Company, which in the opinion of the Company, reflect all adjustments, consisting only of normal recurring adjustments, necessary for a fair presentation of the Company's financial condition and results of operations as of such date and for such periods. This data should be read in conjunction with the Consolidated Financial Statements and the Notes thereto incorporated by reference in this Prospectus Supplement and the accompanying Prospectus. The data set forth below include the accounts of the Company and the businesses it has acquired in transactions accounted for as poolings of interests as if such businesses had been combined since their inception. The accounts of businesses acquired by the Company in transactions accounted for as purchases are included from their respective dates of acquisition. Results for the nine months ended September 30, 1996 are not necessarily indicative of results to be expected for the full year.</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gridSpan w:val="5"/>
          </w:tcPr>
          <w:p>
            <w:pPr>
              <w:jc w:val="right"/>
              <w:ind w:right="906"/>
              <w:spacing w:after="0"/>
              <w:rPr>
                <w:sz w:val="20"/>
                <w:szCs w:val="20"/>
                <w:color w:val="auto"/>
              </w:rPr>
            </w:pPr>
            <w:r>
              <w:rPr>
                <w:rFonts w:ascii="Courier New" w:cs="Courier New" w:eastAsia="Courier New" w:hAnsi="Courier New"/>
                <w:sz w:val="15"/>
                <w:szCs w:val="15"/>
                <w:color w:val="auto"/>
              </w:rPr>
              <w:t>YEARS ENDED DECEMBER 31,</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25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3"/>
                <w:szCs w:val="3"/>
                <w:color w:val="auto"/>
                <w:w w:val="90"/>
              </w:rPr>
              <w: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1991</w:t>
            </w:r>
          </w:p>
        </w:tc>
        <w:tc>
          <w:tcPr>
            <w:tcW w:w="26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60" w:type="dxa"/>
            <w:vAlign w:val="bottom"/>
            <w:gridSpan w:val="7"/>
          </w:tcPr>
          <w:p>
            <w:pPr>
              <w:jc w:val="right"/>
              <w:ind w:right="26"/>
              <w:spacing w:after="0"/>
              <w:rPr>
                <w:sz w:val="20"/>
                <w:szCs w:val="20"/>
                <w:color w:val="auto"/>
              </w:rPr>
            </w:pPr>
            <w:r>
              <w:rPr>
                <w:rFonts w:ascii="Courier New" w:cs="Courier New" w:eastAsia="Courier New" w:hAnsi="Courier New"/>
                <w:sz w:val="15"/>
                <w:szCs w:val="15"/>
                <w:color w:val="auto"/>
              </w:rPr>
              <w:t>(IN THOUSANDS, EXCEPT PER SHARE AND RATIO DATA)</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252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DATA:</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571,588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682,869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778,966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897,644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987,705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726,148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963,021</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414,369</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424,497</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455,282</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520,255</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551,305</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408,053</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522,698</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General and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72,379</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130,956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126,347</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138,819</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140,051</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104,859</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118,557</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67,176</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77,872</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96,861</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112,860</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119,570</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88,934</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111,157</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Merger costs..............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3,782</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25,639</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25,639</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120,656</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Unusual items.............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72,090</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2,672</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8,863</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4,733</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4,733</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63,800</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553,924</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705,415</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681,162</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784,579</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841,298</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632,218</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936,868</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17,664</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(22,546)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97,804</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113,065</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146,407</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93,930</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26,153</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Shareholder litigation</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340"/>
              <w:spacing w:after="0"/>
              <w:rPr>
                <w:sz w:val="20"/>
                <w:szCs w:val="20"/>
                <w:color w:val="auto"/>
              </w:rPr>
            </w:pPr>
            <w:r>
              <w:rPr>
                <w:rFonts w:ascii="Courier New" w:cs="Courier New" w:eastAsia="Courier New" w:hAnsi="Courier New"/>
                <w:sz w:val="15"/>
                <w:szCs w:val="15"/>
                <w:color w:val="auto"/>
              </w:rPr>
              <w:t>settlement and other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340"/>
              <w:spacing w:after="0"/>
              <w:rPr>
                <w:sz w:val="20"/>
                <w:szCs w:val="20"/>
                <w:color w:val="auto"/>
              </w:rPr>
            </w:pPr>
            <w:r>
              <w:rPr>
                <w:rFonts w:ascii="Courier New" w:cs="Courier New" w:eastAsia="Courier New" w:hAnsi="Courier New"/>
                <w:sz w:val="15"/>
                <w:szCs w:val="15"/>
                <w:color w:val="auto"/>
              </w:rPr>
              <w:t>litigation related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costs...................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(10,853)</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(5,500)</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(79,400)</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Nonrecurring interest...</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(1,254)</w:t>
            </w:r>
          </w:p>
        </w:tc>
        <w:tc>
          <w:tcPr>
            <w:tcW w:w="26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(10,994)</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(10,994)</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(41,282)</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(44,612)</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(46,032)</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(47,678)</w:t>
            </w:r>
          </w:p>
        </w:tc>
        <w:tc>
          <w:tcPr>
            <w:tcW w:w="26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(48,558)</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(37,917)</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(33,977)</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12,352</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6,840</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4,835</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4,670</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5,482</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4,077</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4,015</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Other income, net.........</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(8,713)</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2,285</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1,161</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2,570</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5,143</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3,497</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4,853</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(37,643)</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(46,340)</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(45,536)</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(121,092)</w:t>
            </w:r>
          </w:p>
        </w:tc>
        <w:tc>
          <w:tcPr>
            <w:tcW w:w="26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(48,927)</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(41,337)</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(25,109)</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(19,979)</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(68,886)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52,268</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(8,027)</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97,480</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52,593</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1,044</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w w:val="97"/>
              </w:rPr>
              <w:t>Provision for (benefit from)</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(7,992)</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(27,554)</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24,249</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1,015</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44,992</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27,037</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14,324</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(11,987)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(41,332)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(9,042)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52,488</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25,556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(13,280)</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 per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common share..............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( 0.47)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0.46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common and common</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equivalent shares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89,772</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88,371</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95,858</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103,422</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113,279</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108,710</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138,262</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BALANCE SHEET DATA (AT END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OF PERIOD):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w w:val="97"/>
              </w:rPr>
              <w:t>Working capital.............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177,388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75,143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45,805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9,971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30,109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33,448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15,814</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w w:val="97"/>
              </w:rPr>
              <w:t>Intangible assets, net......</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91,056</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104,471</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152,370</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185,066</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262,205</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231,307</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487,321</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w w:val="97"/>
              </w:rPr>
              <w:t>Total assets................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1,277,428</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1,311,828</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1,428,444</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1,588,996</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1,933,557</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1,805,118</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2,628,977</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Long-term debt, including</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current maturities........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606,562</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614,684</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650,331</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688,673</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731,741</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826,473</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1,026,431</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w w:val="97"/>
              </w:rPr>
              <w:t>Stockholders' equity........</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440,445</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457,745</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534,989</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560,616</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907,622</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716,619</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1,087,174</w:t>
            </w:r>
          </w:p>
        </w:tc>
      </w:tr>
      <w:tr>
        <w:trPr>
          <w:trHeight w:val="341"/>
        </w:trPr>
        <w:tc>
          <w:tcPr>
            <w:tcW w:w="25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720" w:type="dxa"/>
            <w:vAlign w:val="bottom"/>
            <w:gridSpan w:val="3"/>
          </w:tcPr>
          <w:p>
            <w:pPr>
              <w:spacing w:after="0"/>
              <w:rPr>
                <w:sz w:val="20"/>
                <w:szCs w:val="20"/>
                <w:color w:val="auto"/>
              </w:rPr>
            </w:pPr>
            <w:r>
              <w:rPr>
                <w:rFonts w:ascii="Courier New" w:cs="Courier New" w:eastAsia="Courier New" w:hAnsi="Courier New"/>
                <w:sz w:val="15"/>
                <w:szCs w:val="15"/>
                <w:color w:val="auto"/>
              </w:rPr>
              <w:t>Ratio of earnings to fixed charges(1):</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Actual....................</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0.53x</w:t>
            </w:r>
          </w:p>
        </w:tc>
        <w:tc>
          <w:tcPr>
            <w:tcW w:w="2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(0.20)x</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1.68x</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0.73x</w:t>
            </w:r>
          </w:p>
        </w:tc>
        <w:tc>
          <w:tcPr>
            <w:tcW w:w="26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2.08x</w:t>
            </w:r>
          </w:p>
        </w:tc>
        <w:tc>
          <w:tcPr>
            <w:tcW w:w="160" w:type="dxa"/>
            <w:vAlign w:val="bottom"/>
          </w:tcPr>
          <w:p>
            <w:pPr>
              <w:spacing w:after="0"/>
              <w:rPr>
                <w:sz w:val="14"/>
                <w:szCs w:val="14"/>
                <w:color w:val="auto"/>
              </w:rPr>
            </w:pP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1.69x</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0.77x</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Supplemental..............</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0.53</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1.07</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1.81</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2.15</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2.88</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2.64</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4.31</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EBITDA(2):</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Actual....................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84,840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55,326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194,665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225,925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265,977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182,864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137,310</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Supplemental..............</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84,840</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127,416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197,337</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238,570</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296,349</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213,236</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321,766</w:t>
            </w:r>
          </w:p>
        </w:tc>
      </w:tr>
    </w:tbl>
    <w:p>
      <w:pPr>
        <w:sectPr>
          <w:pgSz w:w="11900" w:h="16870" w:orient="portrait"/>
          <w:cols w:equalWidth="0" w:num="1">
            <w:col w:w="11520"/>
          </w:cols>
          <w:pgMar w:left="240" w:top="287" w:right="139" w:bottom="0" w:gutter="0" w:footer="0" w:header="0"/>
        </w:sectPr>
      </w:pPr>
    </w:p>
    <w:bookmarkStart w:id="12" w:name="page13"/>
    <w:bookmarkEnd w:id="12"/>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the actual ratio of earnings to fixed charges, earnings consist of income (loss) from continuing operations, taxes and fixed charges, excluding capitalized interest. Fixed charges consist of interest, whether expensed or capitalized, amortization of debt expense and discount on premium relating to indebtedness, whether expensed or capitalized, and such portion of rental expenses that can be demonstrated to be representative of the interest factor in the particular case. For purposes of computing the supplemental ratio of earnings to fixed charges, merger costs, unusual items, shareholder litigation settlement and other litigation related costs and nonrecurring interest expense are excluded.</w:t>
      </w:r>
    </w:p>
    <w:p>
      <w:pPr>
        <w:spacing w:after="0" w:line="178" w:lineRule="exact"/>
        <w:rPr>
          <w:rFonts w:ascii="Courier New" w:cs="Courier New" w:eastAsia="Courier New" w:hAnsi="Courier New"/>
          <w:sz w:val="15"/>
          <w:szCs w:val="15"/>
          <w:color w:val="auto"/>
        </w:rPr>
      </w:pPr>
    </w:p>
    <w:p>
      <w:pPr>
        <w:ind w:left="349" w:right="3119" w:hanging="349"/>
        <w:spacing w:after="0" w:line="260" w:lineRule="auto"/>
        <w:tabs>
          <w:tab w:leader="none" w:pos="34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means earnings from operations before interest, taxes, depreciation and amortization. EBITDA is frequently used by securities analysts and other financial statement users and is presented herein to provide additional information about the Company's operations. EBITDA is not a measurement presented in accordance with generally accepted accounting principles ("GAAP") and is not intended to be used in lieu of GAAP presentations of net income and cash provided by operating activities. For purposes of computing the supplemental EBITDA, merger costs and unusual items are excluded.</w:t>
      </w:r>
    </w:p>
    <w:p>
      <w:pPr>
        <w:spacing w:after="0" w:line="15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28"/>
          </w:cols>
          <w:pgMar w:left="231" w:top="480"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DESCRIPTION OF NOTES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Notes are a series of Subordinated Debt Securities described in the accompanying Prospectus that will be issued under an indenture, to be dated as of February 1, 1997 (the "Subordinated Indenture"), between the Company and Texas Commerce Bank, National Association, as trustee (the "Trustee"), as supplemented by a Supplemental Indenture, to be dated as of February 1, 1997 (the "Supplemental Indenture"), between the Company and the Trustee. The following description of the particular terms of the Notes offered hereby supplements, and to the extent inconsistent therewith replaces, the description of the general terms and provisions of the Subordinated Debt Securities set forth in the accompanying Prospectus, to which reference is hereby made. Capitalized terms used but not defined herein or in the accompanying Prospectus have the meanings given to them in the Subordinated Indenture. As used in this section, the "Company" means USA Waste Services, Inc., but not any of its Subsidiaries, unless the context otherwise requires. Unless the context otherwise requires, all references herein to the "Subordinated Indenture" shall mean the Subordinated Indenture, as supplemented by the Supplemental Indenture. The following summary of the Subordinated Indenture and the Notes does not purport to be complete and such summary is subject to the detailed provisions of the Subordinated Indenture to which reference is hereby made for a full description of such provisions.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Notes offered by this Prospectus Supplement will be general, unsecured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of the Company, limited in aggregate principal amount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$300,000,000 ($345,000,000 if the Underwriters' over-allotment option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exercised in full). The Notes will be subordinated in right of payment to 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and future Senior Indebtedness of the Company, and effectively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to all existing and future obligations of the Company's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including trade payables as described below. See</w:t>
      </w:r>
    </w:p>
    <w:p>
      <w:pPr>
        <w:spacing w:after="0" w:line="3" w:lineRule="exact"/>
        <w:rPr>
          <w:sz w:val="20"/>
          <w:szCs w:val="20"/>
          <w:color w:val="auto"/>
        </w:rPr>
      </w:pPr>
    </w:p>
    <w:p>
      <w:pPr>
        <w:jc w:val="both"/>
        <w:ind w:right="3579"/>
        <w:spacing w:after="0" w:line="271" w:lineRule="auto"/>
        <w:rPr>
          <w:sz w:val="20"/>
          <w:szCs w:val="20"/>
          <w:color w:val="auto"/>
        </w:rPr>
      </w:pPr>
      <w:r>
        <w:rPr>
          <w:rFonts w:ascii="Courier New" w:cs="Courier New" w:eastAsia="Courier New" w:hAnsi="Courier New"/>
          <w:sz w:val="14"/>
          <w:szCs w:val="14"/>
          <w:color w:val="auto"/>
        </w:rPr>
        <w:t>"-- Subordination." The Notes will be issued only in fully registered form, without coupons, in denominations of $1,000 and integral multiples thereof.</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Notes will mature on February 1, 2002. The Notes will bear interest at the rate per annum stated on the cover page of this Prospectus Supplement from the date of issuance or from the most recent Interest Payment Date to which interest has been paid or provided for, payable semiannually on February 1 and August 1 of each year, commencing August 1, 1997, to the persons in whose names such Notes are registered at the close of business on the January 15 or July 15 immediately preceding such Interest Payment Date (each a "Regular Record Date"). The Notes will be convertible into Common Stock and may be presented for registration of transfer or exchange, at the office or agency of the Company maintained for such purpose, which office or agency shall be maintained in the Borough of Manhattan, The City of New York. Interest will be calculated on the basis of a 360-day year consisting of twelve 30-day months.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 of any Notes will have the right, at the Holder's option, to convert any portion of the principal amount thereof that is an integral multiple of $1,000 into shares of Common Stock, at any time prior to the close of business on the second Business Day prior to the Stated Maturity of the Notes (unless earlier redeemed or repurchased) at the conversion price set forth on the cover page of this Prospectus Supplement, subject to adjustment as described below (the "Conversion Price"). The right to convert a Note called for redemption or delivered for repurchase will terminate at the close of business on the Business Day prior to the Redemption Date or Repurchase Date for such Note, unless the Company subsequently fails to pay the applicable Redemption Price or Repurchase Price, as the case may be.</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case of any Note that has been converted after any record date for payment of interest, but on or before the next Interest Payment Date, interest, the stated due date of which is on such Interest Payment Date, shall be payable on such Interest Payment Date notwithstanding such conversion and such interest shall be paid to the Holder of such Note who is a Holder on such record date for the payment of interest. Any Note so converted must be accompanied by payment to the Company of an amount equal to the interest payable on such Interest Payment Date on the principal amount of Notes being surrendered for conversion (unless such</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19"/>
          </w:cols>
          <w:pgMar w:left="240" w:top="287" w:right="1440" w:bottom="1440" w:gutter="0" w:footer="0" w:header="0"/>
        </w:sectPr>
      </w:pPr>
    </w:p>
    <w:bookmarkStart w:id="14" w:name="page15"/>
    <w:bookmarkEnd w:id="14"/>
    <w:p>
      <w:pPr>
        <w:ind w:left="269"/>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Note shall have been called for redemption, in which case no such payment shall be required). In all cases, Holders as of the Regular Record Date immediately preceding February 1, 2000 will receive the interest payment due on February 1, 2000, even if such Holder surrenders a Note for conversion after such Regular Record Date as a result of the Company's exercise of its right to redeem the Notes on or after February 1, 2000. No fractional shares will be issued upon conversion but, in lieu thereof, an appropriate amount will be paid in cash by the Company based on the market price of Common Stock (as determined in accordance with the Subordinated Indenture) at the close of business on the Date of Conversion.</w:t>
      </w:r>
    </w:p>
    <w:p>
      <w:pPr>
        <w:spacing w:after="0" w:line="178"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Conversion Price will be subject to adjustment upon the occurrence of certain events, including: (a) any payment of a dividend (or other distribution) payable in shares of Common Stock on the Common Stock, (b) any issuance to all holders of Common Stock of rights or warrants entitling them (for a period not exceeding 45 days) to subscribe for or purchase Common Stock at less than the then current market price (as determined in accordance with the Subordinated Indenture) of Common Stock; provided, however, that if such rights or warrants are only exercisable upon the occurrence of certain triggering events, then the Conversion Price will not be adjusted until such triggering events occur, (c) any subdivision, combination or reclassification of the outstanding Common Stock, (d) any distribution to all holders of Common Stock of evidences of indebtedness, equity securities (including equity interests in the Company's Subsidiaries) other than Common Stock or other assets (excluding cash dividends paid from surplus of the Company or rights or warrants to subscribe for securities, other than those described above), (e) any distribution consisting exclusively of cash (excluding any cash portion of distributions referred to in</w:t>
      </w:r>
    </w:p>
    <w:p>
      <w:pPr>
        <w:spacing w:after="0" w:line="3" w:lineRule="exact"/>
        <w:rPr>
          <w:sz w:val="20"/>
          <w:szCs w:val="20"/>
          <w:color w:val="auto"/>
        </w:rPr>
      </w:pPr>
    </w:p>
    <w:p>
      <w:pPr>
        <w:ind w:left="9" w:right="3119" w:hanging="9"/>
        <w:spacing w:after="0" w:line="258" w:lineRule="auto"/>
        <w:tabs>
          <w:tab w:leader="none" w:pos="36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or cash distributed upon a merger or consolidation to which the second succeeding paragraph applies) to all holders of Common Stock in an aggregate amount that, combined together with (i) all other such all-cash distributions made within the then preceding 12 months in respect of which no adjustment has been made and (ii) any cash and the fair market value of other consideration paid or payable in respect of any tender offer by the Company or any of its Subsidiaries for Common Stock concluded within the preceding 12 months in respect of which no adjustment has been made, exceeds 15% of the Company's market capitalization (defined as the product of the then current market price of the Common Stock times the number of shares of Common Stock then outstanding) on the record date of such distribution, and (f) the completion of a tender or exchange offer made by the Company or any of its Subsidiaries for Common Stock that involves an aggregate consideration that, together with (i) any cash and other consideration payable in a tender or exchange offer by the Company or any of its Subsidiaries for Common Stock expiring within the 12 months preceding the expiration of such tender or exchange offer in respect of which no adjustment has been made and (ii) the aggregate amount of any such all-cash distributions referred to in (e) above to all holders of Common Stock within the 12 months preceding the expiration of such tender or exchange offer in respect of which no adjustments have been made, exceeds 15% of the Company's market capitalization on the expiration of such tender or exchange offer. No adjustment of the Conversion Price will be required to be made until the cumulative adjustments amount to 1.0% or more of the Conversion Price, as last adjusted. The Company reserves the right to make such reductions in the Conversion Price in addition to those required in the foregoing provisions as it considers to be advisable in order that any stock dividend, subdivision of shares, distribution of rights or warrants to purchase stock or securities or distribution of other assets (other than cash dividends) will not be taxable to the recipients. In the event the Company elects to make such a reduction in the Conversion Price, the Company will comply with the requirements of Rule 14e-1 under the Exchange Act, and any other securities laws and regulations thereunder if and to the extent that such laws and regulations are applicable in connection with the reduction of the Conversion Price.</w:t>
      </w:r>
    </w:p>
    <w:p>
      <w:pPr>
        <w:spacing w:after="0" w:line="200" w:lineRule="exact"/>
        <w:rPr>
          <w:sz w:val="20"/>
          <w:szCs w:val="20"/>
          <w:color w:val="auto"/>
        </w:rPr>
      </w:pPr>
    </w:p>
    <w:p>
      <w:pPr>
        <w:spacing w:after="0" w:line="31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the event that the Company distributes rights or warrants (other than those referred to in (b) in the preceding paragraph) pro rata to holders of Common Stock, so long as any such rights or warrants have not expired or been redeemed by the Company, the holder of any Note surrendered for conversion will be entitled to receive upon such conversion, in addition to the shares of Common Stock issuable upon such conversion (the "Conversion Shares"), a number of rights or warrants to be determined as follows: (i) if such conversion occurs on or prior to the date for the distribution to the holders of rights or warrants of separate certificates evidencing such rights or warrants (the "Distribution Date"), the same number of rights or warrants to which a holder of a number of shares of Common Stock equal to the number of Conversion Shares is entitled at the time of such conversion in accordance with the terms and provisions of and applicable to the rights or</w:t>
      </w:r>
    </w:p>
    <w:p>
      <w:pPr>
        <w:spacing w:after="0" w:line="17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28"/>
          </w:cols>
          <w:pgMar w:left="231" w:top="28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warrants, and (ii) if such conversion occurs after such Distribution Date, the same number of rights or warrants to which a holder of the number of shares of Common Stock into which such Note was convertible immediately prior to such Distribution Date would have been entitled on such Distribution Date in accordance with the terms and provisions of and applicable to the rights or warrants. The Conversion Price of the Notes will not be subject to adjustment on account of any declaration, distribution or exercise of such rights or warrants.</w:t>
      </w:r>
    </w:p>
    <w:p>
      <w:pPr>
        <w:spacing w:after="0" w:line="16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case of any consolidation or merger of the Company with or into another person or any merger of another person with or into the Company (with certain exceptions), or in case of any conveyance, transfer or lease of all or substantially all of the assets of the Company (computed on a consolidated basis), each Note then outstanding will, without the consent of any Holder of Notes, become convertible only into the kind and amount of securities, cash and other property receivable upon such consolidation, merger, conveyance, transfer or lease by a Holder if the Holder had held the Common Stock issuable upon conversion of such Note.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Notes will be general, unsecured obligations of the Company, subordinated in right of payment to all existing and future Senior Indebtedness of the Company. The Notes are subordinated by operation of law in right of payment to all liabilities (including trade payables) of the Company's Subsidiaries. At September 30, 1996, the Company and its subsidiaries would have had an aggregate of approximately $1.7 billion of consolidated indebtedness and other obligations effectively ranking senior to the Notes after adjustments to give effect to the subsequent incurrence of indebtedness primarily in connection with acquisitions, consummation of this Offering and the Common Stock Offering and the application of the aggregate net proceeds from such offerings, and the assumed consummation of the pending Canadian Acquisition. The Subordinated Indenture will not restrict the incurrence of Senior Indebtedness or other indebtedness by the Company or its Subsidiaries. The Notes will rank pari passu with all other unsecured, subordinated obligations of the Company, including the Company's 5% Convertible Subordinated Debentures due 2006.</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Subordinated Indenture will provide that no payment may be made by the Company on account of the principal of, premium, if any, or interest on the Notes, or in respect of any redemption, retirement, repurchase or other acquisition of the Notes (including repurchases of Notes at the option of the Holder) (other than payments made in capital stock of the Company or in cash in lieu of fractional shares thereof pursuant to any conversion right of the Notes or otherwise made in capital stock of the Company), (i) upon the maturity of any Senior Indebtedness of the Company by lapse of time, acceleration (unless waived) or otherwise, unless and until all principal of, premium, if any, and interest on such Senior Indebtedness are first paid in full (or such payment is duly provided for), or (ii) in the event of default in the payment of any principal of, premium, if any, or interest on any Senior Indebtedness of the Company when it becomes due and payable, whether at Maturity or at a date fixed for redemption or by declaration of acceleration or otherwise (a "Payment Default"), unless and until such Payment Default has been cured or waived or otherwise has ceased to exist.</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(i) the happening of an event of default (other than a Payment Default) that permits the holders of Senior Indebtedness or their representative immediately to accelerate its maturity and (ii) written notice of such event of default given to the Company and the Trustee by the holders of at least 25% in the aggregate principal amount outstanding of such Senior Indebtedness or their representative (a "Payment Notice"), then, unless and until such event of default has been cured or waived or otherwise has ceased to exist, no payment (by setoff or otherwise) may be made by or on behalf of the Company on account of the principal of, premium, if any, interest on the Notes, or in respect of any redemption, repurchase or other acquisition of the Notes (including repurchases of Notes at the option of the Holder), in any such case other than payments made in capital stock of the Company or in cash in lieu of fractional shares thereof pursuant to any conversion right of the Notes or otherwise made in capital stock of the Company. Notwithstanding the foregoing, unless (i) the Senior Indebtedness in respect of which such event of default exists has been declared due and payable in its entirety within 179 days after the Payment Notice is delivered as set forth above (the "Payment Blockage Period"), and (ii) such declaration has not been rescinded or waived, at the end of the Payment Blockage Period, the Company shall be required to pay all sums not paid to the Holders of the Notes during</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Payment Blockage Period due to the foregoing prohibitions and to resume all other payments as and when due on the Notes. Any number of Payment Notices may be given; provided, however, that (i) not more than one Payment Notice shall be given within a period of any 360 consecutive days, and (ii) no event of default that existed upon the date of such Payment Notice or the commencement of such Payment Blockage Period (whether or not such event of default is on the same issue of Senior Indebtedness) shall be made the basis for the commencement of any other Payment Blockage Period.</w:t>
      </w:r>
    </w:p>
    <w:p>
      <w:pPr>
        <w:spacing w:after="0" w:line="177"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 provisions of the Subordinated Indenture which are described in the accompanying Prospectus under "Description of Debt Securities -- Provisions Applicable Solely to Subordinated Debt Securities" also will apply to the Notes.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conducts its operations primarily through its Subsidiaries. Accordingly, the Company's ability to meet its cash obligations is dependent in part upon the ability of its Subsidiaries to make cash distributions to the Company. The ability of its Subsidiaries to make distributions to the Company is, and will continue to be, restricted by, among other limitations, applicable provisions of the laws of national or state governments and contractual provisions. The Subordinated Indenture will not limit the ability of the Company's Subsidiaries to agree to be bound by such contractual restrictions in the future. The right of the Company to participate in the assets of any Subsidiary (and thus the ability of Holders of the Notes to benefit indirectly from such assets) is generally subject to the prior claims of creditors, including trade creditors, of that Subsidiary, except to the extent that the Company is recognized as a creditor of such Subsidiary, in which case the Company's claims would still be subject to any security interest of other creditors of such Subsidiary. The Notes, therefore, will be subordinated by operation of law to creditors, including trade creditors, of Subsidiaries of the Company with respect to the assets of the Subsidiaries against which such creditors have a claim.</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result of these subordination provisions, in the event of the liquidation, bankruptcy, reorganization, insolvency, receivership or similar proceeding or an assignment for the benefit of the creditors of the Company or any of its Subsidiaries or a marshalling of assets or liabilities of the Company and its Subsidiaries, Holders of the Notes may receive ratably less than other creditors.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AT THE COMPANY'S OPTION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Notes will not be subject to redemption prior to February 1, 2000. On and after such date, the Notes will be redeemable at the option of the Company, in whole or in part, upon not less than 30 nor more than 60 days notice to each Holder of Notes, at the following redemption prices (expressed as percentages of the principal amount) if redeemed during the 12-month period commencing February</w:t>
      </w:r>
    </w:p>
    <w:p>
      <w:pPr>
        <w:spacing w:after="0" w:line="237" w:lineRule="auto"/>
        <w:rPr>
          <w:sz w:val="20"/>
          <w:szCs w:val="20"/>
          <w:color w:val="auto"/>
        </w:rPr>
      </w:pPr>
      <w:r>
        <w:rPr>
          <w:rFonts w:ascii="Courier New" w:cs="Courier New" w:eastAsia="Courier New" w:hAnsi="Courier New"/>
          <w:sz w:val="15"/>
          <w:szCs w:val="15"/>
          <w:color w:val="auto"/>
        </w:rPr>
        <w:t>1 of the years indicated below:</w:t>
      </w:r>
    </w:p>
    <w:p>
      <w:pPr>
        <w:spacing w:after="0" w:line="200" w:lineRule="exact"/>
        <w:rPr>
          <w:sz w:val="20"/>
          <w:szCs w:val="20"/>
          <w:color w:val="auto"/>
        </w:rPr>
      </w:pPr>
    </w:p>
    <w:p>
      <w:pPr>
        <w:spacing w:after="0" w:line="313" w:lineRule="exact"/>
        <w:rPr>
          <w:sz w:val="20"/>
          <w:szCs w:val="20"/>
          <w:color w:val="auto"/>
        </w:rPr>
      </w:pPr>
    </w:p>
    <w:tbl>
      <w:tblPr>
        <w:tblLayout w:type="fixed"/>
        <w:tblInd w:w="142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180" w:type="dxa"/>
            <w:vAlign w:val="bottom"/>
          </w:tcPr>
          <w:p>
            <w:pPr>
              <w:jc w:val="right"/>
              <w:ind w:right="2066"/>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341"/>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1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1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and thereafter...............................</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in each case (subject to the right of Holders of record on a record date for the payment of interest to receive interest due on an Interest Payment Date that is on or prior to such Redemption Date) together with accrued and unpaid interest, if any, to the Redemption Date.</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the case of a partial redemption, the Trustee shall select the Notes or portions thereof for redemption on a pro rata basis, by lot or in such other manner it deems appropriate and fair. The Notes may be redeemed in part in multiples of $1,000 only.</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Notes will not have the benefit of any mandatory redemption or sinking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Notice of any redemption will be sent, by first-class mail, at least 30 days and not more than 45 days prior to the date fixed for redemption, to the Holder of each Note to be redeemed at such Holder's last address as then shown upon the Security Register. The notice of redemption must state the Redemption Date, the Redemption Price and the amount of accrued interest to be paid. Any notice that relates to a Note to be redeemed in part only must state the portion of the principal amount to be redeemed and must state that on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287" w:right="1440" w:bottom="1440" w:gutter="0" w:footer="0" w:header="0"/>
        </w:sectPr>
      </w:pPr>
    </w:p>
    <w:bookmarkStart w:id="17" w:name="page18"/>
    <w:bookmarkEnd w:id="17"/>
    <w:p>
      <w:pPr>
        <w:ind w:left="269"/>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and after the Redemption Date, upon surrender of such Note, a new Note or Notes in principal amount equal to the unredeemed portion thereof will be issued. On and after the Redemption Date, interest will cease to accrue on the Notes or portions thereof called for redemption, unless the Company defaults in its obligations with respect thereto.</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REPURCHASE OF NOTES AT THE OPTION OF THE HOLDER UPON A CHANGE OF CONTROL</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The Subordinated Indenture will provide that in the event that a Change of</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Control has occurred, each Holder of Notes will have the right, at such Holder's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 pursuant to an irrevocable and unconditional offer by the Company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"Repurchase Offer"), to require the Company to repurchase all or any part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such Holder's Notes (provided that the principal amount of such Notes must be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$1,000 or an integral multiple thereof) on the date (the "Repurchase Date") that</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is no later than 45 Business Days after the occurrence of such Change of Control</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 a cash price (the "Repurchase Price") equal to 100% of the principal amount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thereof, together with accrued and unpaid interest to the Repurchase Date.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Repurchase Offer shall be made within 25 Business Days following a Change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Control and shall remain open for 20 Business Days following its commencement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"Repurchase Offer Period"). Upon expiration of the Repurchase Offer Period,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Company shall repurchase all Notes tendered in response to the Repurchase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Offer. If required by applicable law, the Repurchase Date and the Repurchase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Offer Period may be extended as so required; however, if so extended, it shall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nevertheless constitute an Event of Default if the Repurchase Date does not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occur within 60 Business Days of the Change of Control.</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Subordinated Indenture will provide that a "Change of Control" occurs upon any of the following events: (i) upon any merger or consolidation of the Company with or into any person or any sale, transfer or other conveyance, whether direct or indirect, of all or substantially all of the assets of the Company, on a consolidated basis, in one transaction or a series of related transactions, if, immediately after giving effect to such transaction, any "person" or "group" is or becomes the "beneficial owner," directly or indirectly, of more than 50% of the total voting power in the aggregate normally entitled to vote in the election of directors, managers, or trustees, as applicable, of the transferee or surviving entity, (ii) when any "person" or "group" is or becomes the "beneficial owner," directly or indirectly, of more than 50% of the total voting power in the aggregate normally entitled to vote in the election of directors of the Company, (iii) when, during any period of 12 consecutive months after the Issue Date of the Notes, individuals who at the beginning of any such 12-month period constituted the Board of Directors of the Company (together with any new directors whose election by such Board or whose nomination for election by the stockholders of the Company was approved by a vote of a majority of the directors then still in office who were either directors at the beginning of such period or whose election or nomination for election was previously so approved) cease for any reason to constitute a majority of the Board of Directors of the Company then in office, (iv) a sale or disposition, whether directly or indirectly, by the Company of all or substantially all of its assets, or (v) the pro rata distribution by the Company to its stockholders of substantially all of its assets.</w:t>
      </w:r>
    </w:p>
    <w:p>
      <w:pPr>
        <w:spacing w:after="0" w:line="189"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For purposes of this definition of "Change of Control," (i) the terms "person" and "group" shall have the meaning used for purposes of Rules 13d-3 and 13d-5 of the Exchange Act as in effect on the Issue Date, whether or not applicable; and (ii) the term "beneficial owner" shall have the meaning used in Rules 13d-3 and 13d-5 under the Exchange Act as in effect on the Issue Date, whether or not applicable, except that a "person" shall be deemed to have "beneficial ownership" of all shares that any such person has the right to acquire, whether such right is exercisable immediately or only after the passage of time or upon the occurrence of certain events.</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phrase "all or substantially all" of the assets of the Company is likely to be interpreted by reference to applicable state law at the relevant time, and will be dependent on the facts and circumstances existing at such time. As a result, there may be a degree of uncertainty in ascertaining whether a sale or transfer is of "all or substantially all" of the assets of the Company.</w:t>
      </w:r>
    </w:p>
    <w:p>
      <w:pPr>
        <w:spacing w:after="0" w:line="175"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On or before the Repurchase Date, the Company will (i) accept for payment Notes or portions thereof properly tendered pursuant to the Repurchase Offer,</w:t>
      </w:r>
    </w:p>
    <w:p>
      <w:pPr>
        <w:jc w:val="both"/>
        <w:ind w:left="9" w:right="3299" w:hanging="9"/>
        <w:spacing w:after="0" w:line="239" w:lineRule="auto"/>
        <w:tabs>
          <w:tab w:leader="none" w:pos="45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with the Paying Agent cash sufficient to pay the Repurchase Price (together with accrued and unpaid interest) of all Notes so tendered and (iii) deliver to</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28"/>
          </w:cols>
          <w:pgMar w:left="231"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Trustee Notes so accepted, together with an Officers' Certificate listing the Notes or portions thereof being repurchased by the Company. The Paying Agent will promptly mail to the Holders of Notes so accepted payment in an amount equal to the Repurchase Price (plus accrued and unpaid interest), and the Trustee will promptly authenticate and mail or deliver to such Holders a new Note or Notes equal in principal amount to any unpurchased portion of the Notes surrendered. Any Notes not so accepted will be promptly mailed or delivered by the Company to the Holder thereof. The Company will publicly announce the results of the Repurchase Offer on or as soon as practicable after the Repurchase Date.</w:t>
      </w:r>
    </w:p>
    <w:p>
      <w:pPr>
        <w:spacing w:after="0" w:line="178"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Change of Control repurchase feature of the Notes may make more difficult or discourage a takeover of the Company, and, thus, the removal of incumbent management. The Change of Control repurchase feature resulted from negotiations between the Company and the Underwriters.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provisions of the Subordinated Indenture relating to a Change of Control may not afford the Holders protection in the event of a highly leveraged transaction, reorganization, merger, spin-off or similar transaction that may adversely affect Holders, if such transaction does not constitute a Change of Control, as set forth above. In addition, the Company may not have sufficient financial resources available to fulfill its obligation to repurchase the Notes upon a Change of Control or to repurchase other debt securities of the Company or its Subsidiaries providing similar rights to the Holders thereof.</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Any future credit agreements or other agreements relating to indebtedness (including Senior Indebtedness) to which the Company becomes a party may contain restrictions on the repurchase of Notes. In the event a Change of Control occurs at a time when the Company is prohibited from repurchasing Notes, the Company could seek the consent of its lenders to the repurchase of the Notes or could attempt to refinance the borrowings that contain such prohibition. If the Company does not obtain such a consent or repay such borrowings, the Company would remain prohibited from repurchasing Notes. In such case, the Company's failure to repurchase tendered Notes would constitute an Event of Default under the Subordinated Indenture, which would, in turn, constitute a further default under certain of the Company's existing debt instruments and may constitute a default under the terms of other indebtedness that the Company may enter into from time to time. In such circumstances, the subordination provisions in the Subordinated Indenture would likely restrict payments to the holders of Notes.</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To the extent applicable, the Company will comply with Section 14 of the Exchange Act and the provisions of Regulation 14E and any other tender offer rules under the Exchange Act and any other securities laws, rules and regulations that may then be applicable to any offer by the Company to repurchase the Notes at the option of Holders upon a Change of Control.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 EVENTS OF DEFAULT AND DEFEASANCE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provisions of the Subordinated Indenture which are described in the accompanying Prospectus under "Description of Debt Securities -- Provisions Applicable to Both Senior and Subordinated Debt Securities -- Consolidation, Merger and Sale of Assets," "-- Events of Default," "-- Meetings, Modifications and Waivers," and "-- Provisions Applicable Solely to Subordinated Debt Securities" will, as and to the extent modified as described in this Prospectus Supplement, apply to the Notes. In addition to the events of default specified in the accompanying Prospectus under "Description of Debt Securities -- Events of Default," (i) failure of the Company to repurchase tendered Notes upon a Change in Control, in the manner contemplated by "-- Repurchase of Notes at the Option of the Holder Upon a Change of Control," (ii) a default in the payment of principal, premium or interest when due that extends beyond any stated period of grace applicable thereto or an acceleration for any other reason of the maturity of any indebtedness of the Company or any of its Subsidiaries with an aggregate principal amount in excess of $50.0 million, and (iii) final unsatisfied judgments not covered by insurance aggregating in excess of $50.0 million, at any one time rendered against the Company or any of its Subsidiaries and not stayed, bonded or discharged within 75 days, shall constitute an Event of Default with respect to the Notes.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19"/>
          </w:cols>
          <w:pgMar w:left="240"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AND EXCHANGE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Holder may transfer or exchange the Notes in accordance with the Subordinated Indenture. The Company may require a holder, among other things, to furnish appropriate endorsements and transfer documents. No service charge will be made for any registration of transfer or exchange of Notes, but the Company may require payment of a sum sufficient to cover any tax or other governmental charge payable in connection therewith. The Company is not required to transfer or exchange any Notes selected for redemption. Also, the Company is not required to transfer or exchange any Notes for a period of 15 days before a selection of Notes to be redeemed.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DELIVERY AND FORM</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as set forth below, the Notes will initially be issued in the form of one or more registered Notes in global form (the "Global Notes"). Each Global Note will be deposited on the date of the closing of the sale of the Notes (the "Closing Date") with, or on behalf of, The Depository Trust Company (the "Depositary") and registered in the name of Cede &amp; Co., as nominee of the Depositary.</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Company has been advised that 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it.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("Direct Participants"). The Depositary is owned by a number of its Direct Participants and by the New York Stock Exchange, Inc., the American Stock Exchange, Inc. and the National Association of Securities Dealers, Inc. Access to the Depositary Trust Company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Commission.</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expects that pursuant to procedures established by the Depositary (i) upon deposit of the Global Notes, the Depositary will credit the accounts of Participants designated by the Underwriters with an interest in the Global Notes and (ii) ownership of the Notes evidenced by the Global Notes will be shown on, and the transfer of ownership thereof will be effected only through, records maintained by the Depositary (with respect to the interests of Participants), the Participants and the Indirect Participants. The laws of some states require that certain persons take physical delivery in definitive form of securities that they own and that security interests in negotiable instruments can only be perfected by delivery of certificates representing the instruments. Consequently, the ability to transfer Notes evidenced by the Global Notes will be limited to such extent.</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So long as the Depositary or its nominee is the registered owner of a Note, the Depositary or such nominee, as the case may be, will be considered the sole owner or holder of the Notes represented by the Global Note for all purposes under the Subordinated Indenture. Except as provided below, owners of beneficial interests in a Global Note will not be entitled to have Notes represented by such Global Note registered in their names, will not receive or be entitled to receive physical delivery of Certificated Notes, and will not be considered the owners or holders thereof under the Subordinated Indenture for any purpose, including with respect to the giving of any directions, instructions or approvals to the Trustee thereunder. As a result, the ability of a person having a beneficial interest in Notes represented by a Global Note to pledge such interest to persons or entities that do not participate in the Depositary's system, or to otherwise take actions with respect to such interest, may be affected by the lack of a physical certificate evidencing such interest. The Company understands that under existing practices, if the Company requests any action of Holders or if an owner of a beneficial interest in a Global Note desires to give any notice or take any action a Holder is</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19"/>
          </w:cols>
          <w:pgMar w:left="240"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entitled to give or take under the Indenture, the Depositary would authorize the Participants to give such notice or take such action, and Participants would authorize beneficial owners owning through such Participants to give such notice or take such action or would otherwise act upon the instructions of beneficial owners owning through them.</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Neither the Company nor the Trustee will have any responsibility or liability for any aspect of the records relating to or payments made on account of Notes by the Depositary, or for maintaining, supervising or reviewing any records of the Depositary relating to such Notes.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Payments with respect to the principal of, premium, if any, and interest on, any Note represented by a Global Note registered in the name of the Depositary or its nominee on the applicable record date will be payable by the Trustee to or at the direction of the Depositary or its nominee in its capacity as the registered Holder of the Global Note representing such Notes under the Subordinated Indenture. Under the terms of the Subordinated Indenture, the Company and the Trustee may treat the persons in whose names the Notes, including the Global Notes, are registered as the owners thereof for the purpose of receiving such payments and for any and all other purposes whatsoever. Consequently, neither the Company nor the Trustee has or will have any responsibility or liability for the payment of such amounts to beneficial owners of Notes (including principal, premium, if any, or interest), or to immediately credit the accounts of the relevant Participants with such payment, in amounts proportionate to their respective holdings in principal amount of beneficial interests in the Global Note as shown on the records of the Depositary. Payments by the Participants and the Indirect Participants to the beneficial owners of Notes will be governed by standing instructions and customary practice and will be the sole responsibility of the Participants or the Indirect Participants.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CERTIFICATED NOTES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(i) the Company notifies the Trustee in writing that the Depositary is no longer willing or able to act as a depositary and the Company is unable to locate a qualified successor within 90 days or (ii) the Company, at its option, notifies the Trustee in writing that it elects to cause the issuance of Notes in definitive form under the Subordinated Indenture, then, upon surrender by the Depositary of the Global Notes, Certificated Notes will be issued to each person that the Depositary identifies as the beneficial owner of the Notes represented by a Global Note. In addition, subject to certain conditions, any person having a beneficial interest in a Global Note may, upon request to the Trustee, exchange such beneficial interest for Notes in the form of Certificated Notes. Upon any such issuance, the Trustee is required to register such Certificated Notes in the name of such person or persons (or the nominee of any thereof), and cause the same to be delivered thereto.</w:t>
      </w:r>
    </w:p>
    <w:p>
      <w:pPr>
        <w:spacing w:after="0" w:line="180"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Neither the Company nor the Trustee shall be liable for any delay by the Depositary or any Participant or Indirect Participant in identifying the beneficial owners of the Notes, and the Company and the Trustee may conclusively rely on, and shall be protected in relying on, instructions from the Depositary for all purposes (including with respect to the registration and delivery, and the respective principal amounts, of the Notes to be issued).</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information in this section concerning the Depositary and the Depositary's book-entry system has been obtained from sources that the Company believes to be reliable. The Company will have no responsibility for the performance by the Depositary or its Participants of their respective obligations as described hereunder or under the rules and procedures governing their respective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SAME-DAY FUNDS SETTLEMENT AND PAYMENT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Subordinated Indenture will require that payments in respect of the Notes represented by a Global Note (including principal, premium, if any, and interest) be made by wire transfer of immediately available funds to the accounts specified by the Depositary. With respect to Notes represented by Certificated Notes, the Company will make all payments of principal, premium, if any, and interest, by mailing a check to each such Holder's registered address. The Notes will trade in the Depositary's Same-Day Funds Settlement System until maturity, or until the Notes are issued in certificated form, and secondary market trading activity in the Notes will therefore be required by the Depositary to settle in immediately available funds. No assurance can be given as to the effect, if any, of settlement in immediately available funds on trading activity in the Notes.</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S-19</w:t>
      </w:r>
    </w:p>
    <w:p>
      <w:pPr>
        <w:sectPr>
          <w:pgSz w:w="11900" w:h="16838" w:orient="portrait"/>
          <w:cols w:equalWidth="0" w:num="1">
            <w:col w:w="10219"/>
          </w:cols>
          <w:pgMar w:left="240" w:top="287" w:right="1440" w:bottom="1440" w:gutter="0" w:footer="0" w:header="0"/>
        </w:sectPr>
      </w:pPr>
    </w:p>
    <w:bookmarkStart w:id="21" w:name="page22"/>
    <w:bookmarkEnd w:id="21"/>
    <w:p>
      <w:pPr>
        <w:ind w:left="269"/>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CERTAIN UNITED STATES TAX CONSIDERATIONS</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The following is a summary of certain material United States federal income and estate tax considerations relating to the purchase, ownership and disposition of the Notes and of the Common Stock into which Notes may be converted, but does not purport to be a complete analysis of all the potential tax considerations relating thereto. This summary is based on the provisions of the Internal Revenue Code of 1986, as amended (the "Code"), applicable Treasury Regulations promulgated or proposed thereunder ("Treasury Regulations"), judicial authority and current administrative rulings and practice, all of which are subject to change, possibly on a retroactive basis. This summary deals only with holders that will hold Notes and the Common Stock into which Notes may be converted as capital assets, and does not address tax considerations applicable to investors that may be subject to special tax rules such as banks, tax-exempt organizations, insurance companies, dealers in securities or currencies, persons that will hold Notes as a position in a hedging, straddle or conversion transaction, or persons that have a functional currency other than the U.S. dollar. This summary discusses the tax considerations applicable to persons who purchase Notes upon their initial offering and does not discuss the tax considerations applicable to subsequent purchasers of Notes. The Company has not sought any ruling from the Internal Revenue Service (the "IRS") with respect to the statements made and the conclusions reached in this summary, and there can be no assurance that the Internal Revenue Service will agree with such statements and conclusions. INVESTORS CONSIDERING THE PURCHASE OF NOTES SHOULD CONSULT THEIR OWN TAX ADVISORS WITH RESPECT TO THE APPLICATION OF THE UNITED STATES FEDERAL INCOME AND ESTATE TAX LAWS TO THEIR PARTICULAR SITUATIONS AS WELL AS ANY TAX CONSEQUENCES ARISING UNDER THE LAWS OF ANY STATE, LOCAL OR FOREIGN TAXING JURISDICTION OR UNDER ANY APPLICABLE TAX TREATY.</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UNITED STATES HOLDERS</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As used herein, the term "United States Holder" means the beneficial owner of a Note or Common Stock that for United States federal income tax purposes is</w:t>
      </w:r>
    </w:p>
    <w:p>
      <w:pPr>
        <w:ind w:left="9" w:right="3119" w:hanging="9"/>
        <w:spacing w:after="0"/>
        <w:tabs>
          <w:tab w:leader="none" w:pos="364"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 (ii) a corporation or partnership created or organized in the United States or under the law of the United States or of any State, (iii) an estate the income of which is subject to United States federal income taxation regardless of source, or (iv) a trust which is subject to the supervision of a court within the United States and the control of a United States fiduciary.</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Payment of Interest</w:t>
      </w:r>
    </w:p>
    <w:p>
      <w:pPr>
        <w:spacing w:after="0" w:line="174"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Interest on a Note generally will be includable in the income of a United States Holder as ordinary income at the time such interest is received or accrued, in accordance with such Holder's method of accounting for United States federal income tax purposes. The Notes will not have original issue discount.</w:t>
      </w:r>
    </w:p>
    <w:p>
      <w:pPr>
        <w:spacing w:after="0" w:line="158"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Sale, Exchange, Redemption or Retirement of the Notes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Upon the sale, exchange, redemption or retirement at maturity of a Note, a United States Holder generally will recognize capital gain or loss equal to the difference between (i) the amount of cash proceeds and the fair market value of any property received on the sale, exchange, redemption or retirement (except to the extent such amount is attributable to accrued interest income, which is taxable as ordinary income) and (ii) such Holder's adjusted tax basis in the Note. A United States Holder's adjusted tax basis in a Note generally will equal the cost of the Note to such Holder, less any principal payments received by such Holder. Such capital gain or loss will be long-term capital gain or loss if the United States Holder's holding period for the Note is more than one year at the time of sale, exchange, redemption or retirement.</w:t>
      </w:r>
    </w:p>
    <w:p>
      <w:pPr>
        <w:spacing w:after="0" w:line="176"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Conversion of the Notes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 United States Holder generally will not recognize any income, gain or loss upon conversion of a Note into Common Stock, except with respect to cash received in lieu of a fractional share of Common Stock. Such Holder's tax basis in the Common Stock received on conversion of a Note will be the same as such Holder's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S-20</w:t>
      </w:r>
    </w:p>
    <w:p>
      <w:pPr>
        <w:sectPr>
          <w:pgSz w:w="11900" w:h="16838" w:orient="portrait"/>
          <w:cols w:equalWidth="0" w:num="1">
            <w:col w:w="10228"/>
          </w:cols>
          <w:pgMar w:left="231"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adjusted tax basis in the Note at the time of conversion (reduced by any basis allocable to a fractional share interest), and the holding period for the Common Stock received on conversion will generally include the holding period of the Note converted.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Cash received in lieu of a fractional share of Common Stock upon conversion will be treated as a payment in exchange for the fractional share of Common Stock and thus will result in capital gain or loss (measured by the difference between the cash received for the fractional share and the United States Holder's adjusted tax basis in the fractional share).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amount distributed by the Company in respect of the Common Stock generally will be treated as a dividend, subject to tax as ordinary income, to the extent of the Company's current or accumulated earnings and profits, then as a tax-free return of capital to the extent of the Holder's tax basis in the Common Stock, and thereafter as gain from the sale or exchange of such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dividend distribution to a United States Holder which is a corporation generally will qualify for the dividends received deduction (which is 70% if the Holder owns less than 20%, and 80% if the Holder owns 20% or more, of the voting power and value of the Company's stock, excluding any non-voting, non-convertible, non-participating preferred stock). The dividends received deduction is subject to certain holding period, taxable income and other limitations. Moreover, in the event of an "extraordinary dividend" with respect to Common Stock, a corporate stockholder is required to reduce its basis in Common Stock by the non-taxed portion (generally the portion eligible for the dividends received deduction described above) of the extraordinary dividend under certain circumstances.</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(i) the Company makes a distribution of cash or property to its stockholders which is taxable to such stockholders as a dividend (e.g., distributions of evidences of indebtedness or assets of the Company, but generally not stock dividends or rights to subscribe for Common Stock) and, pursuant to the antidilution provisions of the Indenture, the Conversion Price of the Notes is decreased, or (ii) the Conversion Price of the Notes is decreased at the discretion of the Company, such decrease in Conversion Price may be treated as the payment of a taxable dividend to United States Holders of Notes. As a result, United States Holders of Notes could recognize taxable income as a result of an event pursuant to which they receive no cash or property.</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Sale of 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the sale or exchange of Common Stock, a United States Holder generally will recognize capital gain or loss equal to the difference between (i) the amount of cash and the fair market value of any property received upon the sale or exchange and (ii) such Holder's adjusted tax basis in the Common Stock. Such capital gain or loss will be long-term if the United States Holder's holding period for the Common Stock is more than one year at the time of the sale or exchange.</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Information Reporting and Backup Withholding Tax</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Information reporting will apply to payments of principal of and premium, if any, and interest on a Note, payments of dividends on Common Stock, payments of the proceeds of the sale of a Note and payments of the proceeds of the sale of Common Stock to certain noncorporate United States Holders. The payor will be required to withhold backup withholding tax on certain payments to noncorporate United States Holders at the rate of 31% if (i) the payee fails to furnish a taxpayer identification number ("TIN") to the payor or establish an exemption from backup withholding, (ii) the IRS notifies the payor that the TIN furnished by the payee is incorrect, (iii) there has been a notified payee under-reporting with respect to interest, dividends or original issue discount or (iv) there has been a failure of the payee to certify under penalty of perjury that the payee is not subject to backup withholding under the Code. Any amounts withheld under the backup withholding rules from a payment to a United States Holder will be allowed as a credit against such Holder's United States federal income tax and may entitle the Holder to a refund, provided that the required information is furnished to the IRS.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S-21</w:t>
      </w:r>
    </w:p>
    <w:p>
      <w:pPr>
        <w:sectPr>
          <w:pgSz w:w="11900" w:h="16838" w:orient="portrait"/>
          <w:cols w:equalWidth="0" w:num="1">
            <w:col w:w="10219"/>
          </w:cols>
          <w:pgMar w:left="240"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NON-UNITED STATES HOLDERS</w:t>
      </w:r>
    </w:p>
    <w:p>
      <w:pPr>
        <w:spacing w:after="0" w:line="174"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As used herein, the term "Non-United States Holder" means any beneficial owner of a Note or Common Stock that is not a United States Holder.</w:t>
      </w:r>
    </w:p>
    <w:p>
      <w:pPr>
        <w:spacing w:after="0" w:line="15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Payment of Interest</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Generally, interest income paid to a Non-United States person that is not effectively connected with a United States trade or business is subject to United States withholding tax at a 30% rate (or a lower rate provided under an applicable income tax treaty). However, interest paid on a Note by the Company to a Non-United States Holder will qualify for the "portfolio interest exemption" and therefore will not be subject to United States federal income tax or withholding tax, provided that such interest income is not effectively connected with the conduct of a trade or business within the United States by the Non-United States Holder and provided that (i) the Non-United States Holder does not actually or constructively own (pursuant to the conversion feature of the Notes or otherwise) 10% or more of the combined voting power of all classes of stock of the Company entitled to vote, (ii) the Non-United States Holder is not a controlled foreign corporation related to the Company actually or constructively through stock ownership, (iii) the Non-United States Holder is not a bank which acquired the Notes in consideration for an extension of credit made pursuant to a loan agreement entered into in the ordinary course of business and (iv) either (a) the Non-United States Holder provides a Form W-8 (or a suitable substitute form) signed under penalty of perjury that includes its name and address and certifies as to its non-United States status in compliance with applicable law and regulations, or (b) a securities clearing organization, bank or other financial institution that holds customers' securities in the ordinary course of its trade or business holds the Note and provides a statement to the Company or its agent under penalty of perjury in which it certifies that such a Form W-8 (or a suitable substitute) has been received by it from the Non-United States Holder or qualifying intermediary and furnishes the Company or its agent with a copy thereof.</w:t>
      </w:r>
    </w:p>
    <w:p>
      <w:pPr>
        <w:spacing w:after="0" w:line="200" w:lineRule="exact"/>
        <w:rPr>
          <w:sz w:val="20"/>
          <w:szCs w:val="20"/>
          <w:color w:val="auto"/>
        </w:rPr>
      </w:pPr>
    </w:p>
    <w:p>
      <w:pPr>
        <w:spacing w:after="0" w:line="31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Recently proposed Treasury Regulations ("Proposed Regulations") would provide alternative methods for satisfying the certification requirement described in clause (iv) above. The Proposed Regulations also would require, in the case of Notes held by a foreign partnership, that (i) the certification described in clause (iv) above be provided by the partners rather than by the foreign partnership and (ii) the partnership provide certain information including a United States taxpayer identification number. A look-through rule would apply in the case of tiered partnerships. The Proposed Regulations are proposed to be effective for payments made after December 31, 1997, subject to certain transition rules. There can be no assurance that the Proposed Regulations will be adopted or as to the provisions that they will include if and when adopted in temporary or final form.</w:t>
      </w:r>
    </w:p>
    <w:p>
      <w:pPr>
        <w:spacing w:after="0" w:line="33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Except to the extent that an applicable treaty otherwise provides, a Non-United States Holder generally will be taxed in the same manner as a United States Holder with respect to interest income which is effectively connected with the conduct of a trade or business within the United States by such Non-United States Holder. Effectively connected interest received by a Non-United States Holder which is a corporation may also, under certain circumstances, be subject to an additional "branch profits tax" at a 30% rate (or a lower rate provided under an applicable income tax treaty). Such effectively connected interest is not subject to withholding tax if the Holder delivers a properly executed IRS Form 4224 to the payor.</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Sale, Exchange, Redemption or Retirement of the Notes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Non-United States Holder of a Note generally will not be subject to United States federal income tax or withholding tax on any gain realized on the sale, exchange, redemption or retirement at maturity of the Note unless (i) the gain is effectively connected with the conduct of a trade or business within the United States by such Non-United States Holder, (ii) in the case of a Non-United States Holder who is an individual, such Holder is present in the United States for a period or periods aggregating 183 days or more during the taxable year of the disposition and certain other conditions are met, or (iii) the Holder is subject to tax pursuant to the provisions of the Code applicable to certain United States expatriates.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S-22</w:t>
      </w:r>
    </w:p>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Conversion of the Notes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general, no United States federal income tax or withholding tax will be imposed upon the conversion of a Note into Common Stock by a Non-United States Holder, except as discussed under "-- Sale or Exchange of Common Stock" below with respect to the receipt of cash in lieu of fractional shares by Non-United States Holders upon conversion of a Note.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Sale or Exchange of 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Non-United States Holder generally will not be subject to United States federal income or withholding tax on the sale or exchange of Common Stock (including the receipt of cash in lieu of fractional shares upon conversion of a Note into Common Stock) unless any of conditions (i), (ii) or (iii) described above under "-- Sale, Exchange, Redemption or Retirement of the Notes" is satisfied, or the Company is or has been a "United States real property holding corporation" for United States federal income tax purposes and, if the Common Stock is considered "regularly traded" during the year of the sale or exchange, the Non-United States Holder held directly or indirectly at any time during the five-year period ending on the date of the sale or exchange more than five percent of the Common Stock.</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Distributions by the Company with respect to Common Stock that are treated as dividends and paid to a Non-United States Holder (other than dividends that are effectively connected with the conduct of a trade or business in the United States by such Holder and are taxable as described below) will be subject to United States withholding tax at a 30% rate (or lower rate provided under an applicable income tax treaty). Except to the extent that an applicable tax treaty otherwise provides, a Non-United States Holder generally will be taxed in the same manner as a United States Holder on dividends that are effectively connected with the conduct of a trade or business in the United States by the Non-United States Holder. If such Non-United States Holder is a foreign corporation, it may also be subject to a United States branch profits tax on such effectively connected dividend income at a 30% rate (or lower rate provided under an applicable income tax treaty). Such effectively connected dividend income is not subject to withholding tax if the Holder delivers a properly executed IRS Form 4224 to the payor.</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current Treasury Regulations, dividends paid to an address in a foreign country are presumed to be paid to a resident of that country (unless the payor has knowledge to the contrary) for purposes of the withholding discussed above and, under the current interpretation of Treasury Regulations, for purposes of determining the applicability of a tax treaty rate. Under the Proposed Regulations effective for distributions after 1997, however, a Non-United States Holder of Common Stock who wishes to claim the benefit of an applicable treaty rate must satisfy applicable certification requirements. In the case of Common Stock held by a foreign partnership, the Proposed Regulations, if adopted in their present form, would require withholding tax at a 31% rate on dividends unless the foreign partnership furnished an "intermediary withholding certificate" containing the appropriate withholding certificate for each partner, or the foreign partnership furnished other appropriate forms claiming exemption from or reduction in the 31% withholding tax rate. It is not certain whether, or in what form, the Proposed Regulations will be adopted as final regulations. Non-United States Holders that are foreign partnerships are advised to consult their tax advisors regarding the special withholding rules.</w:t>
      </w:r>
    </w:p>
    <w:p>
      <w:pPr>
        <w:spacing w:after="0" w:line="18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Death of a Non-United States Holder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Note owned by an individual who is a Non-United States Holder at the time of death (or previously transferred subject to certain retained rights or powers) will not be includable in the decedent's gross estate for United States estate tax purposes, provided that such Holder did not at the time of death actually or constructively own 10% or more of the combined voting power of all classes of stock of the Company entitled to vote, and provided that, at the time of death, payments with respect to such Note would not have been effectively connected with the conduct by such Non-United States Holder of a trade or business within the United States.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S-23</w:t>
      </w:r>
    </w:p>
    <w:p>
      <w:pPr>
        <w:sectPr>
          <w:pgSz w:w="11900" w:h="16838" w:orient="portrait"/>
          <w:cols w:equalWidth="0" w:num="1">
            <w:col w:w="10219"/>
          </w:cols>
          <w:pgMar w:left="240" w:top="287" w:right="1440" w:bottom="1440" w:gutter="0" w:footer="0" w:header="0"/>
        </w:sectPr>
      </w:pPr>
    </w:p>
    <w:bookmarkStart w:id="25" w:name="page26"/>
    <w:bookmarkEnd w:id="25"/>
    <w:p>
      <w:pPr>
        <w:ind w:left="269"/>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Common Stock owned by a Non-United States Holder at the time of death (or previously transferred subject to certain retained rights or powers) will be subject to United States federal estate tax unless otherwise provided by an applicable estate tax treaty.</w:t>
      </w:r>
    </w:p>
    <w:p>
      <w:pPr>
        <w:spacing w:after="0" w:line="174"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Information Reporting and Backup Withholding Tax</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United States information reporting requirements and backup withholding tax will not apply to payments of interest on a Note to a Non-United States Holder if the certification described in "-- Payment of Interest" is duly provided by such Holder, provided that the payor does not have actual knowledge that the Holder is a United States person.</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If paid to an address outside the United States, dividends on Common Stock held by a Non-United States Holder will generally not be subject to the information reporting and backup withholding requirements described in this section. However, under the Proposed Regulations, dividend payments will be subject to information reporting and backup withholding unless applicable certification requirements are satisfied.</w:t>
      </w:r>
    </w:p>
    <w:p>
      <w:pPr>
        <w:spacing w:after="0" w:line="175"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Information reporting requirements and backup withholding tax generally will not apply to any payment of the proceeds of the sale of a Note or any payment of the proceeds of the sale of Common Stock effected outside the United States by a foreign office of a foreign broker. However, if the broker (i) is a United States person, (ii) is a foreign person that derives 50% or more of its gross income from the conduct of a trade or business within the United States or</w:t>
      </w:r>
    </w:p>
    <w:p>
      <w:pPr>
        <w:spacing w:after="0" w:line="1" w:lineRule="exact"/>
        <w:rPr>
          <w:sz w:val="20"/>
          <w:szCs w:val="20"/>
          <w:color w:val="auto"/>
        </w:rPr>
      </w:pPr>
    </w:p>
    <w:p>
      <w:pPr>
        <w:ind w:left="9" w:right="3119" w:hanging="9"/>
        <w:spacing w:after="0" w:line="259" w:lineRule="auto"/>
        <w:tabs>
          <w:tab w:leader="none" w:pos="54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a controlled foreign corporation for United States federal income tax purposes, payment of the proceeds of any such sale effected outside the United States by a foreign office of any such broker will not be subject to backup withholding tax, but will be subject to information reporting requirements unless such broker has documentary evidence in its records that the beneficial owner is a Non-United States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Note provides the certification described in "Non-United States Holders -- Payment of Interest" or otherwise establishes an exemption.</w:t>
      </w:r>
    </w:p>
    <w:p>
      <w:pPr>
        <w:spacing w:after="0" w:line="16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S-24</w:t>
      </w:r>
    </w:p>
    <w:p>
      <w:pPr>
        <w:sectPr>
          <w:pgSz w:w="11900" w:h="16838" w:orient="portrait"/>
          <w:cols w:equalWidth="0" w:num="1">
            <w:col w:w="10228"/>
          </w:cols>
          <w:pgMar w:left="231" w:top="28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UNDERWRITING</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Subject to the terms and conditions contained in the Underwriting Agreement (the "Underwriting Agreement"), the Underwriters named below for whom Donaldson, Lufkin &amp; Jenrette Securities Corporation ("DLJ"), Deutsche Morgan Grenfell Inc., Goldman, Sachs &amp; Co. and Merrill Lynch, Pierce, Fenner &amp; Smith Incorporated are acting as representatives (the "Representatives") have severally agreed to purchase from the Company an aggregate of $300,000,000 principal amount of Notes at the public offering price set forth on the cover page of this Prospectus Supplement, less the underwriting discount. The principal amount of Notes that each Underwriter has agreed to purchase is set forth opposite its name below:</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700"/>
        <w:spacing w:after="0"/>
        <w:rPr>
          <w:sz w:val="20"/>
          <w:szCs w:val="20"/>
          <w:color w:val="auto"/>
        </w:rPr>
      </w:pPr>
      <w:r>
        <w:rPr>
          <w:rFonts w:ascii="Courier New" w:cs="Courier New" w:eastAsia="Courier New" w:hAnsi="Courier New"/>
          <w:sz w:val="14"/>
          <w:szCs w:val="14"/>
          <w:color w:val="auto"/>
        </w:rPr>
        <w:t>UNDERWRITERS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4"/>
          <w:szCs w:val="14"/>
          <w:color w:val="auto"/>
        </w:rPr>
        <w:t>PRINCIPAL</w:t>
      </w:r>
    </w:p>
    <w:p>
      <w:pPr>
        <w:spacing w:after="0" w:line="1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4"/>
          <w:szCs w:val="14"/>
          <w:color w:val="auto"/>
        </w:rPr>
        <w:t>AMOUNT OF</w:t>
      </w:r>
    </w:p>
    <w:p>
      <w:pPr>
        <w:spacing w:after="0" w:line="9"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5"/>
          <w:szCs w:val="15"/>
          <w:color w:val="auto"/>
        </w:rPr>
        <w:t>NOTES</w:t>
      </w:r>
    </w:p>
    <w:p>
      <w:pPr>
        <w:spacing w:after="0" w:line="171" w:lineRule="exact"/>
        <w:rPr>
          <w:sz w:val="20"/>
          <w:szCs w:val="20"/>
          <w:color w:val="auto"/>
        </w:rPr>
      </w:pPr>
    </w:p>
    <w:p>
      <w:pPr>
        <w:sectPr>
          <w:pgSz w:w="11900" w:h="16838" w:orient="portrait"/>
          <w:cols w:equalWidth="0" w:num="2">
            <w:col w:w="6200" w:space="720"/>
            <w:col w:w="3299"/>
          </w:cols>
          <w:pgMar w:left="240" w:top="287" w:right="1440"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Donaldson, Lufkin &amp; Jenrette Securities Corporation....................</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Deutsche Morgan Grenfell Inc. .........................................</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Goldman, Sachs &amp; Co. ..................................................</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86" w:lineRule="exact"/>
        <w:rPr>
          <w:sz w:val="20"/>
          <w:szCs w:val="20"/>
          <w:color w:val="auto"/>
        </w:rPr>
      </w:pPr>
    </w:p>
    <w:p>
      <w:pPr>
        <w:sectPr>
          <w:pgSz w:w="11900" w:h="16838" w:orient="portrait"/>
          <w:cols w:equalWidth="0" w:num="2">
            <w:col w:w="6640" w:space="180"/>
            <w:col w:w="3399"/>
          </w:cols>
          <w:pgMar w:left="240" w:top="287" w:right="1440" w:bottom="1440" w:gutter="0" w:footer="0" w:header="0"/>
          <w:type w:val="continuous"/>
        </w:sectPr>
      </w:pP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$300,000,000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640" w:space="180"/>
            <w:col w:w="3399"/>
          </w:cols>
          <w:pgMar w:left="240" w:top="287" w:right="1440" w:bottom="1440" w:gutter="0" w:footer="0" w:header="0"/>
          <w:type w:val="continuous"/>
        </w:sectPr>
      </w:pPr>
    </w:p>
    <w:p>
      <w:pPr>
        <w:spacing w:after="0" w:line="153"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The Underwriting Agreement provides that the obligations of the several Underwriters to purchase and accept delivery of the Notes offered hereby are subject to approval of certain legal matters by counsel and to certain other conditions. If any of the Notes are purchased by the Underwriters pursuant to the Underwriting Agreement, all such Notes (other than those covered by the over-allotment option described below) must be purchased.</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or to contribute to payments that the Underwriters may be required to make in respect thereof.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Representatives have advised the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Company</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w w:val="98"/>
              </w:rPr>
              <w:t>that the Underwriters propose</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to offer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Notes to the public initially at the</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price set forth on the cover</w:t>
            </w:r>
          </w:p>
        </w:tc>
      </w:tr>
      <w:tr>
        <w:trPr>
          <w:trHeight w:val="171"/>
        </w:trPr>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page of this</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w w:val="99"/>
              </w:rPr>
              <w:t>Prospectus Supplement and to</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certain</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dealers (who may include 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Underwriters) at</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such price, less</w:t>
            </w: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concession</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not in excess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of the</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principal amount</w:t>
            </w:r>
          </w:p>
        </w:tc>
        <w:tc>
          <w:tcPr>
            <w:tcW w:w="452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9"/>
              </w:rPr>
              <w:t>of the Notes. The Underwriters may allow, and such</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dealers may</w:t>
            </w:r>
          </w:p>
        </w:tc>
      </w:tr>
      <w:tr>
        <w:trPr>
          <w:trHeight w:val="171"/>
        </w:trPr>
        <w:tc>
          <w:tcPr>
            <w:tcW w:w="2960" w:type="dxa"/>
            <w:vAlign w:val="bottom"/>
            <w:gridSpan w:val="3"/>
          </w:tcPr>
          <w:p>
            <w:pPr>
              <w:spacing w:after="0"/>
              <w:rPr>
                <w:sz w:val="20"/>
                <w:szCs w:val="20"/>
                <w:color w:val="auto"/>
              </w:rPr>
            </w:pPr>
            <w:r>
              <w:rPr>
                <w:rFonts w:ascii="Courier New" w:cs="Courier New" w:eastAsia="Courier New" w:hAnsi="Courier New"/>
                <w:sz w:val="15"/>
                <w:szCs w:val="15"/>
                <w:color w:val="auto"/>
                <w:w w:val="98"/>
              </w:rPr>
              <w:t>re-allow, discounts not in excess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of the principal</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amount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w w:val="96"/>
              </w:rPr>
              <w:t>the Notes</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to any other</w:t>
            </w: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Underwriter and certain</w:t>
            </w:r>
          </w:p>
        </w:tc>
        <w:tc>
          <w:tcPr>
            <w:tcW w:w="3860" w:type="dxa"/>
            <w:vAlign w:val="bottom"/>
            <w:gridSpan w:val="5"/>
          </w:tcPr>
          <w:p>
            <w:pPr>
              <w:jc w:val="right"/>
              <w:ind w:right="26"/>
              <w:spacing w:after="0"/>
              <w:rPr>
                <w:sz w:val="20"/>
                <w:szCs w:val="20"/>
                <w:color w:val="auto"/>
              </w:rPr>
            </w:pPr>
            <w:r>
              <w:rPr>
                <w:rFonts w:ascii="Courier New" w:cs="Courier New" w:eastAsia="Courier New" w:hAnsi="Courier New"/>
                <w:sz w:val="15"/>
                <w:szCs w:val="15"/>
                <w:color w:val="auto"/>
                <w:w w:val="98"/>
              </w:rPr>
              <w:t>other dealers. After the initial offering,</w:t>
            </w: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the offering</w:t>
            </w: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price and other selling</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terms may be changed by</w:t>
            </w:r>
          </w:p>
        </w:tc>
        <w:tc>
          <w:tcPr>
            <w:tcW w:w="17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Underwriters.</w:t>
            </w:r>
          </w:p>
        </w:tc>
      </w:tr>
    </w:tbl>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Company has granted to the Underwriters an option to purchase up to an additional $45,000,000 aggregate principal amount of the Notes, at the initial public offering price less underwriting discounts and commissions, solely to cover over-allotments. Such option may be exercised at any time until 30 days after the date of this Prospectus Supplement. To the extent that the Underwriters exercise such option, each of the Underwriters will be committed, subject to certain conditions, to purchase an amount of Notes proportionate to such Underwriter's initial commitment as indicated in the preceding table.</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and its executive officers and directors, who collectively are the beneficial owners of 25,028,928 shares of Common Stock, have agreed with the Underwriters not to, directly or indirectly, offer, sell, contract to sell, grant any option to purchase or otherwise dispose of, without the prior written consent of DLJ, any shares of Common Stock or any securities convertible into or exercisable or exchangeable for, or warrants, options or rights to purchase or acquire, Common Stock or in any other manner transfer all or a portion of the economic consequences associated with the ownership of any Common Stock, or enter into any agreement to do any of the foregoing for a period of 90 days after the date of this Prospectus Supplement. The restriction on the Company is subject to exceptions for issuances of Common Stock pursuant to acquisitions, existing director and employee benefit plans, existing contractual obligations, conversion of outstanding convertible securities and exercise of outstanding warrants. The Underwriters have agreed that 250,000 of the shares of Common Stock owned by Donald F. Moorehead, Jr., a director and executive officer of the</w:t>
      </w:r>
    </w:p>
    <w:p>
      <w:pPr>
        <w:spacing w:after="0" w:line="16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S-25</w:t>
      </w:r>
    </w:p>
    <w:p>
      <w:pPr>
        <w:sectPr>
          <w:pgSz w:w="11900" w:h="16838" w:orient="portrait"/>
          <w:cols w:equalWidth="0" w:num="1">
            <w:col w:w="10219"/>
          </w:cols>
          <w:pgMar w:left="240" w:top="287"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Company, and a total of 500,000 shares of the Common Stock owned by John G. Rangos, Sr. and Alexander W. Rangos, both directors of the Company, will not be subject to the foregoing restriction.</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Notes will constitute a new issue of securities with no established trading market. The Underwriters presently intend to make a market in the Notes. However, the Underwriters are not obligated to do so and any market-making activities may be discontinued at any time without notice. Application will be made to list the Notes on the New York Stock Exchange. However, no assurance can be given that an active trading market for the Notes will develop or, if such market develops, as to the liquidity or sustainability of such market.</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of DLJ and Deutsche Morgan Grenfell Inc. has in the past provided, and may in the future provide, investment banking services for the Company. Additionally, certain of the Underwriters are participating as underwriters in the Common Stock Offering. Consummation of this Offering is not a condition to consummation of the Common Stock Offering, and consummation of the Common Stock Offering is not a condition to consummation of this Offering.</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validity of the Notes offered hereby will be passed upon for the Company by Vinson &amp; Elkins L.L.P., Houston, Texas and certain legal matters will be passed upon for the Underwriters by McDermott, Will &amp; Emery, Chicago, Illinois.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S-26</w:t>
      </w:r>
    </w:p>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DEBT SECURITIES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$850,000,000 or, if applicable, the equivalent thereof in any other currency or currency unit. The Securities will be offered in amounts, at prices and on terms to be determined in light of market conditions at the time of sale and set forth in a supplement to this Prospectus (a "Prospectus Supplement").</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Debt Securities may be issued in registered form or bearer form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Common Stock is traded on the New York Stock Exchange under the symbol "UW." Any Common Stock sold pursuant to a Prospectus Supplement will be listed on such exchange, subject to official notice of issuance.</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This Prospectus may not be used to consummate sales of the Securities unless accompanied by a Prospectus Supplement.</w:t>
      </w:r>
    </w:p>
    <w:p>
      <w:pPr>
        <w:spacing w:after="0" w:line="34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DATE OF THIS PROSPECTUS IS JANUARY 15, 1997.</w:t>
      </w:r>
    </w:p>
    <w:p>
      <w:pPr>
        <w:sectPr>
          <w:pgSz w:w="11900" w:h="16838" w:orient="portrait"/>
          <w:cols w:equalWidth="0" w:num="1">
            <w:col w:w="10219"/>
          </w:cols>
          <w:pgMar w:left="240" w:top="28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 and New York Regional Office, Seven World Trade Center, New York, New York 10048. Copies of such material can be obtained from the Public Reference Section of the Commission at 450 Fifth Street, N.W., Washington, D.C. 20549, at prescribed rates. The Commission maintains a World Wide Web site on the Internet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18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78"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documents filed by the Company with the Commission under the Exchange Act (File No. 1-12154) are incorporated by reference in this Prospectus:</w:t>
      </w:r>
    </w:p>
    <w:p>
      <w:pPr>
        <w:spacing w:after="0" w:line="175" w:lineRule="exact"/>
        <w:rPr>
          <w:sz w:val="20"/>
          <w:szCs w:val="20"/>
          <w:color w:val="auto"/>
        </w:rPr>
      </w:pPr>
    </w:p>
    <w:p>
      <w:pPr>
        <w:ind w:left="780" w:right="3399" w:hanging="345"/>
        <w:spacing w:after="0" w:line="238" w:lineRule="auto"/>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1995;</w:t>
      </w:r>
    </w:p>
    <w:p>
      <w:pPr>
        <w:spacing w:after="0" w:line="174" w:lineRule="exact"/>
        <w:rPr>
          <w:rFonts w:ascii="Courier New" w:cs="Courier New" w:eastAsia="Courier New" w:hAnsi="Courier New"/>
          <w:sz w:val="15"/>
          <w:szCs w:val="15"/>
          <w:color w:val="auto"/>
        </w:rPr>
      </w:pPr>
    </w:p>
    <w:p>
      <w:pPr>
        <w:ind w:left="780" w:right="3479" w:hanging="345"/>
        <w:spacing w:after="0" w:line="238" w:lineRule="auto"/>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on Form 10-Q for the quarters ended March 31, 1996, June 30, 1996 and September 30, 1996;</w:t>
      </w:r>
    </w:p>
    <w:p>
      <w:pPr>
        <w:spacing w:after="0" w:line="174" w:lineRule="exact"/>
        <w:rPr>
          <w:rFonts w:ascii="Courier New" w:cs="Courier New" w:eastAsia="Courier New" w:hAnsi="Courier New"/>
          <w:sz w:val="15"/>
          <w:szCs w:val="15"/>
          <w:color w:val="auto"/>
        </w:rPr>
      </w:pPr>
    </w:p>
    <w:p>
      <w:pPr>
        <w:ind w:left="780" w:right="3119" w:hanging="345"/>
        <w:spacing w:after="0"/>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dated January 9, 1996, Current Report on Form 8-K dated May 7, 1996, as amended by Form 8-K/A (Amendment No. 1) filed on May 29, 1996, Form 8-K/A (Amendment No. 2) filed June 28, 1996, and Form 8-K/A (Amendment No. 3) filed July 1, 1996, and Current Report on Form 8-K dated June 22, 1996, Current Report on Form 8-K dated September 3, 1996, Current Report on Form 8-K dated September 12, 1996, as amended by Form 8-K/A (Amendment No. 1) filed November 14, 1996 and Form 8-K/A (Amendment No. 2) filed November 15, 1996, Current Report on Form 8-K dated November 12, 1996, and Current Report on Form 8-K dated January 13, 1997; and</w:t>
      </w:r>
    </w:p>
    <w:p>
      <w:pPr>
        <w:spacing w:after="0" w:line="178" w:lineRule="exact"/>
        <w:rPr>
          <w:rFonts w:ascii="Courier New" w:cs="Courier New" w:eastAsia="Courier New" w:hAnsi="Courier New"/>
          <w:sz w:val="15"/>
          <w:szCs w:val="15"/>
          <w:color w:val="auto"/>
        </w:rPr>
      </w:pPr>
    </w:p>
    <w:p>
      <w:pPr>
        <w:ind w:left="780" w:right="3219" w:hanging="345"/>
        <w:spacing w:after="0" w:line="239" w:lineRule="auto"/>
        <w:tabs>
          <w:tab w:leader="none" w:pos="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contained in the Registration Statement on Form 8-A dated July 1, 1993, as amended by Form 8-B dated July 13, 1995.</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30" w:name="page31"/>
    <w:bookmarkEnd w:id="30"/>
    <w:p>
      <w:pPr>
        <w:ind w:left="269"/>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9" w:right="440"/>
        <w:spacing w:after="0" w:line="239" w:lineRule="auto"/>
        <w:rPr>
          <w:sz w:val="20"/>
          <w:szCs w:val="20"/>
          <w:color w:val="auto"/>
        </w:rPr>
      </w:pPr>
      <w:r>
        <w:rPr>
          <w:rFonts w:ascii="Courier New" w:cs="Courier New" w:eastAsia="Courier New" w:hAnsi="Courier New"/>
          <w:sz w:val="15"/>
          <w:szCs w:val="15"/>
          <w:color w:val="auto"/>
        </w:rPr>
        <w:t>incorporated by reference herein modifies or supersedes such statement. Any such statement so modified or superseded shall not be deemed, except as so modified or superseded, to constitute a part of this Prospectus.</w:t>
      </w:r>
    </w:p>
    <w:p>
      <w:pPr>
        <w:spacing w:after="0" w:line="175" w:lineRule="exact"/>
        <w:rPr>
          <w:sz w:val="20"/>
          <w:szCs w:val="20"/>
          <w:color w:val="auto"/>
        </w:rPr>
      </w:pPr>
    </w:p>
    <w:p>
      <w:pPr>
        <w:ind w:left="9" w:right="540" w:firstLine="444"/>
        <w:spacing w:after="0"/>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1001 Fannin Street, Suite 4000, Houston, Texas 77002, telephone number (713) 512-6200.</w:t>
      </w:r>
    </w:p>
    <w:p>
      <w:pPr>
        <w:spacing w:after="0" w:line="173"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THE COMPANY</w:t>
      </w:r>
    </w:p>
    <w:p>
      <w:pPr>
        <w:spacing w:after="0" w:line="345" w:lineRule="exact"/>
        <w:rPr>
          <w:sz w:val="20"/>
          <w:szCs w:val="20"/>
          <w:color w:val="auto"/>
        </w:rPr>
      </w:pPr>
    </w:p>
    <w:p>
      <w:pPr>
        <w:ind w:left="9" w:right="440" w:firstLine="444"/>
        <w:spacing w:after="0" w:line="258" w:lineRule="auto"/>
        <w:rPr>
          <w:sz w:val="20"/>
          <w:szCs w:val="20"/>
          <w:color w:val="auto"/>
        </w:rPr>
      </w:pPr>
      <w:r>
        <w:rPr>
          <w:rFonts w:ascii="Courier New" w:cs="Courier New" w:eastAsia="Courier New" w:hAnsi="Courier New"/>
          <w:sz w:val="14"/>
          <w:szCs w:val="14"/>
          <w:color w:val="auto"/>
        </w:rPr>
        <w:t>USA Waste is the third largest solid waste management company in North America and serves municipal, commercial, industrial and residential customers in 36 states, the District of Columbia, Canada, Mexico and Puerto Rico. The Company's solid waste management services include collection, transfer and disposal operations and, to a lesser extent, recycling and certain other waste management services. USA Waste owns or operates 101 landfills, 61 transfer stations and 123 collection operations and serves more than 2 million customers. 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w:t>
      </w:r>
    </w:p>
    <w:p>
      <w:pPr>
        <w:spacing w:after="0" w:line="2" w:lineRule="exact"/>
        <w:rPr>
          <w:sz w:val="20"/>
          <w:szCs w:val="20"/>
          <w:color w:val="auto"/>
        </w:rPr>
      </w:pPr>
    </w:p>
    <w:p>
      <w:pPr>
        <w:ind w:left="9" w:right="440" w:hanging="9"/>
        <w:spacing w:after="0" w:line="239" w:lineRule="auto"/>
        <w:tabs>
          <w:tab w:leader="none" w:pos="54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512-6200. The "Company" and "USA Waste" refer to USA Waste Services, Inc. and its subsidiaries and predecessors, unless otherwise indicated or the context requires otherwise.</w:t>
      </w:r>
    </w:p>
    <w:p>
      <w:pPr>
        <w:spacing w:after="0" w:line="343"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left="9" w:right="540" w:firstLine="444"/>
        <w:spacing w:after="0"/>
        <w:rPr>
          <w:sz w:val="20"/>
          <w:szCs w:val="20"/>
          <w:color w:val="auto"/>
        </w:rPr>
      </w:pPr>
      <w:r>
        <w:rPr>
          <w:rFonts w:ascii="Courier New" w:cs="Courier New" w:eastAsia="Courier New" w:hAnsi="Courier New"/>
          <w:sz w:val="15"/>
          <w:szCs w:val="15"/>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17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74" w:lineRule="exact"/>
        <w:rPr>
          <w:sz w:val="20"/>
          <w:szCs w:val="20"/>
          <w:color w:val="auto"/>
        </w:rPr>
      </w:pPr>
    </w:p>
    <w:p>
      <w:pPr>
        <w:ind w:left="9" w:right="1160"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YEAR ENDED DECEMBER 31,</w:t>
            </w:r>
          </w:p>
        </w:tc>
        <w:tc>
          <w:tcPr>
            <w:tcW w:w="680" w:type="dxa"/>
            <w:vAlign w:val="bottom"/>
          </w:tcPr>
          <w:p>
            <w:pPr>
              <w:spacing w:after="0"/>
              <w:rPr>
                <w:sz w:val="14"/>
                <w:szCs w:val="14"/>
                <w:color w:val="auto"/>
              </w:rPr>
            </w:pPr>
          </w:p>
        </w:tc>
      </w:tr>
      <w:tr>
        <w:trPr>
          <w:trHeight w:val="171"/>
        </w:trPr>
        <w:tc>
          <w:tcPr>
            <w:tcW w:w="2760" w:type="dxa"/>
            <w:vAlign w:val="bottom"/>
          </w:tcPr>
          <w:p>
            <w:pPr>
              <w:spacing w:after="0"/>
              <w:rPr>
                <w:sz w:val="14"/>
                <w:szCs w:val="14"/>
                <w:color w:val="auto"/>
              </w:rPr>
            </w:pPr>
          </w:p>
        </w:tc>
        <w:tc>
          <w:tcPr>
            <w:tcW w:w="44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6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1991</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1992</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276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0.53</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(0.20)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1.68</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0.73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Company's consolidated ratios of earnings to fixed charges were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computed by dividing earnings by fixed charges. For this purpose, earnings are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sum of income (loss) from continuing operations, taxes, and fixed charges,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excluding capitalized interest. Fixed charges are interest, whether expensed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capitalized, amortization of debt expense and discount on premium relating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indebtedness, whether expensed or capitalized, and such portion of rental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expense that can be demonstrated to be representative of the interest factor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particular case. For the nine months ended September 30, 1996 and the years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ended December 31, 1991, 1992, and 1994, earnings are insufficient to cover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fixed charges as evidenced by a less than one-to-one coverage ratio as shown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above. Additional earnings of $12,022,000, $27,827,000, $78,473,000,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$17,855,000 were necessary for the nine months ended September 30, 1996 and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1991, 1992, and 1994, respectively, to provide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one-to-one coverage ratio. Except for the year ended December 31, 1991,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nonrecurring costs, as discussed below, caused the less than one-to-one coverage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each of these periods.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0.77</w:t>
      </w:r>
    </w:p>
    <w:p>
      <w:pPr>
        <w:spacing w:after="0" w:line="3613" w:lineRule="exact"/>
        <w:rPr>
          <w:sz w:val="20"/>
          <w:szCs w:val="20"/>
          <w:color w:val="auto"/>
        </w:rPr>
      </w:pPr>
    </w:p>
    <w:p>
      <w:pPr>
        <w:sectPr>
          <w:pgSz w:w="11900" w:h="16838" w:orient="portrait"/>
          <w:cols w:equalWidth="0" w:num="2">
            <w:col w:w="7549" w:space="620"/>
            <w:col w:w="2059"/>
          </w:cols>
          <w:pgMar w:left="231" w:top="287" w:right="1440" w:bottom="1440" w:gutter="0" w:footer="0" w:header="0"/>
        </w:sectPr>
      </w:pPr>
    </w:p>
    <w:p>
      <w:pPr>
        <w:spacing w:after="0" w:line="145"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8"/>
          </w:cols>
          <w:pgMar w:left="231" w:top="287"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345" w:lineRule="exact"/>
        <w:rPr>
          <w:sz w:val="20"/>
          <w:szCs w:val="20"/>
          <w:color w:val="auto"/>
        </w:rPr>
      </w:pPr>
    </w:p>
    <w:p>
      <w:pPr>
        <w:jc w:val="both"/>
        <w:ind w:right="3839"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NINE</w:t>
            </w:r>
          </w:p>
        </w:tc>
      </w:tr>
      <w:tr>
        <w:trPr>
          <w:trHeight w:val="171"/>
        </w:trPr>
        <w:tc>
          <w:tcPr>
            <w:tcW w:w="2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MONTHS</w:t>
            </w:r>
          </w:p>
        </w:tc>
      </w:tr>
      <w:tr>
        <w:trPr>
          <w:trHeight w:val="171"/>
        </w:trPr>
        <w:tc>
          <w:tcPr>
            <w:tcW w:w="2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2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0" w:type="dxa"/>
            <w:vAlign w:val="bottom"/>
            <w:gridSpan w:val="3"/>
          </w:tcPr>
          <w:p>
            <w:pPr>
              <w:jc w:val="right"/>
              <w:ind w:right="406"/>
              <w:spacing w:after="0"/>
              <w:rPr>
                <w:sz w:val="20"/>
                <w:szCs w:val="20"/>
                <w:color w:val="auto"/>
              </w:rPr>
            </w:pPr>
            <w:r>
              <w:rPr>
                <w:rFonts w:ascii="Courier New" w:cs="Courier New" w:eastAsia="Courier New" w:hAnsi="Courier New"/>
                <w:sz w:val="15"/>
                <w:szCs w:val="15"/>
                <w:color w:val="auto"/>
              </w:rPr>
              <w:t>YEAR ENDED DECEMBER 31,</w:t>
            </w:r>
          </w:p>
        </w:tc>
        <w:tc>
          <w:tcPr>
            <w:tcW w:w="9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w w:val="96"/>
              </w:rPr>
              <w:t>SEPTEMBER</w:t>
            </w:r>
          </w:p>
        </w:tc>
      </w:tr>
      <w:tr>
        <w:trPr>
          <w:trHeight w:val="171"/>
        </w:trPr>
        <w:tc>
          <w:tcPr>
            <w:tcW w:w="284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0"/>
              </w:rPr>
              <w:t>------------------------------------------------</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30,</w:t>
            </w:r>
          </w:p>
        </w:tc>
      </w:tr>
      <w:tr>
        <w:trPr>
          <w:trHeight w:val="171"/>
        </w:trPr>
        <w:tc>
          <w:tcPr>
            <w:tcW w:w="28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1991</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1992</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8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Supplemental...................</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0.53</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1.07</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1.81</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2.15</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2.88</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4.31</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Nonrecurring items for the nine months ended September 30, 1996, represent merger costs, primarily related to mergers with Sanifill, Inc. in August 1996 and Western Waste Industries ("Western") in May 1996, and unusual items, primarily related to operating losses and estimated losses associated with the disposition of certain non-core business assets.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violations against Chambers, certain of its officers and directors, its former auditors, and the underwriters of its securities. Nonrecurring items in 1992 primarily represent various restructuring charges and charges to asset reserves by Western and Chambers. Nonrecurring items in 1991 and 1993 were not material.</w:t>
      </w:r>
    </w:p>
    <w:p>
      <w:pPr>
        <w:spacing w:after="0" w:line="33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DESCRIPTION OF DEBT SECURITIES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a trustee (a "Trustee"), which may be the same Trustee, and in the form that has been filed as an exhibit to the Registration Statement of which this Prospectus is a part, subject to such amendments or supplements as may be adopted form time to time. The Senior Debt Indenture and the Subordinated Debt Indenture, as amended or supplemented from time to time, are sometimes hereinafter referred to individually as an "Indenture" and collectively as the "Indentures." The following summaries of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18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(the "Offered Debt Securities") will be described therein.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TO BOTH SENIOR AND SUBORDINATED DEBT SECURITIES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w:t>
      </w:r>
    </w:p>
    <w:p>
      <w:pPr>
        <w:sectPr>
          <w:pgSz w:w="11900" w:h="16838" w:orient="portrait"/>
          <w:cols w:equalWidth="0" w:num="1">
            <w:col w:w="10219"/>
          </w:cols>
          <w:pgMar w:left="240" w:top="287" w:right="1440" w:bottom="989" w:gutter="0" w:footer="0" w:header="0"/>
        </w:sectPr>
      </w:pP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7" w:right="1440" w:bottom="989"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Reference is made to the Prospectus Supplement for the following terms of and information relating to the Offered Debt Securities (to the extent such terms are applicable to such Offered Debt Securities): (i) the title of the Offered Debt Securities; (ii) classification as either Senior Debt Securities or Subordinated Debt Securities; (iii) whether the Offered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Offered Debt Securities; (v) whether the Offered Debt Securities are to be issuable as Registered Securities or Bearer Securities or both, whether any of the Offered Debt Securities are to be issuable initially in temporary global form and whether any of the Offered Debt Securities are to be in permanent global form; (vi) the price or prices (expressed as a percentage of the aggregate principal amount thereof) at which the Offered Debt Securities will be issued; (vii) the date or dates on which the Offered Debt Securities will mature; (viii) the rate or rates per annum (or the method by which such will be determined) at which the Offered Debt Securities will bear interest, if any, and the date from which any such interest will accrue; (ix) the Interest Payment Dates on which any such interest on the Offered Debt Securities will be payable, the date on which payment of such interest, if any, will commence and the Regular Record Dates for any interest payable on any Offered Debt Securities which are Registered Securities on any Interest Payment Date and the extent to which, or the manner in which, any interest payable on a temporary global Offered Debt Security on an Interest Payment Date will be paid; (x) any mandatory or optional sinking fund or analogous provisions; (xi) each office or agency where, subject to the terms of the Indentures as described below under "Payment and Paying Agents," the principal of and any premium and interest on the Offered Debt Securities will be payable and each office or agency where, subject to the terms of the Indentures as described below under "Form, Exchange, Registration and Transfer," the Offered Debt Securities may be presented for registration of transfer or exchange; (xii) the right, if any, or obligation, if any, of the Company to redeem the Offered Debt Securities at its option and the period or periods, if any, within which and the price or prices at which the Offered Debt Securities may, pursuant to any optional or mandatory redemption provisions, be redeemed, in whole or in part, and the other detailed terms and provisions of any such optional or mandatory redemption; (xiii) the denominations in which any Offered Debt Securities which are Registered Securities will be issuable, if other than denominations of $1,000 and any integral multiple thereof, and the denomination or denominations in which any Offered Debt Securities which are Bearer Securities will be issuable, if other than the denomination of $5,000; (xiv) the currency or currencies (including composite currencies) in which payment of principal of and any premium and interest on the Offered Debt Securities is payable if other than United States dollars; (xv) any index used to determine the amount of payments of principal of and any premium and interest on the Offered Debt Securities; (xvi) information with respect to book-entry procedures, if any; (xvii) any deletions from, modification of or additions to the Events of Default or covenants of the Company with respect to such Offered Debt Securities; and (xviii) any other terms of the Offered Debt Securities not inconsistent with the provisions of the Indentures. (Section 301) Any such Prospectus Supplement will also describe any special provisions for the payment of additional amounts with respect to the Offered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w:t>
      </w:r>
    </w:p>
    <w:p>
      <w:pPr>
        <w:sectPr>
          <w:pgSz w:w="11900" w:h="16838" w:orient="portrait"/>
          <w:cols w:equalWidth="0" w:num="1">
            <w:col w:w="10219"/>
          </w:cols>
          <w:pgMar w:left="240" w:top="287" w:right="1440" w:bottom="1440" w:gutter="0" w:footer="0" w:header="0"/>
        </w:sectPr>
      </w:pPr>
    </w:p>
    <w:p>
      <w:pPr>
        <w:spacing w:after="0" w:line="350"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87"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or denominated in other than United States dollars, will be set forth in a Prospectus Supplement relating thereto.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(Section 201) The Indentures also provide that Debt Securities of a series may be issuable in temporary or permanent global form. (Section 201)</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The Company will serve initially as Security Registrar. (Section 305) 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8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the event of any redemption in part, the Company shall not be required to (i) 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6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87"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33</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35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79"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in either registered or bearer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specific terms of the depository arrangement with respect to a series of Debt Securities and certain limitations and restrictions relating to a series of Bearer Securities in the form of one or more global Debt Securities will be described in the Prospectus Supplement relating to such series.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Events of Default. Any one of the following events constitutes an Event of Default under each Indenture with respect to Debt Securities of any series: (a) failure to pay any interest on any Debt Security of that series when due, continued for 30 days; (b) failure to pay principal of or any premium on any Debt Security of that series when due; (c) failure to deposit any sinking fund payment, when due, in respect of any Debt Security of that series; (d) failure to perform any other covenant of the Company in such Indenture (other than a covenant included in such Indenture solely for the benefit of any series of Debt Securities other than that series), continued for 90 days after written notice as provided in such Indenture; (e) certain events in bankruptcy, insolvency or reorganization involving the Company; and (f) any other Event of Default provided with respect to Debt Securities of that series. (Section 501)</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 Event of Default with respect to Debt Securities of any series at the time Outstanding occurs and is continuing, either the Trustee or the Holders of at least 25% in aggregate principal amount of the Outstanding Securities of that series by notice as provided in the applicable Indenture may declare the principal amount (or, if the Debt Securities of that series are Original Issue Discount Securities, such portion of the principal amount as may be specified in the terms of that series) of all the Debt Securities of that series to be due and payable immediately. At any time after a declaration of acceleration with respect to Debt Securities of any series has been made, but before a judgment or decree for payment of money has been obtained by the Trustee, the Holders of a majority in aggregate principal amount of the Outstanding Securities of that series may, under certain circumstances, rescind and annul such acceleration. (Section 502)</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Subject to such provisions for the indemnification of the Trustee, the Holders of a majority in aggregate principal amount of the Outstanding Securities of any series have the right to direct the time, method and place of conducting any proceeding for any remedy available to the Trustee, or exercising any trust or power conferred on the Trustee, with respect to the Debt Securities of that series; provided, however, that the Trustee is not obligated to take any action unduly prejudicial to Holders not joining in such direction or involving the Trustee in personal liability. (Section 512)</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is required to furnish to the Trustee annually a statement as to the performance by the Company of its obligations under each Indenture and as to any default in such performance. (Section 1007)</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Defeasance. If so specified with respect to any particular series of Debt Securities issued under an Indenture, the Company may discharge its indebtedness and its obligations or certain of its obligations under such Indenture with respect to such series by depositing funds or obligations issued or guaranteed by the United States of America with the Trustee. (Sections 1301-1303)</w:t>
      </w:r>
    </w:p>
    <w:p>
      <w:pPr>
        <w:spacing w:after="0" w:line="16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Defeasance and Discharge. Each Indenture provides that, if so specified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w:t>
      </w:r>
    </w:p>
    <w:p>
      <w:pPr>
        <w:spacing w:after="0" w:line="162"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an Opinion of Counsel to the effect that (i) the Company has received from, or there has been published by, the</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7"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80"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Covenant Defeasance. Each Indenture also provides that, if so specified with respect to the Debt Securities of any series issued thereunder, the Company may omit to comply with certain restrictive covenants, including (in the case of the Senior Debt Indenture) the covenant described under "Limitation on Liens" below,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 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w:t>
      </w:r>
    </w:p>
    <w:p>
      <w:pPr>
        <w:spacing w:after="0" w:line="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87"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Security or any conversion right with respect thereto, (i) reduce the percentage in principal amount of 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164"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The Subordinated Debt Indenture may not be amended to alter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any outstanding Subordinated Debt Securities without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each holder of Senior Indebtedness (as defined below 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Provisions Applicable Solely to Subordinated Debt Securities") then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that would be adversely affected thereby. (Section 907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Debt Indenture)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1008)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6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any reconvened meeting, will be Persons holding or representing a majority in aggregate principal amount of the Outstanding Securities of a series. (Section 1404)</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Consolidation, Merger and Sale of Assets. The Company, without the consent of the Holders of any of the outstanding Securities under either Indenture, may consolidate with or merge into, or convey, transfer or lease its assets substantially as an entirety to, any Person which is a corporation, partnership or trust organized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and validly existing under the laws of any domestic jurisdiction, provided that any successor Person assumes the Company's obligations on the Securities and under such Indenture, and provided further that after giving effect to the transaction no Event of Default, and no event which, after notice or lapse of time, would become an Event of Default, shall have occurred and be continuing, and that certain other conditions are met. (Section 801)</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Notices. Except as otherwise provided in the Indentures, notices to Holders of Bearer Securities will be given by publication at least twice in a daily newspaper in The City of New York and in such other city or cities as may be specified in such Bearer Securities. Notices to Holders of Registered Securities will be given by mail to the addresses of such Holders as they appear in the Security Register. (Section 106)</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Title. 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owner of any Registered Security as the owner thereof (whether or not such Debt Security or coupon shall be overdue and notwithstanding any notice to the contrary) for the purpose of making payment and for all other purposes. (Section 308)</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became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64"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Governing Law. The Indentures, the Debt Securities and coupons will be governed by, and construed in accordance with, the laws of the State of New York. (Section 113)</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Regarding the Trustee. The Trustee for each series of Debt Securities will be identified in the applicable Prospectus Supplement.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7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holders of a majority in principal amount of all outstanding Debt Securities of a Series (or if more than one Series is affected thereby, all of Series so affected, voting as a single class) will have the right to direct the time, method and place of conducting any proceeding for exercising any remedy or power available to the Trustee for such Series or all such Series so affected.</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SENIOR DEBT SECURITIES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that may be issued.</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Certain Definitions. For purposes of the following discussion, the following definitions are applicable (Section 101 of the Senior Debt Indenture).</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Tangible Assets" means the total amount of assets appearing on a consolidated balance sheet of the Company and its Subsidiaries less, without duplication: (a) total current liabilities (excluding current maturities of long-term debt and preferred stock); (b) all reserves for depreciation and other asset valuation reserves but excluding reserves for deferred federal and state income taxes; (c) all intangible assets such as goodwill, trademarks, trade names, patents and unamortized debt discount and expense carried as an asset; and (d) all appropriate adjustments on account of minority interests of other Persons holding common stock in any Subsidiary.</w:t>
      </w:r>
    </w:p>
    <w:p>
      <w:pPr>
        <w:spacing w:after="0" w:line="177"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"Person" means any individual, corporation, partnership, joint venture, trust, unincorporated organization or government or any agency or political subdivision thereof.</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"Subsidiary" means a corporation more than 50% of the outstanding stock of which is owned, directly or indirectly, by the Company or by one or more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SUBORDINATED DEBT SECURITIES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 Subordinated Debt Securities or otherwise made in capital stock of the Company. (Sections 1601, 1604 and 1605 of the Subordinated Debt Indenture)</w:t>
      </w:r>
    </w:p>
    <w:p>
      <w:pPr>
        <w:spacing w:after="0" w:line="18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premium and interest,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w:t>
      </w: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18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(i) without the consent of the Company a court shall enter (A) an order for relief with respect to the Company under the United States federal bankruptcy laws, (B) a judgment, order or decree adjudging the Company a bankrupt or insolvent, or (C) an order for relief for reorganization, arrangement, adjustment or</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any applicable law, or shall consent to the filing of such petition or to the appointment of a receiver, custodian, liquidator, assignee, trustee, sequestrator or similar official in respect of the Company or of substantially all of its property, or the Company shall make a general assignment for the benefit of creditors, then all Senior Indebtedness (including any interest thereon accruing after the commencement of any such proceedings) will first be paid in full before any payment or distribution, whether in cash, securities or other property, is made on account of the principal of, premium, if any, or interest, if any, on the Subordinated Debt Securities. In such event, any payment or distribution on account of the principal of, premium, if any, or interest, if any, on the Subordinated Debt Securities,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on account of the principal of, premium, if any, or interest, if any, on the Subordinated Debt Securities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any such proceeding, after payment in full of all sums owing with respect to Senior Indebtedness, the holders of Subordinated Debt Securities, together with the holders of any obligations of the Company ranking on a parity with the Subordinated Debt Securities, will be entitled to be repaid from the remaining assets of the Company the amounts at that time due and owing on account of unpaid principal of or any premium or interest on the Subordinated Debt Securities and such other obligations before any payment or other distribution, whether in cash, property or otherwise, shall</w:t>
      </w:r>
    </w:p>
    <w:p>
      <w:pPr>
        <w:sectPr>
          <w:pgSz w:w="11900" w:h="16838" w:orient="portrait"/>
          <w:cols w:equalWidth="0" w:num="1">
            <w:col w:w="10219"/>
          </w:cols>
          <w:pgMar w:left="240" w:top="287" w:right="1440" w:bottom="1440" w:gutter="0" w:footer="0" w:header="0"/>
        </w:sectPr>
      </w:pP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19"/>
          </w:cols>
          <w:pgMar w:left="240" w:top="287" w:right="1440" w:bottom="1440" w:gutter="0" w:footer="0" w:header="0"/>
          <w:type w:val="continuous"/>
        </w:sectPr>
      </w:pPr>
    </w:p>
    <w:bookmarkStart w:id="41" w:name="page42"/>
    <w:bookmarkEnd w:id="41"/>
    <w:p>
      <w:pPr>
        <w:ind w:left="269"/>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be made on account of any capital stock or obligations of the Company ranking junior to the Subordinated Debt Securities and such other obligations. (Section 1601 of the Subordinated Debt Indenture)</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Prospectus Supplement respecting any series of Subordinated Debt Securities will set forth any subordination provisions applicable to such series in addition to or different from those described above.</w:t>
      </w:r>
    </w:p>
    <w:p>
      <w:pPr>
        <w:spacing w:after="0" w:line="34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By reason of such subordination, in the event of liquidation, bankruptcy, reorganization, insolvency, receivership or similar proceeding involving the Company or an assignment for the benefit of creditors of the Company or any of its Subsidiaries or a marshalling of assets or liabilities of the Company and its Subsidiaries, 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Indenture, to pursue any other rights or remedies with respect to the Subordinated Debt Securities.</w:t>
      </w:r>
    </w:p>
    <w:p>
      <w:pPr>
        <w:spacing w:after="0" w:line="350"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Prospectus Supplement for such Debt Securities.</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177"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Vinson</w:t>
      </w:r>
    </w:p>
    <w:p>
      <w:pPr>
        <w:spacing w:after="0" w:line="163" w:lineRule="exact"/>
        <w:rPr>
          <w:sz w:val="20"/>
          <w:szCs w:val="20"/>
          <w:color w:val="auto"/>
        </w:rPr>
      </w:pPr>
    </w:p>
    <w:p>
      <w:pPr>
        <w:ind w:left="9" w:right="3219" w:hanging="9"/>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Elkins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the record date for an interest payment and the interest payment date (except convertible Subordinated Debt Securities called for redemption on a redemption date during such period) must be accompanied by payment of an amount equal to the interest thereon which the registered holder is to receive. (Sections 1504 and 1502 of the Subordinated Debt Indenture)</w:t>
      </w:r>
    </w:p>
    <w:p>
      <w:pPr>
        <w:sectPr>
          <w:pgSz w:w="11900" w:h="16838" w:orient="portrait"/>
          <w:cols w:equalWidth="0" w:num="1">
            <w:col w:w="10228"/>
          </w:cols>
          <w:pgMar w:left="231" w:top="287" w:right="1440" w:bottom="1440" w:gutter="0" w:footer="0" w:header="0"/>
        </w:sectPr>
      </w:pPr>
    </w:p>
    <w:p>
      <w:pPr>
        <w:spacing w:after="0" w:line="179"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28"/>
          </w:cols>
          <w:pgMar w:left="231" w:top="287"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case of any consolidation or merger of the Company (with certain exceptions) or any conveyance, transfer or lease of the properties and assets of the Company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17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is currently authorized to issue 300,000,000 shares of its Common Stock, par value $.01 per share, of which 138,343,184 shares were outstanding on September 30, 1996 and 10,000,000 shares of Preferred Stock, par value $.01 per share, none of which were outstanding on such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6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Common Stock to be issued hereunder will be, validly issued, fully paid and nonassessable.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transfer agent and registrar for the Common Stock is Boston EquiServe, Boston, Massachusetts.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43" w:name="page44"/>
    <w:bookmarkEnd w:id="43"/>
    <w:p>
      <w:pPr>
        <w:ind w:left="269"/>
        <w:spacing w:after="0"/>
        <w:rPr>
          <w:sz w:val="20"/>
          <w:szCs w:val="20"/>
          <w:color w:val="auto"/>
        </w:rPr>
      </w:pPr>
      <w:r>
        <w:rPr>
          <w:rFonts w:ascii="Courier New" w:cs="Courier New" w:eastAsia="Courier New" w:hAnsi="Courier New"/>
          <w:sz w:val="15"/>
          <w:szCs w:val="15"/>
          <w:color w:val="auto"/>
        </w:rPr>
        <w:t>42</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DELAWARE ANTI-TAKEOVER LAW</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203 of the DGCL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on which the person became an Interested Stockholder unless</w:t>
      </w:r>
    </w:p>
    <w:p>
      <w:pPr>
        <w:spacing w:after="0" w:line="1" w:lineRule="exact"/>
        <w:rPr>
          <w:sz w:val="20"/>
          <w:szCs w:val="20"/>
          <w:color w:val="auto"/>
        </w:rPr>
      </w:pPr>
    </w:p>
    <w:p>
      <w:pPr>
        <w:ind w:left="9" w:right="3119" w:hanging="9"/>
        <w:spacing w:after="0"/>
        <w:tabs>
          <w:tab w:leader="none" w:pos="36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79"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provisions of Section 203, combined with the Board's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64"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PLAN OF DISTRIBUTION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The Company may sell Securities to or through underwriters or dealers, and also may sell Securities directly to other purchasers or through agents.</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347"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Prospectus Supplement.</w:t>
      </w:r>
    </w:p>
    <w:p>
      <w:pPr>
        <w:spacing w:after="0" w:line="336"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64" w:lineRule="exact"/>
        <w:rPr>
          <w:sz w:val="20"/>
          <w:szCs w:val="20"/>
          <w:color w:val="auto"/>
        </w:rPr>
      </w:pPr>
    </w:p>
    <w:p>
      <w:pPr>
        <w:ind w:left="9" w:right="3399" w:firstLine="444"/>
        <w:spacing w:after="0" w:line="262" w:lineRule="auto"/>
        <w:rPr>
          <w:sz w:val="20"/>
          <w:szCs w:val="20"/>
          <w:color w:val="auto"/>
        </w:rPr>
      </w:pPr>
      <w:r>
        <w:rPr>
          <w:rFonts w:ascii="Courier New" w:cs="Courier New" w:eastAsia="Courier New" w:hAnsi="Courier New"/>
          <w:sz w:val="14"/>
          <w:szCs w:val="14"/>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28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DELAYED DELIVERY ARRANGEMENT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If so indicated in the Prospectus Supplement, the Company will authorize underwriters or other persons acting as the Company's agents to solicit offers by certain institutions to purchase Debt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6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VALIDITY OF SECURITIES</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validity of the Offered Securities, as well as certain tax matters in connection therewith, will be passed upon for the Company by Vinson &amp; Elkins L.L.P., Houston, Texas and will be passed upon for any agents, dealers or underwriters by counsel named in the applicable Prospectus Supplement.</w:t>
      </w:r>
    </w:p>
    <w:p>
      <w:pPr>
        <w:spacing w:after="0" w:line="15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of the Company and subsidiaries as of December 31, 1994 and 1995, and for each of the three years in the period ended December 31, 1995, which are included in the Company's Annual Report on Form 10-K for the year ended December 31, 1995, and the supplemental consolidated balance sheets of the Company as of December 31, 1994 and 1995, and the supplemental consolidated statements of operations, stockholders' equity, and cash flows for each of the years in the three-year period ended December 31, 1995, appearing in the Company's Current Report on Form 8-K/A filed July 1, 1996, and Current Report on Form 8-K filed November 12, 1996, incorporated by reference in this Prospectus, have been incorporated herein in reliance on the report of Coopers &amp; Lybrand L.L.P., independent accountants, given on the authority of that firm as experts in accounting and auditing.</w:t>
      </w:r>
    </w:p>
    <w:p>
      <w:pPr>
        <w:spacing w:after="0" w:line="180"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 consolidated financial statements of Sanifill, Inc. appearing in the Company's Current Report on Form 8-K dated September 18, 1996 and the financial statements of various companies acquired by Sanifill appearing in the Company's Current Report on Form 8-K dated September 12, 1996, and amended by its Form</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8-K/A (Amendment No. 1) filed November 14, 1996 and as amended by its Form 8-K/A (Amendment No. 2) filed November 15, 1996, incorporated by reference in this Prospectus have been audited by Arthur Andersen LLP, independent public accountants, as indicated in their reports with respect thereto, and are incorporated herein by reference in reliance upon the authority of such firm as experts in accounting and auditing in giving said reports.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of Western Waste Industries at June 30, 1995 and 1994, and for each of the three years in the period ended June 30, 1995, included in the Company's Current Report on Form 8-K dated January 9, 1996, have been audited by Ernst &amp; Young LLP, independent auditors, as set forth in their report thereon and included therein and incorporated herein by reference. Such consolidated financial statements are incorporated herein by reference in reliance upon such report given upon the authority of such firm as experts in accounting and auditing.</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45" w:name="page46"/>
    <w:bookmarkEnd w:id="45"/>
    <w:p>
      <w:pPr>
        <w:ind w:left="269"/>
        <w:spacing w:after="0"/>
        <w:rPr>
          <w:sz w:val="20"/>
          <w:szCs w:val="20"/>
          <w:color w:val="auto"/>
        </w:rPr>
      </w:pPr>
      <w:r>
        <w:rPr>
          <w:rFonts w:ascii="Courier New" w:cs="Courier New" w:eastAsia="Courier New" w:hAnsi="Courier New"/>
          <w:sz w:val="15"/>
          <w:szCs w:val="15"/>
          <w:color w:val="auto"/>
        </w:rPr>
        <w:t>44</w:t>
      </w:r>
    </w:p>
    <w:p>
      <w:pPr>
        <w:spacing w:after="0" w:line="171"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ANY REPRESENTATIONS OTHER THAN THOSE CONTAINED OR INCORPORATED BY REFERENCE IN THIS PROSPECTUS SUPPLEMENT AND THE PROSPECTUS AND, IF GIVEN OR MADE, SUCH INFORMATION OR REPRESENTATIONS MUST NOT BE RELIED UPON AS HAVING BEEN AUTHORIZED BY THE COMPANY OR ANY OF THE UNDERWRITERS. THIS PROSPECTUS SUPPLEMENT AND THE PROSPECTUS DO NOT CONSTITUTE AN OFFER TO SELL OR A SOLICITATION OF AN OFFER TO BUY THE SECURITIES OFFERED HEREBY BY ANYONE IN ANY JURISDICTION IN WHICH SUCH OFFER OR SOLICITATION IS NOT AUTHORIZED, OR IN WHICH THE PERSON MAKING SUCH OFFER OR SOLICITATION IS NOT QUALIFIED TO DO SO OR TO ANY PERSON TO WHOM IT IS UNLAWFUL TO MAKE SUCH OFFER OR SOLICITATION NEITHER THE DELIVERY OF THIS PROSPECTUS SUPPLEMENT AND THE PROSPECTUS NOR ANY SALE MADE HEREUNDER AND THEREUNDER SHALL CREATE ANY IMPLICATION THAT THE INFORMATION CONTAINED HEREIN IS CORRECT AS OF ANY TIME SUBSEQUENT TO ITS DATE.</w:t>
      </w:r>
    </w:p>
    <w:p>
      <w:pPr>
        <w:spacing w:after="0" w:line="178"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ind w:left="1149"/>
        <w:spacing w:after="0"/>
        <w:tabs>
          <w:tab w:leader="none" w:pos="3529" w:val="left"/>
        </w:tabs>
        <w:rPr>
          <w:sz w:val="20"/>
          <w:szCs w:val="20"/>
          <w:color w:val="auto"/>
        </w:rPr>
      </w:pPr>
      <w:r>
        <w:rPr>
          <w:rFonts w:ascii="Courier New" w:cs="Courier New" w:eastAsia="Courier New" w:hAnsi="Courier New"/>
          <w:sz w:val="15"/>
          <w:szCs w:val="15"/>
          <w:color w:val="auto"/>
        </w:rPr>
        <w:t>PROSPECTUS SUPPLEMENT</w:t>
      </w:r>
      <w:r>
        <w:rPr>
          <w:sz w:val="20"/>
          <w:szCs w:val="20"/>
          <w:color w:val="auto"/>
        </w:rPr>
        <w:tab/>
      </w:r>
      <w:r>
        <w:rPr>
          <w:rFonts w:ascii="Courier New" w:cs="Courier New" w:eastAsia="Courier New" w:hAnsi="Courier New"/>
          <w:sz w:val="15"/>
          <w:szCs w:val="15"/>
          <w:color w:val="auto"/>
        </w:rPr>
        <w:t>PAGE</w:t>
      </w:r>
    </w:p>
    <w:p>
      <w:pPr>
        <w:spacing w:after="0" w:line="17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Prospectus Supplement Summary</w:t>
      </w:r>
      <w:r>
        <w:rPr>
          <w:sz w:val="20"/>
          <w:szCs w:val="20"/>
          <w:color w:val="auto"/>
        </w:rPr>
        <w:tab/>
      </w:r>
      <w:r>
        <w:rPr>
          <w:rFonts w:ascii="Courier New" w:cs="Courier New" w:eastAsia="Courier New" w:hAnsi="Courier New"/>
          <w:sz w:val="15"/>
          <w:szCs w:val="15"/>
          <w:color w:val="auto"/>
        </w:rPr>
        <w:t>S-3</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S-6</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S-8</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Price Range of Common Stock</w:t>
      </w:r>
      <w:r>
        <w:rPr>
          <w:sz w:val="20"/>
          <w:szCs w:val="20"/>
          <w:color w:val="auto"/>
        </w:rPr>
        <w:tab/>
      </w:r>
      <w:r>
        <w:rPr>
          <w:rFonts w:ascii="Courier New" w:cs="Courier New" w:eastAsia="Courier New" w:hAnsi="Courier New"/>
          <w:sz w:val="15"/>
          <w:szCs w:val="15"/>
          <w:color w:val="auto"/>
        </w:rPr>
        <w:t>S-9</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S-9</w:t>
      </w:r>
    </w:p>
    <w:p>
      <w:pPr>
        <w:spacing w:after="0" w:line="1" w:lineRule="exact"/>
        <w:rPr>
          <w:sz w:val="20"/>
          <w:szCs w:val="20"/>
          <w:color w:val="auto"/>
        </w:rPr>
      </w:pPr>
    </w:p>
    <w:p>
      <w:pPr>
        <w:ind w:left="9"/>
        <w:spacing w:after="0"/>
        <w:tabs>
          <w:tab w:leader="dot" w:pos="3529"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4"/>
          <w:szCs w:val="14"/>
          <w:color w:val="auto"/>
        </w:rPr>
        <w:t>S-10</w:t>
      </w:r>
    </w:p>
    <w:p>
      <w:pPr>
        <w:spacing w:after="0" w:line="1" w:lineRule="exact"/>
        <w:rPr>
          <w:sz w:val="20"/>
          <w:szCs w:val="20"/>
          <w:color w:val="auto"/>
        </w:rPr>
      </w:pPr>
    </w:p>
    <w:p>
      <w:pPr>
        <w:ind w:left="9"/>
        <w:spacing w:after="0"/>
        <w:tabs>
          <w:tab w:leader="dot" w:pos="3529"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4"/>
          <w:szCs w:val="14"/>
          <w:color w:val="auto"/>
        </w:rPr>
        <w:t>S-11</w:t>
      </w:r>
    </w:p>
    <w:p>
      <w:pPr>
        <w:spacing w:after="0" w:line="1" w:lineRule="exact"/>
        <w:rPr>
          <w:sz w:val="20"/>
          <w:szCs w:val="20"/>
          <w:color w:val="auto"/>
        </w:rPr>
      </w:pPr>
    </w:p>
    <w:p>
      <w:pPr>
        <w:ind w:left="9"/>
        <w:spacing w:after="0"/>
        <w:tabs>
          <w:tab w:leader="dot" w:pos="3529" w:val="left"/>
        </w:tabs>
        <w:rPr>
          <w:sz w:val="20"/>
          <w:szCs w:val="20"/>
          <w:color w:val="auto"/>
        </w:rPr>
      </w:pPr>
      <w:r>
        <w:rPr>
          <w:rFonts w:ascii="Courier New" w:cs="Courier New" w:eastAsia="Courier New" w:hAnsi="Courier New"/>
          <w:sz w:val="15"/>
          <w:szCs w:val="15"/>
          <w:color w:val="auto"/>
        </w:rPr>
        <w:t>Description of Notes</w:t>
      </w:r>
      <w:r>
        <w:rPr>
          <w:sz w:val="20"/>
          <w:szCs w:val="20"/>
          <w:color w:val="auto"/>
        </w:rPr>
        <w:tab/>
      </w:r>
      <w:r>
        <w:rPr>
          <w:rFonts w:ascii="Courier New" w:cs="Courier New" w:eastAsia="Courier New" w:hAnsi="Courier New"/>
          <w:sz w:val="14"/>
          <w:szCs w:val="14"/>
          <w:color w:val="auto"/>
        </w:rPr>
        <w:t>S-12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Certain United States Tax</w:t>
      </w:r>
    </w:p>
    <w:p>
      <w:pPr>
        <w:spacing w:after="0" w:line="1" w:lineRule="exact"/>
        <w:rPr>
          <w:sz w:val="20"/>
          <w:szCs w:val="20"/>
          <w:color w:val="auto"/>
        </w:rPr>
      </w:pPr>
    </w:p>
    <w:p>
      <w:pPr>
        <w:ind w:left="169"/>
        <w:spacing w:after="0"/>
        <w:tabs>
          <w:tab w:leader="dot" w:pos="3529" w:val="left"/>
        </w:tabs>
        <w:rPr>
          <w:sz w:val="20"/>
          <w:szCs w:val="20"/>
          <w:color w:val="auto"/>
        </w:rPr>
      </w:pPr>
      <w:r>
        <w:rPr>
          <w:rFonts w:ascii="Courier New" w:cs="Courier New" w:eastAsia="Courier New" w:hAnsi="Courier New"/>
          <w:sz w:val="15"/>
          <w:szCs w:val="15"/>
          <w:color w:val="auto"/>
        </w:rPr>
        <w:t>Considerations</w:t>
      </w:r>
      <w:r>
        <w:rPr>
          <w:sz w:val="20"/>
          <w:szCs w:val="20"/>
          <w:color w:val="auto"/>
        </w:rPr>
        <w:tab/>
      </w:r>
      <w:r>
        <w:rPr>
          <w:rFonts w:ascii="Courier New" w:cs="Courier New" w:eastAsia="Courier New" w:hAnsi="Courier New"/>
          <w:sz w:val="14"/>
          <w:szCs w:val="14"/>
          <w:color w:val="auto"/>
        </w:rPr>
        <w:t>S-20</w:t>
      </w:r>
    </w:p>
    <w:p>
      <w:pPr>
        <w:spacing w:after="0" w:line="1" w:lineRule="exact"/>
        <w:rPr>
          <w:sz w:val="20"/>
          <w:szCs w:val="20"/>
          <w:color w:val="auto"/>
        </w:rPr>
      </w:pPr>
    </w:p>
    <w:p>
      <w:pPr>
        <w:ind w:left="9"/>
        <w:spacing w:after="0"/>
        <w:tabs>
          <w:tab w:leader="dot" w:pos="3529"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4"/>
          <w:szCs w:val="14"/>
          <w:color w:val="auto"/>
        </w:rPr>
        <w:t>S-25</w:t>
      </w:r>
    </w:p>
    <w:p>
      <w:pPr>
        <w:spacing w:after="0" w:line="1" w:lineRule="exact"/>
        <w:rPr>
          <w:sz w:val="20"/>
          <w:szCs w:val="20"/>
          <w:color w:val="auto"/>
        </w:rPr>
      </w:pPr>
    </w:p>
    <w:p>
      <w:pPr>
        <w:ind w:left="9"/>
        <w:spacing w:after="0"/>
        <w:tabs>
          <w:tab w:leader="dot" w:pos="3529"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4"/>
          <w:szCs w:val="14"/>
          <w:color w:val="auto"/>
        </w:rPr>
        <w:t>S-26</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PROSPECTUS</w:t>
      </w:r>
    </w:p>
    <w:p>
      <w:pPr>
        <w:spacing w:after="0" w:line="17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1" w:lineRule="exact"/>
        <w:rPr>
          <w:sz w:val="20"/>
          <w:szCs w:val="20"/>
          <w:color w:val="auto"/>
        </w:rPr>
      </w:pPr>
    </w:p>
    <w:p>
      <w:pPr>
        <w:ind w:left="169"/>
        <w:spacing w:after="0"/>
        <w:tabs>
          <w:tab w:leader="dot" w:pos="3789"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Ratios of Earnings to Fixed Charges</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Description of Debt Securities</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Validity of Securities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17</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$300,000,000</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USA WASTE</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SERVICES, INC.</w:t>
      </w:r>
    </w:p>
    <w:p>
      <w:pPr>
        <w:spacing w:after="0" w:line="1" w:lineRule="exact"/>
        <w:rPr>
          <w:sz w:val="20"/>
          <w:szCs w:val="20"/>
          <w:color w:val="auto"/>
        </w:rPr>
      </w:pPr>
    </w:p>
    <w:p>
      <w:pPr>
        <w:ind w:left="3289" w:hanging="183"/>
        <w:spacing w:after="0"/>
        <w:tabs>
          <w:tab w:leader="none" w:pos="328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w:t>
      </w:r>
    </w:p>
    <w:p>
      <w:pPr>
        <w:ind w:left="23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SUBORDINATED NOTES DUE 2002</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PROSPECTUS SUPPLEMENT</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DONALDSON, LUFKIN &amp; JENRETTE</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SECURITIES 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DEUTSCHE MORGAN GRENFELL</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GOLDMAN, SACHS &amp; CO.</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MERRILL LYNCH &amp; CO.</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 1997</w:t>
      </w:r>
    </w:p>
    <w:p>
      <w:pPr>
        <w:spacing w:after="0" w:line="171" w:lineRule="exact"/>
        <w:rPr>
          <w:sz w:val="20"/>
          <w:szCs w:val="20"/>
          <w:color w:val="auto"/>
        </w:rPr>
      </w:pPr>
    </w:p>
    <w:p>
      <w:pPr>
        <w:ind w:left="169" w:hanging="169"/>
        <w:spacing w:after="0"/>
        <w:tabs>
          <w:tab w:leader="none" w:pos="16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8"/>
      </w:cols>
      <w:pgMar w:left="231" w:top="287" w:right="1440" w:bottom="96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2"/>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Letter"/>
      <w:start w:val="4"/>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lowerRoman"/>
      <w:start w:val="3"/>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713"/>
    </w:lvl>
  </w:abstractNum>
  <w:abstractNum w:abstractNumId="11">
    <w:nsid w:val="DED7263"/>
    <w:multiLevelType w:val="hybridMultilevel"/>
    <w:lvl w:ilvl="0">
      <w:lvlJc w:val="left"/>
      <w:lvlText w:val="&amp;"/>
      <w:numFmt w:val="bullet"/>
      <w:start w:val="1"/>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2019-12-20T04:08:57Z</dcterms:created>
  <dcterms:modified xsi:type="dcterms:W3CDTF">2019-12-20T04:08:57Z</dcterms:modified>
</cp:coreProperties>
</file>