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-5080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22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WASTE MANAGEMENT RETIREMENT SAVINGS</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PLAN FOR BARGAINING UNIT EMPLOYEES</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Suite 4000</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26"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1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8"/>
              </w:rPr>
              <w:t>WASTE MANAGEMENT RETIREMENT SAVINGS PLAN</w:t>
            </w:r>
          </w:p>
        </w:tc>
        <w:tc>
          <w:tcPr>
            <w:tcW w:w="196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20" w:type="dxa"/>
            <w:vAlign w:val="bottom"/>
            <w:tcBorders>
              <w:bottom w:val="single" w:sz="8" w:color="auto"/>
            </w:tcBorders>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 BARGAINING UNIT EMPLOYEES</w:t>
            </w:r>
          </w:p>
        </w:tc>
        <w:tc>
          <w:tcPr>
            <w:tcW w:w="2620" w:type="dxa"/>
            <w:vAlign w:val="bottom"/>
            <w:gridSpan w:val="4"/>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w w:val="98"/>
              </w:rPr>
              <w:t>INDEX TO FINANCIAL STATEMENTS AND SUPPLEMENTAL SCHEDULE</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990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Report of Independent Registered Public Accounting Firm</w:t>
              </w:r>
            </w:hyperlink>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680" w:type="dxa"/>
            <w:vAlign w:val="bottom"/>
            <w:gridSpan w:val="7"/>
          </w:tcPr>
          <w:p>
            <w:pPr>
              <w:spacing w:after="0"/>
              <w:rPr>
                <w:sz w:val="18"/>
                <w:szCs w:val="18"/>
                <w:color w:val="auto"/>
              </w:rPr>
            </w:pPr>
          </w:p>
        </w:tc>
        <w:tc>
          <w:tcPr>
            <w:tcW w:w="1420" w:type="dxa"/>
            <w:vAlign w:val="bottom"/>
          </w:tcPr>
          <w:p>
            <w:pPr>
              <w:spacing w:after="0"/>
              <w:rPr>
                <w:sz w:val="18"/>
                <w:szCs w:val="18"/>
                <w:color w:val="auto"/>
              </w:rPr>
            </w:pPr>
          </w:p>
        </w:tc>
      </w:tr>
      <w:tr>
        <w:trPr>
          <w:trHeight w:val="194"/>
        </w:trPr>
        <w:tc>
          <w:tcPr>
            <w:tcW w:w="360" w:type="dxa"/>
            <w:vAlign w:val="bottom"/>
          </w:tcPr>
          <w:p>
            <w:pPr>
              <w:spacing w:after="0"/>
              <w:rPr>
                <w:sz w:val="16"/>
                <w:szCs w:val="16"/>
                <w:color w:val="auto"/>
              </w:rPr>
            </w:pPr>
          </w:p>
        </w:tc>
        <w:tc>
          <w:tcPr>
            <w:tcW w:w="9540" w:type="dxa"/>
            <w:vAlign w:val="bottom"/>
            <w:gridSpan w:val="13"/>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Statements of Net Assets Available for Benefits as of December 31, 2014 and 2013</w:t>
              </w:r>
            </w:hyperlink>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40" w:type="dxa"/>
            <w:vAlign w:val="bottom"/>
            <w:gridSpan w:val="1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 of Changes in Net Assets Available for Benefits for the Year Ended December 31, 2014</w:t>
              </w:r>
            </w:hyperlink>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Financial Statements</w:t>
              </w:r>
            </w:hyperlink>
          </w:p>
        </w:tc>
        <w:tc>
          <w:tcPr>
            <w:tcW w:w="24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8"/>
        </w:trPr>
        <w:tc>
          <w:tcPr>
            <w:tcW w:w="9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420" w:type="dxa"/>
            <w:vAlign w:val="bottom"/>
          </w:tcPr>
          <w:p>
            <w:pPr>
              <w:spacing w:after="0"/>
              <w:rPr>
                <w:sz w:val="18"/>
                <w:szCs w:val="18"/>
                <w:color w:val="auto"/>
              </w:rPr>
            </w:pPr>
          </w:p>
        </w:tc>
      </w:tr>
      <w:tr>
        <w:trPr>
          <w:trHeight w:val="194"/>
        </w:trPr>
        <w:tc>
          <w:tcPr>
            <w:tcW w:w="360" w:type="dxa"/>
            <w:vAlign w:val="bottom"/>
          </w:tcPr>
          <w:p>
            <w:pPr>
              <w:spacing w:after="0"/>
              <w:rPr>
                <w:sz w:val="16"/>
                <w:szCs w:val="16"/>
                <w:color w:val="auto"/>
              </w:rPr>
            </w:pPr>
          </w:p>
        </w:tc>
        <w:tc>
          <w:tcPr>
            <w:tcW w:w="486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Schedule H, Line 4(i) — Schedule of Assets (Held At End of Year)</w:t>
              </w:r>
            </w:hyperlink>
          </w:p>
        </w:tc>
        <w:tc>
          <w:tcPr>
            <w:tcW w:w="4680" w:type="dxa"/>
            <w:vAlign w:val="bottom"/>
            <w:gridSpan w:val="6"/>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w:t>
            </w:r>
          </w:p>
        </w:tc>
      </w:tr>
    </w:tbl>
    <w:p>
      <w:pPr>
        <w:jc w:val="right"/>
        <w:spacing w:after="0" w:line="194"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Bargaining Unit Employees</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Waste Management Retirement Savings Plan for Bargaining Unit Employees (the Plan) as of December 31, 2014 and 2013, and the related statement of changes in net assets available for benefits for the year ended December 31, 2014. These financial statements are the responsibility of Plan management. Our responsibility is to express an opinion on these financial statements based on our audits.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of assets (held at end of year) as of December 31, 2014 has been subjected to audit procedures performed in conjunction with the audit of the Plan’s financial statements. The supplementary information is presented for the purpose of additional analysis and is not a required part of the financial statements but includes supplementary information required by the Department of Labor’s Rules and Regulations for Reporting and Disclosure under the Employee Retirement Income Security Act of 1974.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in the accompanying schedule is fairly stated in all material respects in relation to the financial statements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Bargaining Unit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interest in the Master Trust (Note 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32,013,921</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19,869,768</w:t>
            </w:r>
          </w:p>
        </w:tc>
      </w:tr>
      <w:tr>
        <w:trPr>
          <w:trHeight w:val="230"/>
        </w:trPr>
        <w:tc>
          <w:tcPr>
            <w:tcW w:w="20" w:type="dxa"/>
            <w:vAlign w:val="bottom"/>
          </w:tcPr>
          <w:p>
            <w:pPr>
              <w:spacing w:after="0"/>
              <w:rPr>
                <w:sz w:val="20"/>
                <w:szCs w:val="20"/>
                <w:color w:val="auto"/>
              </w:rPr>
            </w:pPr>
          </w:p>
        </w:tc>
        <w:tc>
          <w:tcPr>
            <w:tcW w:w="9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32,013,921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19,869,768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contributions</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36,251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32,751</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contributions</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13,310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13,446</w:t>
            </w:r>
          </w:p>
        </w:tc>
      </w:tr>
      <w:tr>
        <w:trPr>
          <w:trHeight w:val="223"/>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1,708,589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receivables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1,758,150</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956,321</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reflecting investments at fair value</w:t>
            </w:r>
          </w:p>
        </w:tc>
        <w:tc>
          <w:tcPr>
            <w:tcW w:w="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33,772,071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20,826,089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w:t>
            </w: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(81,231)</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(46,276)</w:t>
            </w: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33,690,840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20,779,813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0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For Bargaining Unit Employees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Year Ended December 31, 2014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Contributions: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Employee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Employer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Rollover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additions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DEDUCTIONS FROM NET ASSETS AVAILABLE FOR BENEFITS: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3,251,090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Total deductions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3,251,090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BEFORE TRANSFERS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THE PLAN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11,755,054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12,911,027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20,779,813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33,690,840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Bargaining Unit Employees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Waste Management Retirement Savings Plan for Bargaining Unit Employees (the “Plan”) provides only 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Summary Plan Description and the plan document for a more complete description of the Plan’s provisions.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sponsored by Waste Management Holdings, Inc. on behalf of participating affiliates for the benefit of eligible employees and their beneficiaries (collectively “Waste Management”). The Plan is subject to the provisions of the Employee Retirement Income Security Act of 1974, as amended (“ERISA”).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Administrative Committee of the Waste Management Employee Benefit Plans (the “Administrative Committee”) has been named to serve as administrator and fiduciary of the Plan. Waste Management, Inc. (“WM”) has entered into a Defined Contribution Plans Master Trust Agreement (the “Master Trust”) with State Street Bank and Trust Company (“State Street”) whereby State Street serves as trustee of the Plan. Voya Institutional Plan Services, LLC, formerly ING Institutional Plan Services, LLC, serves as recordkeeper.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Employees (as defined by the Plan) are eligible to participate in the Plan if they are covered by a collective bargaining agreement that so provides. The entry date for participation is generally following completion of a 90-day period of service (as defined in the Plan) unless other provisions are set forth in the collective bargaining agreement.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Individuals who are ineligible to participate in the Plan consist of (a) leased employees; (b) individuals providing services to Waste Management and who are designated as independent contractors; (c) any individual who is not regularly employed in, or a citizen of, the United States; and (d) individuals who are participants in certain other pension, retirement, profit-sharing, stock bonus, thrift or savings plans maintained by Waste Management other than the Waste Management Pension Plan for Collectively Bargained Employees or such other plans as may from time to time be determined by the Administrative Committee.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Participants may also contribute amounts representing distributions from other qualified plans (“Rollover Contributions”). The Plan provides for Employer Contributions on behalf of eligible participants under the terms of certain applicable collective bargaining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Plan, through its investments in the Master Trust, offers participants diversified investment options. During 2014, the Plan offered the following: (a) 12 common collective trust funds (including 10 target retirement-date funds); (b) five mutual funds; (c) a WM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2014 and 2013.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2014, Waste Management elected to pay certain audit and legal fees of the Plan.</w:t>
      </w:r>
    </w:p>
    <w:p>
      <w:pPr>
        <w:spacing w:after="0" w:line="280" w:lineRule="exact"/>
        <w:rPr>
          <w:sz w:val="20"/>
          <w:szCs w:val="20"/>
          <w:color w:val="auto"/>
        </w:rPr>
      </w:pPr>
    </w:p>
    <w:p>
      <w:pPr>
        <w:ind w:right="868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ind w:right="5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purpose of the Master Trust is the collective investment of the assets of participating employee benefit plans of Waste Management.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Corporate stocks, mutual funds and publicly-traded partnership interests held by the Master Trust are stated at fair value based on quoted market prices as of the financial statement date. The fair values of the common collective trust funds held by the Master Trust are generally based on net asset values established 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5. Short-term investments (included in amounts reported as common collective trust funds herein) are stated at cost, which approximates fair value.</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Master Trust records purchases and sales of securities on a trade-date basis and dividends on the ex-dividend date. Interest income is recorded on the accrual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Plan Interest in the Master Trust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Plan investments are held in the Master Trust along with the Waste Management Retirement Savings Plan (the “Non-Union Plan”). As of December 31, 2014 and 2013, the Plan’s beneficial interest in the net assets of the Master Trust was 1.61% and 1.05%, respectively.</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of the Master Trust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20" w:type="dxa"/>
            <w:vAlign w:val="bottom"/>
          </w:tcPr>
          <w:p>
            <w:pPr>
              <w:spacing w:after="0"/>
              <w:rPr>
                <w:sz w:val="15"/>
                <w:szCs w:val="15"/>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7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729,470,207</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711,493,257</w:t>
            </w: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Stable value fund</w:t>
            </w:r>
          </w:p>
        </w:tc>
        <w:tc>
          <w:tcPr>
            <w:tcW w:w="17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326,846,943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339,126,374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WM common stock</w:t>
            </w:r>
          </w:p>
        </w:tc>
        <w:tc>
          <w:tcPr>
            <w:tcW w:w="17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128,857,131</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119,504,017</w:t>
            </w: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Corporate stocks – other than WM common stock</w:t>
            </w:r>
          </w:p>
        </w:tc>
        <w:tc>
          <w:tcPr>
            <w:tcW w:w="8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24,240,291</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22,870,460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Mutual funds</w:t>
            </w:r>
          </w:p>
        </w:tc>
        <w:tc>
          <w:tcPr>
            <w:tcW w:w="17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777,063,986</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706,220,160</w:t>
            </w: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Money market portfolio</w:t>
            </w:r>
          </w:p>
        </w:tc>
        <w:tc>
          <w:tcPr>
            <w:tcW w:w="8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7,572,399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5,948</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964,187</w:t>
            </w: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1,994,056,905</w:t>
            </w:r>
          </w:p>
        </w:tc>
        <w:tc>
          <w:tcPr>
            <w:tcW w:w="42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1,900,178,455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receivable</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263,913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226,396</w:t>
            </w:r>
          </w:p>
        </w:tc>
        <w:tc>
          <w:tcPr>
            <w:tcW w:w="0" w:type="dxa"/>
            <w:vAlign w:val="bottom"/>
          </w:tcPr>
          <w:p>
            <w:pPr>
              <w:spacing w:after="0"/>
              <w:rPr>
                <w:sz w:val="1"/>
                <w:szCs w:val="1"/>
                <w:color w:val="auto"/>
              </w:rPr>
            </w:pP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non-interest bearing</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1,994,344,061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1,900,548,786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purchased payable, net</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19,908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652,689</w:t>
            </w:r>
          </w:p>
        </w:tc>
        <w:tc>
          <w:tcPr>
            <w:tcW w:w="0" w:type="dxa"/>
            <w:vAlign w:val="bottom"/>
          </w:tcPr>
          <w:p>
            <w:pPr>
              <w:spacing w:after="0"/>
              <w:rPr>
                <w:sz w:val="1"/>
                <w:szCs w:val="1"/>
                <w:color w:val="auto"/>
              </w:rPr>
            </w:pPr>
          </w:p>
        </w:tc>
      </w:tr>
      <w:tr>
        <w:trPr>
          <w:trHeight w:val="22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fees payable</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742,634</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762,542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1,073,381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assets reflecting investments at fair value</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1,993,581,519</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1,899,475,405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Adjustment from fair value to contract value for fully benefit-responsive</w:t>
            </w: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investment contracts</w:t>
            </w:r>
          </w:p>
        </w:tc>
        <w:tc>
          <w:tcPr>
            <w:tcW w:w="8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(6,296,952)</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(4,570,317)</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assets, fully benefit-responsive investment contracts at contract value</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1,987,284,567</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1,894,905,088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interests in the net assets of the Master Trust by the Non-Union Plan and the Plan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assets reflecting investments at fair value:</w:t>
            </w: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Non-Union Plan interest</w:t>
            </w:r>
          </w:p>
        </w:tc>
        <w:tc>
          <w:tcPr>
            <w:tcW w:w="27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$ 1,961,567,598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1,879,605,637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32,013,921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19,869,768</w:t>
            </w:r>
          </w:p>
        </w:tc>
        <w:tc>
          <w:tcPr>
            <w:tcW w:w="0" w:type="dxa"/>
            <w:vAlign w:val="bottom"/>
          </w:tcPr>
          <w:p>
            <w:pPr>
              <w:spacing w:after="0"/>
              <w:rPr>
                <w:sz w:val="1"/>
                <w:szCs w:val="1"/>
                <w:color w:val="auto"/>
              </w:rPr>
            </w:pPr>
          </w:p>
        </w:tc>
      </w:tr>
      <w:tr>
        <w:trPr>
          <w:trHeight w:val="223"/>
        </w:trPr>
        <w:tc>
          <w:tcPr>
            <w:tcW w:w="7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1,993,581,519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1,899,475,405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Non-Union Plan interest</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(6,215,721)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(4,524,041)</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0" w:type="dxa"/>
            <w:vAlign w:val="bottom"/>
          </w:tcPr>
          <w:p>
            <w:pPr>
              <w:spacing w:after="0"/>
              <w:rPr>
                <w:sz w:val="1"/>
                <w:szCs w:val="1"/>
                <w:color w:val="auto"/>
              </w:rPr>
            </w:pPr>
          </w:p>
        </w:tc>
      </w:tr>
      <w:tr>
        <w:trPr>
          <w:trHeight w:val="223"/>
        </w:trPr>
        <w:tc>
          <w:tcPr>
            <w:tcW w:w="7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(6,296,952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(4,570,317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fully benefit-responsive investment contracts at contract value:</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Non-Union Plan interest</w:t>
            </w:r>
          </w:p>
        </w:tc>
        <w:tc>
          <w:tcPr>
            <w:tcW w:w="27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$ 1,955,351,877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8"/>
              </w:rPr>
              <w:t>1,875,081,596</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31,932,690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19,823,492</w:t>
            </w:r>
          </w:p>
        </w:tc>
        <w:tc>
          <w:tcPr>
            <w:tcW w:w="0" w:type="dxa"/>
            <w:vAlign w:val="bottom"/>
          </w:tcPr>
          <w:p>
            <w:pPr>
              <w:spacing w:after="0"/>
              <w:rPr>
                <w:sz w:val="1"/>
                <w:szCs w:val="1"/>
                <w:color w:val="auto"/>
              </w:rPr>
            </w:pPr>
          </w:p>
        </w:tc>
      </w:tr>
      <w:tr>
        <w:trPr>
          <w:trHeight w:val="223"/>
        </w:trPr>
        <w:tc>
          <w:tcPr>
            <w:tcW w:w="7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 xml:space="preserve"> 1,987,284,567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1,894,905,088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Master Trust’s investments that represented 5% or more of net assets are as follows:</w:t>
            </w: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WM Common Stock</w:t>
            </w:r>
          </w:p>
        </w:tc>
        <w:tc>
          <w:tcPr>
            <w:tcW w:w="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$128,857,131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$119,504,017</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Stable Value Fund (at contract value) (a)</w:t>
            </w: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320,549,991</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334,556,057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Funds EuroPacific Growth R6</w:t>
            </w:r>
          </w:p>
        </w:tc>
        <w:tc>
          <w:tcPr>
            <w:tcW w:w="1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127,299,843</w:t>
            </w:r>
          </w:p>
        </w:tc>
        <w:tc>
          <w:tcPr>
            <w:tcW w:w="13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108,660,536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Vanguard S&amp;P Small Cap 600 Fund</w:t>
            </w: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119,719,987</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122,231,647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Institutional Total Stock Market Index Fund</w:t>
            </w:r>
          </w:p>
        </w:tc>
        <w:tc>
          <w:tcPr>
            <w:tcW w:w="1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350,173,838</w:t>
            </w:r>
          </w:p>
        </w:tc>
        <w:tc>
          <w:tcPr>
            <w:tcW w:w="13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317,231,916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Vanguard Total Bond Market Index Institutional Plus Fund</w:t>
            </w: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124,640,792</w:t>
            </w:r>
          </w:p>
        </w:tc>
        <w:tc>
          <w:tcPr>
            <w:tcW w:w="148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98,025,550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SmartRetirement 2020 Fund</w:t>
            </w:r>
          </w:p>
        </w:tc>
        <w:tc>
          <w:tcPr>
            <w:tcW w:w="1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157,597,738</w:t>
            </w:r>
          </w:p>
        </w:tc>
        <w:tc>
          <w:tcPr>
            <w:tcW w:w="13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168,530,063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SmartRetirement 2030 Fund</w:t>
            </w: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208,785,431</w:t>
            </w:r>
          </w:p>
        </w:tc>
        <w:tc>
          <w:tcPr>
            <w:tcW w:w="1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205,986,669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68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Master Trust’s investment in the Stable Value Fund was $326,846,943 and $339,126,374 at December 31, 2014 and 2013,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5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net assets of the Master Trust for the year ended December 31, 2014, are as follows: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Stable value fund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WM common stock</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stocks – other than WM common stock</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34,477,148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appreciation in fair value of investments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 WM common stock</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Dividends – other than WM common stock</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additions</w:t>
            </w:r>
          </w:p>
        </w:tc>
        <w:tc>
          <w:tcPr>
            <w:tcW w:w="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127,943,372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fees</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deductions</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BEFORE TRANSFERS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124,661,605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 (a)</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167,968,821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(b)</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(200,250,947)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w:t>
            </w: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92,379,479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1,894,905,088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9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Non-Union Plan interest in net investment gain from the Master Trust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123,073,359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Plan interest in net investment gain from the Master Trust</w:t>
            </w:r>
          </w:p>
        </w:tc>
        <w:tc>
          <w:tcPr>
            <w:tcW w:w="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124,661,605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Includes contributions, rollovers, transfers and net participant loan activity.</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w:t>
        <w:tab/>
        <w:t>Includes benefit payments to participants.</w:t>
      </w:r>
    </w:p>
    <w:p>
      <w:pPr>
        <w:spacing w:after="0" w:line="1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446" w:right="1440"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investments that represented 5% or more of the Plan’s net assets available for benefits as of December 31, 2014 and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6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Stable Value Fund (at contract value) (a)</w:t>
            </w:r>
          </w:p>
        </w:tc>
        <w:tc>
          <w:tcPr>
            <w:tcW w:w="1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$4,135,103</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$3,387,483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American Funds EuroPacific Growth R6 (b)</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2,017,898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800,582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Blue Chip Growth (b)</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462,254</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Vanguard Institutional Total Stock Market Index Fund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1,816,473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Total Bond Market Index Institutional Plus Fund (c)</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1,646,269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1,046,787</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SmartRetirement 2020 Fund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4,497,458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4,301,936</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SmartRetirement 2025 Fund (b)</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277,082</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SmartRetirement 2030 Fund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4,326,804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3,030,222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SmartRetirement Income Fund (c)</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1,525,932</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Plan’s investment in the Stable Value Fund was $4,216,334 and $3,433,759 at December 31, 2014 and 2013, respectively.</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amount represents less than 5% of the Plan’s net assets available for benefits at December 31,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amount represents less than 5% of the Plan’s net assets available for benefits at December 31, 2014.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Contracts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16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Guaranteed Investment Contracts </w:t>
      </w:r>
      <w:r>
        <w:rPr>
          <w:rFonts w:ascii="Times New Roman" w:cs="Times New Roman" w:eastAsia="Times New Roman" w:hAnsi="Times New Roman"/>
          <w:sz w:val="18"/>
          <w:szCs w:val="18"/>
          <w:color w:val="auto"/>
        </w:rPr>
        <w:t>— GICs are contracts that provide a specified rate of return for a specific period of time. The fair values of the GICs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Plan’s Stable Value Fund are measured by the investment manager using a discounted cash flow methodology at market rates.</w:t>
      </w:r>
    </w:p>
    <w:p>
      <w:pPr>
        <w:spacing w:after="0" w:line="158"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Synthetic Guaranteed Investment Contracts </w:t>
      </w:r>
      <w:r>
        <w:rPr>
          <w:rFonts w:ascii="Times New Roman" w:cs="Times New Roman" w:eastAsia="Times New Roman" w:hAnsi="Times New Roman"/>
          <w:sz w:val="18"/>
          <w:szCs w:val="18"/>
          <w:color w:val="auto"/>
        </w:rPr>
        <w:t>— Synthetic GICs are comprised of (a) individual assets or investments placed in a trust and (b) wrapper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Synthetic GICs included in the Plan’s stable value fund are measured as follows:</w:t>
      </w:r>
    </w:p>
    <w:p>
      <w:pPr>
        <w:spacing w:after="0" w:line="129" w:lineRule="exact"/>
        <w:rPr>
          <w:sz w:val="20"/>
          <w:szCs w:val="20"/>
          <w:color w:val="auto"/>
        </w:rPr>
      </w:pPr>
    </w:p>
    <w:p>
      <w:pPr>
        <w:ind w:left="440" w:hanging="324"/>
        <w:spacing w:after="0" w:line="259"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individual assets and investments </w:t>
      </w:r>
      <w:r>
        <w:rPr>
          <w:rFonts w:ascii="Times New Roman" w:cs="Times New Roman" w:eastAsia="Times New Roman" w:hAnsi="Times New Roman"/>
          <w:sz w:val="18"/>
          <w:szCs w:val="18"/>
          <w:color w:val="auto"/>
        </w:rPr>
        <w:t>— Individual assets and investments are valued at representative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85" w:lineRule="exact"/>
        <w:rPr>
          <w:rFonts w:ascii="Times New Roman" w:cs="Times New Roman" w:eastAsia="Times New Roman" w:hAnsi="Times New Roman"/>
          <w:sz w:val="18"/>
          <w:szCs w:val="18"/>
          <w:color w:val="auto"/>
        </w:rPr>
      </w:pPr>
    </w:p>
    <w:p>
      <w:pPr>
        <w:ind w:left="440" w:right="200" w:hanging="324"/>
        <w:spacing w:after="0" w:line="267"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wrapper contracts </w:t>
      </w:r>
      <w:r>
        <w:rPr>
          <w:rFonts w:ascii="Times New Roman" w:cs="Times New Roman" w:eastAsia="Times New Roman" w:hAnsi="Times New Roman"/>
          <w:sz w:val="18"/>
          <w:szCs w:val="18"/>
          <w:color w:val="auto"/>
        </w:rPr>
        <w:t>— The fair value of wrapper contracts is determined using the income approach discounting methodology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incorporates 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stable value fund’s average yield based on actual earnings was 1.58% and 1.62% during 2014 and 2013, respectively, and its average yield based on the interest rate credited to participants was 2.00% and 2.06% during 2014 and 2013, respectively.</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Plan defines fair value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ind w:left="46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the Plan’s estimate of assumptions that market participants would use 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The Plan had no Level 3 assets at December 31, 2014 or 2013.</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by level, within the fair value hierarchy, a summary of investments of the Master Trust measured at fair value on a recurring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67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Quoted Prices in Active Markets (Level 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WM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128,857,131</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119,504,017</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stocks – other than WM common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24,240,291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22,870,460</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 –</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EuroPacific growth fund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127,299,843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108,660,536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markets fund</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39,207,790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41,692,377</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Small cap investment fund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119,719,987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122,231,647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market index fund</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350,173,838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317,231,916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Bond market index fund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124,640,792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98,025,550</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Self-directed mutual funds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16,021,736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18,378,134</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777,063,986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706,220,160</w:t>
            </w: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964,187</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Subtotal Level 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930,167,356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849,558,824</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Other Observable Inputs (Level 2):</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collective trust funds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 fund (a)</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2,090,414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1,822,199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income investment fund (b)</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73,418,103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68,734,970</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Growth investment fund (c)</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88,579,688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82,605,485</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Target date retirement funds (d)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565,382,002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558,330,603</w:t>
            </w: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729,470,207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711,493,257</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portfolio (e)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7,572,399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Stable value fund (f)</w:t>
            </w: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326,846,943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339,126,374</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Subtotal Level 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1,063,889,549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1,050,619,631</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Total Investments of the Master Trust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1,994,056,905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1,900,178,455</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jc w:val="both"/>
        <w:ind w:left="460" w:right="20" w:hanging="452"/>
        <w:spacing w:after="0" w:line="25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 common collective trust that seeks to provide safety of principal, daily liquidity, and a competitive yield by investing in high quality money market instruments. The fund’s trust document requires fifteen days advance notice prior to redemption, and authorizes the fund’s trustee to shorten this notice period at its sole discretion. At December 31, 2014 and December 31, 2013, the trustee had waived the notice period.</w:t>
      </w:r>
    </w:p>
    <w:p>
      <w:pPr>
        <w:spacing w:after="0" w:line="1" w:lineRule="exact"/>
        <w:rPr>
          <w:rFonts w:ascii="Times New Roman" w:cs="Times New Roman" w:eastAsia="Times New Roman" w:hAnsi="Times New Roman"/>
          <w:sz w:val="18"/>
          <w:szCs w:val="18"/>
          <w:color w:val="auto"/>
        </w:rPr>
      </w:pPr>
    </w:p>
    <w:p>
      <w:pPr>
        <w:ind w:left="460" w:right="32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 common collective trust that seeks to provide substantial dividend income and long-term growth of capital through investments in the common stocks of established companies. Under normal conditions, the fund will invest at least 80% of assets in common stocks and, in particular, those that appear to be undervalued and may be temporarily out of favor but have good prospects for capital appreciation and dividend growth. The fund’s trust document requires ninety days advance notice prior to redemption, and authorizes the fund’s trustee to shorten or waive this notice period at its sole discretion. As of December 31, 2014 and December 31, 2013, the trustee had waived the notice period for participants.</w:t>
      </w:r>
    </w:p>
    <w:p>
      <w:pPr>
        <w:spacing w:after="0" w:line="2"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a common collective trust that seeks to provide long-term capital growth and, secondarily, income. Under normal conditions, the fund will invest at least 80% of net assets in the common stocks of large and medium-sized blue chip growth companies. The fund’s trust document requires ninety days advance notice prior to a redemption, and authorizes the fund’s trustee to shorten or waive this notice period at its sole discretion. As of December 31, 2014 and December 31, 2013, the trustee had waived the notice period for participants.</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represents common collective trusts, and the objective of each individual fund is to produce risk-appropriate investment returns by using the following major asset classes: stocks, bonds, real estate, and cash or cash equivalents. Diversification is primarily achieved by investing in other collective trust funds maintained by JPMorgan Chase Bank, but may also be achieved by investing in exchange traded funds, exchange traded notes, derivatives, and other securities. Except for the target date income fund, the funds are age-based funds for investors retiring approximately at or near the year identified by each fund as its target retirement date. At December 31, 2014 and December 31, 2013, there were no redemption restrictions on these funds for participants but each fund requires the Plan to provide sixty days advance notice to liquidate its entire share.</w:t>
      </w:r>
    </w:p>
    <w:p>
      <w:pPr>
        <w:spacing w:after="0" w:line="2" w:lineRule="exact"/>
        <w:rPr>
          <w:rFonts w:ascii="Times New Roman" w:cs="Times New Roman" w:eastAsia="Times New Roman" w:hAnsi="Times New Roman"/>
          <w:sz w:val="18"/>
          <w:szCs w:val="18"/>
          <w:color w:val="auto"/>
        </w:rPr>
      </w:pPr>
    </w:p>
    <w:p>
      <w:pPr>
        <w:ind w:left="460" w:right="80" w:hanging="452"/>
        <w:spacing w:after="0" w:line="25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objective of this fund is to seek maximum current income to the extent consistent with liquidity and preservation of capital and a stable share price of $1.00 per share. This fund has the flexibility to invest broadly in U.S. dollar-denominated securities of domestic and foreign issuers. At December 31, 2014, there were no redemption restrictions on this fund.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objective of this fund is to protect principal while providing a higher rate of return than shorter maturity investments, such as money market funds or certificates of deposit. To achieve this, the fund invests in instruments which are not expected to experience significant price fluctuation in most economic or interest rate environments. The fund primarily invests in investment contracts, including fully benefit-responsive GICS and Synthetic GICs. The fund also invests in the Wells Fargo Stable Return Fund G (“Wells Fargo Fund”), which has an investment objective similar to that of the fund. The fund uses its investment in the Wells Fargo Fund for daily liquidity needs. The participants in this fund have daily liquidity at contract value (except as discussed in Note 5), however, the trustee of the Wells Fargo Fund reserves the right to require a one-year redemption notice for the Plan to liquidate its entire share in that Fund. See Note 5 for additional information related to the Stable Value Fund.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Federal 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(the “IRS”) dated April 30, 2015, stating that the Plan, as amended and restated as of January 1, 2015, is in compliance with the applicable requirements of the Internal Revenue Code (the “Code”), subject to the adoption of proposed submitted amendments. The Plan sponsor has committed to timely adopting the proposed amendments. No other amendments have been adopted under the Plan since the issuance of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2014,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Reconciliation of Financial Statements to Form 5500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 December 31, 2014 and 2013: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$33,690,840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$20,779,813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81,231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33,772,071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20,826,089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available for benefits per the financial statements to the Form 5500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$ 12,911,027</w:t>
            </w:r>
          </w:p>
        </w:tc>
        <w:tc>
          <w:tcPr>
            <w:tcW w:w="80" w:type="dxa"/>
            <w:vAlign w:val="bottom"/>
            <w:shd w:val="clear" w:color="auto" w:fill="CCEEFF"/>
          </w:tcPr>
          <w:p>
            <w:pPr>
              <w:spacing w:after="0"/>
              <w:rPr>
                <w:sz w:val="18"/>
                <w:szCs w:val="18"/>
                <w:color w:val="auto"/>
              </w:rPr>
            </w:pPr>
          </w:p>
        </w:tc>
      </w:tr>
      <w:tr>
        <w:trPr>
          <w:trHeight w:val="216"/>
        </w:trPr>
        <w:tc>
          <w:tcPr>
            <w:tcW w:w="10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 at December 31, 2013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(46,276)</w:t>
            </w:r>
          </w:p>
        </w:tc>
      </w:tr>
      <w:tr>
        <w:trPr>
          <w:trHeight w:val="216"/>
        </w:trPr>
        <w:tc>
          <w:tcPr>
            <w:tcW w:w="10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from fair value to contract value for fully benefit-responsive investment contracts at December 31, 2014</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81,231</w:t>
            </w:r>
          </w:p>
        </w:tc>
        <w:tc>
          <w:tcPr>
            <w:tcW w:w="80" w:type="dxa"/>
            <w:vAlign w:val="bottom"/>
            <w:shd w:val="clear" w:color="auto" w:fill="CCEEFF"/>
          </w:tcPr>
          <w:p>
            <w:pPr>
              <w:spacing w:after="0"/>
              <w:rPr>
                <w:sz w:val="18"/>
                <w:szCs w:val="18"/>
                <w:color w:val="auto"/>
              </w:rPr>
            </w:pPr>
          </w:p>
        </w:tc>
      </w:tr>
      <w:tr>
        <w:trPr>
          <w:trHeight w:val="22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 per the Form 5500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$ 12,945,982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Plan Termination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subject to the terms of any applicable collective bargaining agreement, the Plan sponsor, has the right to terminate the Plan subject to the provisions of ERISA.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of the Plan are managed by State Street, which is the trustee of the Plan, and TD Ameritrade, Inc., which provides securities brokerage services for the self-managed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Because WM is the parent of the Plan sponsor, transactions involving WM common stock also qualify as party-in-interest transactions. All of these transactions are exempt from the prohibited transactions rules.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45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18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10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color w:val="auto"/>
                <w:w w:val="99"/>
              </w:rPr>
              <w:t>For Bargaining Unit Employees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EIN: 36-2660763</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 007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gridSpan w:val="4"/>
          </w:tcPr>
          <w:p>
            <w:pPr>
              <w:jc w:val="center"/>
              <w:ind w:right="1180"/>
              <w:spacing w:after="0"/>
              <w:rPr>
                <w:sz w:val="20"/>
                <w:szCs w:val="20"/>
                <w:color w:val="auto"/>
              </w:rPr>
            </w:pPr>
            <w:r>
              <w:rPr>
                <w:rFonts w:ascii="Times New Roman" w:cs="Times New Roman" w:eastAsia="Times New Roman" w:hAnsi="Times New Roman"/>
                <w:sz w:val="18"/>
                <w:szCs w:val="18"/>
                <w:color w:val="auto"/>
              </w:rPr>
              <w:t>December 31, 2014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1180" w:type="dxa"/>
            <w:vAlign w:val="bottom"/>
            <w:gridSpan w:val="2"/>
          </w:tcPr>
          <w:p>
            <w:pPr>
              <w:spacing w:after="0"/>
              <w:rPr>
                <w:sz w:val="24"/>
                <w:szCs w:val="24"/>
                <w:color w:val="auto"/>
              </w:rPr>
            </w:pPr>
          </w:p>
        </w:tc>
        <w:tc>
          <w:tcPr>
            <w:tcW w:w="8240" w:type="dxa"/>
            <w:vAlign w:val="bottom"/>
            <w:gridSpan w:val="4"/>
          </w:tcPr>
          <w:p>
            <w:pPr>
              <w:ind w:left="346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0"/>
        </w:trPr>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8"/>
        </w:trPr>
        <w:tc>
          <w:tcPr>
            <w:tcW w:w="218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*Notes receivable from</w:t>
            </w:r>
          </w:p>
        </w:tc>
        <w:tc>
          <w:tcPr>
            <w:tcW w:w="3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2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82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Various maturity dates with interest rates ranging from 3.25% to 4.25%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$ 1,708,589</w:t>
            </w:r>
          </w:p>
        </w:tc>
        <w:tc>
          <w:tcPr>
            <w:tcW w:w="1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Party-in-interest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46"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Administrative Committee has duly caused this annual report to be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behalf by the undersigned hereunto duly authorized.</w:t>
      </w:r>
    </w:p>
    <w:p>
      <w:pPr>
        <w:spacing w:after="0" w:line="18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WASTE MANAGEMENT RETIREMENT</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SAVINGS PLAN FOR BARGAINING</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UNIT EMPLOYEES</w:t>
      </w:r>
    </w:p>
    <w:p>
      <w:pPr>
        <w:spacing w:after="0" w:line="207"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June 19, 2015</w:t>
      </w:r>
      <w:r>
        <w:rPr>
          <w:sz w:val="20"/>
          <w:szCs w:val="20"/>
          <w:color w:val="auto"/>
        </w:rPr>
        <w:tab/>
      </w:r>
      <w:r>
        <w:rPr>
          <w:rFonts w:ascii="Times New Roman" w:cs="Times New Roman" w:eastAsia="Times New Roman" w:hAnsi="Times New Roman"/>
          <w:sz w:val="18"/>
          <w:szCs w:val="18"/>
          <w:color w:val="auto"/>
        </w:rPr>
        <w:t>By: /s/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Gordon Blasius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 Compensation &amp; Benefits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Member, Administrative Committee of the Waste</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Management Employee Benefit Plans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85" w:lineRule="auto"/>
        <w:tabs>
          <w:tab w:leader="none" w:pos="10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Number</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1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19"/>
          </w:cols>
          <w:pgMar w:left="240" w:top="455"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333-184156) pertaining to the Waste Management Retirement Savings Plan for Bargaining Unit Employees of our report dated June 19, 2015, with respect to the financial statements and supplemental schedule of the Waste Management Retirement Savings Plan for Bargaining Unit Employees included in this Annual Report (Form 11-K) for the year ended December 31,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&amp;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2019-12-06T01:55:56Z</dcterms:created>
  <dcterms:modified xsi:type="dcterms:W3CDTF">2019-12-06T01:55:56Z</dcterms:modified>
</cp:coreProperties>
</file>