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28,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22"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Waste Management, Inc. (the “Company”) issued a press release this morning, July 28, 2006, announcing its earnings for the quarter ended June 30, 2006.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hereto as exhibit 99.1.</w:t>
      </w:r>
    </w:p>
    <w:p>
      <w:pPr>
        <w:spacing w:after="0" w:line="103" w:lineRule="exact"/>
        <w:rPr>
          <w:sz w:val="20"/>
          <w:szCs w:val="20"/>
          <w:color w:val="auto"/>
        </w:rPr>
      </w:pPr>
    </w:p>
    <w:p>
      <w:pPr>
        <w:ind w:firstLine="215"/>
        <w:spacing w:after="0" w:line="276" w:lineRule="auto"/>
        <w:rPr>
          <w:sz w:val="20"/>
          <w:szCs w:val="20"/>
          <w:color w:val="auto"/>
        </w:rPr>
      </w:pPr>
      <w:r>
        <w:rPr>
          <w:rFonts w:ascii="Arial" w:cs="Arial" w:eastAsia="Arial" w:hAnsi="Arial"/>
          <w:sz w:val="17"/>
          <w:szCs w:val="17"/>
          <w:color w:val="auto"/>
        </w:rPr>
        <w:t>Additionally, as announced in a press release dated June 27, 2006, the Company is holding a conference call, open to the public, to discuss these results, from 9:00 a.m. to 10:00 a.m. Central time this morning. The call will be webcast live, and may be heard by accessing the Company’s website at www.wm.com. The call may also be listened to live by calling (877) 710-6139 and asking for the “Waste Management Conference Call — Call ID 2095328.” A replay of the conference call will be available through 5:00 p.m. Central time on August 11, 2006. The replay of the call may be heard over the Internet, by accessing the Company’s website at www.wm.com, or by telephone by dialing 800-642-1687 and entering conference code 2095328.</w:t>
      </w:r>
    </w:p>
    <w:p>
      <w:pPr>
        <w:spacing w:after="0" w:line="64" w:lineRule="exact"/>
        <w:rPr>
          <w:sz w:val="20"/>
          <w:szCs w:val="20"/>
          <w:color w:val="auto"/>
        </w:rPr>
      </w:pPr>
    </w:p>
    <w:p>
      <w:pPr>
        <w:ind w:right="200" w:firstLine="225"/>
        <w:spacing w:after="0" w:line="279" w:lineRule="auto"/>
        <w:rPr>
          <w:sz w:val="20"/>
          <w:szCs w:val="20"/>
          <w:color w:val="auto"/>
        </w:rPr>
      </w:pPr>
      <w:r>
        <w:rPr>
          <w:rFonts w:ascii="Arial" w:cs="Arial" w:eastAsia="Arial" w:hAnsi="Arial"/>
          <w:sz w:val="17"/>
          <w:szCs w:val="17"/>
          <w:color w:val="auto"/>
        </w:rPr>
        <w:t>On the conference call, management of the Company is expected to discuss its results of operations using certain non-GAAP financial measures, including: free cash flow; adjusted earnings per diluted share; adjusted earnings per diluted share growth; and adjusted income from operations as a percentage of revenue. The Company has provided an explanation of its use of these non-GAAP measures and has reconciled them to the most comparable GAAP measures in the press release, which is attached to this Form 8-K as exhibit 99.1, and the schedules thereto.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July 28,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July 28, 2006</w:t>
            </w:r>
          </w:p>
        </w:tc>
        <w:tc>
          <w:tcPr>
            <w:tcW w:w="2320" w:type="dxa"/>
            <w:vAlign w:val="bottom"/>
          </w:tcPr>
          <w:p>
            <w:pPr>
              <w:ind w:left="198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/s/ Rick L Wittenbraker</w:t>
            </w:r>
          </w:p>
        </w:tc>
        <w:tc>
          <w:tcPr>
            <w:tcW w:w="168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40" w:type="dxa"/>
            <w:vAlign w:val="bottom"/>
          </w:tcPr>
          <w:p>
            <w:pPr>
              <w:jc w:val="right"/>
              <w:ind w:right="1210"/>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jc w:val="right"/>
              <w:ind w:right="1130"/>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848"/>
        </w:trPr>
        <w:tc>
          <w:tcPr>
            <w:tcW w:w="338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Pr>
          <w:p>
            <w:pPr>
              <w:spacing w:after="0"/>
              <w:rPr>
                <w:sz w:val="20"/>
                <w:szCs w:val="20"/>
                <w:color w:val="auto"/>
              </w:rPr>
            </w:pPr>
            <w:r>
              <w:rPr>
                <w:rFonts w:ascii="Arial" w:cs="Arial" w:eastAsia="Arial" w:hAnsi="Arial"/>
                <w:sz w:val="14"/>
                <w:szCs w:val="14"/>
                <w:b w:val="1"/>
                <w:bCs w:val="1"/>
                <w:color w:val="auto"/>
                <w:w w:val="96"/>
              </w:rPr>
              <w:t>Exhibit Number</w:t>
            </w:r>
          </w:p>
        </w:tc>
        <w:tc>
          <w:tcPr>
            <w:tcW w:w="10400" w:type="dxa"/>
            <w:vAlign w:val="bottom"/>
            <w:gridSpan w:val="2"/>
          </w:tcPr>
          <w:p>
            <w:pPr>
              <w:ind w:left="5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40" w:type="dxa"/>
            <w:vAlign w:val="bottom"/>
            <w:shd w:val="clear" w:color="auto" w:fill="000000"/>
          </w:tcPr>
          <w:p>
            <w:pPr>
              <w:spacing w:after="0" w:line="20" w:lineRule="exact"/>
              <w:rPr>
                <w:sz w:val="1"/>
                <w:szCs w:val="1"/>
                <w:color w:val="auto"/>
              </w:rPr>
            </w:pP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10400" w:type="dxa"/>
            <w:vAlign w:val="bottom"/>
            <w:gridSpan w:val="2"/>
          </w:tcPr>
          <w:p>
            <w:pPr>
              <w:ind w:left="560"/>
              <w:spacing w:after="0"/>
              <w:rPr>
                <w:sz w:val="20"/>
                <w:szCs w:val="20"/>
                <w:color w:val="auto"/>
              </w:rPr>
            </w:pPr>
            <w:r>
              <w:rPr>
                <w:rFonts w:ascii="Arial" w:cs="Arial" w:eastAsia="Arial" w:hAnsi="Arial"/>
                <w:sz w:val="18"/>
                <w:szCs w:val="18"/>
                <w:color w:val="auto"/>
              </w:rPr>
              <w:t>Press Release dated July 28, 2006</w:t>
            </w:r>
          </w:p>
        </w:tc>
      </w:tr>
    </w:tbl>
    <w:p>
      <w:pPr>
        <w:sectPr>
          <w:pgSz w:w="11900" w:h="16838" w:orient="portrait"/>
          <w:cols w:equalWidth="0" w:num="1">
            <w:col w:w="11420"/>
          </w:cols>
          <w:pgMar w:left="240" w:top="419"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2953385</wp:posOffset>
            </wp:positionH>
            <wp:positionV relativeFrom="page">
              <wp:posOffset>637540</wp:posOffset>
            </wp:positionV>
            <wp:extent cx="166370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63700" cy="58293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Greg Nikkel — 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WMI #06-10</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Second Quarter 2006 Earnings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from Operations as a Percent of Revenue Continues Expansion Trend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Announces Plan to Increase 2006 Stock Repurchases by up to $350 Million, Bringing 2006 Cash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Authorized for Return to Shareholders to $1.55 Billion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HOUSTON — July 28, 2006 — </w:t>
      </w:r>
      <w:r>
        <w:rPr>
          <w:rFonts w:ascii="Arial" w:cs="Arial" w:eastAsia="Arial" w:hAnsi="Arial"/>
          <w:sz w:val="17"/>
          <w:szCs w:val="17"/>
          <w:color w:val="auto"/>
        </w:rPr>
        <w:t>Waste Management, Inc. (NYSE: WMI) today announced financial results for its second quarter ended June 30, 2006.</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Revenues for the quarter were $3.41 billion as compared with $3.29 billion in the year ago period, an increase of 3.7%. Net income for the quarter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$417 million, or $0.76 per diluted share, compared with $527 million, or $0.92 per diluted share, in the prior year period. The Company noted several 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items that impacted the results in the current and prior years’ second quarters. Excluding these items, net income would have been $0.45 per diluted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in the second quarter of 2006 compared with $0.38 per diluted share in the prior year quarter, or an 18.4% increase in earnings per diluted share.</w:t>
      </w:r>
      <w:r>
        <w:rPr>
          <w:rFonts w:ascii="Arial" w:cs="Arial" w:eastAsia="Arial" w:hAnsi="Arial"/>
          <w:sz w:val="13"/>
          <w:szCs w:val="13"/>
          <w:color w:val="auto"/>
        </w:rPr>
        <w:t>(a)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 noted the following items that impacted the results for the quarter:</w:t>
      </w:r>
    </w:p>
    <w:p>
      <w:pPr>
        <w:spacing w:after="0" w:line="117" w:lineRule="exact"/>
        <w:rPr>
          <w:sz w:val="20"/>
          <w:szCs w:val="20"/>
          <w:color w:val="auto"/>
        </w:rPr>
      </w:pPr>
    </w:p>
    <w:p>
      <w:pPr>
        <w:ind w:left="660" w:hanging="436"/>
        <w:spacing w:after="0"/>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A $153 million benefit in net income primarily resulting from income tax audit settlements and Canadian statutory income tax rate reductions.</w:t>
      </w:r>
    </w:p>
    <w:p>
      <w:pPr>
        <w:spacing w:after="0" w:line="142" w:lineRule="exact"/>
        <w:rPr>
          <w:rFonts w:ascii="Arial" w:cs="Arial" w:eastAsia="Arial" w:hAnsi="Arial"/>
          <w:sz w:val="17"/>
          <w:szCs w:val="17"/>
          <w:b w:val="1"/>
          <w:bCs w:val="1"/>
          <w:color w:val="auto"/>
        </w:rPr>
      </w:pPr>
    </w:p>
    <w:p>
      <w:pPr>
        <w:ind w:left="660" w:right="40" w:hanging="436"/>
        <w:spacing w:after="0" w:line="264"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Net after-tax gains of $15 million related to the previously announced divestiture program. Income/expense from divestitures, asset impairments and unusual items included $23 million in after-tax gains on sales of operations, partially offset by an $8 million after-tax asset impairment charge for a collection operation held for sale.</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Combined, these items improved second quarter 2006 after-tax earnings by $168 million. Without the impact of these items, net income for the quarter would have been $249 million, or $0.45 per diluted share.</w:t>
      </w:r>
      <w:r>
        <w:rPr>
          <w:rFonts w:ascii="Arial" w:cs="Arial" w:eastAsia="Arial" w:hAnsi="Arial"/>
          <w:sz w:val="15"/>
          <w:szCs w:val="15"/>
          <w:color w:val="auto"/>
        </w:rPr>
        <w:t>(a)</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prior year’s second quarter earnings included a net after-tax benefit of $308 million primarily due to tax audit settlements. Without such benefit, net income in last year’s quarter would have been $219 million, or $0.38 per diluted share.</w:t>
      </w:r>
      <w:r>
        <w:rPr>
          <w:rFonts w:ascii="Arial" w:cs="Arial" w:eastAsia="Arial" w:hAnsi="Arial"/>
          <w:sz w:val="15"/>
          <w:szCs w:val="15"/>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ind w:right="180"/>
        <w:spacing w:after="0" w:line="264" w:lineRule="auto"/>
        <w:rPr>
          <w:sz w:val="20"/>
          <w:szCs w:val="20"/>
          <w:color w:val="auto"/>
        </w:rPr>
      </w:pPr>
      <w:r>
        <w:rPr>
          <w:rFonts w:ascii="Arial" w:cs="Arial" w:eastAsia="Arial" w:hAnsi="Arial"/>
          <w:sz w:val="18"/>
          <w:szCs w:val="18"/>
          <w:color w:val="auto"/>
        </w:rPr>
        <w:t>Income from operations as a percent of revenue increased 250 basis points to 16.6% in the second quarter of 2006 as compared with the second quarter of 2005. Income from operations as a percent of revenue, as adjusted for the one-time items, increased 160 basis points to 15.8% in the second quarter of 2006 as compared with the second quarter of 2005.</w:t>
      </w:r>
      <w:r>
        <w:rPr>
          <w:rFonts w:ascii="Arial" w:cs="Arial" w:eastAsia="Arial" w:hAnsi="Arial"/>
          <w:sz w:val="15"/>
          <w:szCs w:val="15"/>
          <w:color w:val="auto"/>
        </w:rPr>
        <w:t>(a)</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saw the continuation of a number of very positive trends during the second quarter. We again achieved our primary financial goals of solid earnings growth, margin expansion and strong free cash flow,” said David P. Steiner, Chief Executive Officer of Waste Management. “Strong pricing was again the key driver of our financial performance and more than offset the decline in volumes. This led to the triple-digit margin expansion in the quarter.</w:t>
      </w:r>
    </w:p>
    <w:p>
      <w:pPr>
        <w:spacing w:after="0" w:line="5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operational improvement programs also contributed to our strong earnings during the second quarter. Operating costs as a percent of revenue declined by 160 basis points in the second quarter of 2006 versus the second quarter of 2005. This marks the fourth consecutive quarter in which our year-over-year operating costs as a percent of revenue have declined. As part of our divestiture program, we have now sold or have definitive agreements to sell operations totaling approximately $240 million in revenue. In addition, we have operations totaling about $230 million in revenue under letters of intent. The divestiture program is progressing well and we are on track to meet our goals for the year.</w:t>
      </w:r>
    </w:p>
    <w:p>
      <w:pPr>
        <w:spacing w:after="0" w:line="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generated $557 million in net cash provided by operating activities and $398 million in free cash flow during this year’s second quarter, bringing our free cash flow total to $808 million for the first six months of 2006.</w:t>
      </w:r>
      <w:r>
        <w:rPr>
          <w:rFonts w:ascii="Arial" w:cs="Arial" w:eastAsia="Arial" w:hAnsi="Arial"/>
          <w:sz w:val="15"/>
          <w:szCs w:val="15"/>
          <w:color w:val="auto"/>
        </w:rPr>
        <w:t>(a)</w:t>
      </w:r>
      <w:r>
        <w:rPr>
          <w:rFonts w:ascii="Arial" w:cs="Arial" w:eastAsia="Arial" w:hAnsi="Arial"/>
          <w:sz w:val="18"/>
          <w:szCs w:val="18"/>
          <w:color w:val="auto"/>
        </w:rPr>
        <w:t xml:space="preserve"> We returned $371 million in cash to our shareholders during the second quarter in the form of share repurchases and our quarterly cash dividend payment.</w:t>
      </w:r>
    </w:p>
    <w:p>
      <w:pPr>
        <w:spacing w:after="0" w:line="7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ended the quarter with a strong cash balance and we expect to meet our full-year free cash flow and divestiture goals. Consequently, our Board of Directors has authorized us to repurchase up to an additional $350 million in common stock during 2006, which brings the total amount of cash authorized for return to shareholders to $1.55 billion for 2006. We also expect to review our 2007 dividend policy at our December 2006 Board of Directors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Quarter</w:t>
      </w:r>
    </w:p>
    <w:p>
      <w:pPr>
        <w:spacing w:after="0" w:line="121"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Internal revenue growth on base business due to yield increased 3.9%. The base business revenue growth from yield was 5.3% including the</w:t>
      </w:r>
    </w:p>
    <w:p>
      <w:pPr>
        <w:spacing w:after="0" w:line="34" w:lineRule="exact"/>
        <w:rPr>
          <w:rFonts w:ascii="Arial" w:cs="Arial" w:eastAsia="Arial" w:hAnsi="Arial"/>
          <w:sz w:val="17"/>
          <w:szCs w:val="17"/>
          <w:b w:val="1"/>
          <w:bCs w:val="1"/>
          <w:color w:val="auto"/>
        </w:rPr>
      </w:pPr>
    </w:p>
    <w:p>
      <w:pPr>
        <w:ind w:left="660" w:right="140"/>
        <w:spacing w:after="0" w:line="290" w:lineRule="auto"/>
        <w:rPr>
          <w:rFonts w:ascii="Arial" w:cs="Arial" w:eastAsia="Arial" w:hAnsi="Arial"/>
          <w:sz w:val="17"/>
          <w:szCs w:val="17"/>
          <w:b w:val="1"/>
          <w:bCs w:val="1"/>
          <w:color w:val="auto"/>
        </w:rPr>
      </w:pPr>
      <w:r>
        <w:rPr>
          <w:rFonts w:ascii="Arial" w:cs="Arial" w:eastAsia="Arial" w:hAnsi="Arial"/>
          <w:sz w:val="17"/>
          <w:szCs w:val="17"/>
          <w:color w:val="auto"/>
        </w:rPr>
        <w:t>$46 million obtained through our fuel surcharge program. The yield component excludes a 0.6% reduction in revenue from the combined impact of lower recycling commodity prices and slight increases in electricity rates at independent power production facilities.</w:t>
      </w:r>
    </w:p>
    <w:p>
      <w:pPr>
        <w:spacing w:after="0" w:line="67" w:lineRule="exact"/>
        <w:rPr>
          <w:rFonts w:ascii="Arial" w:cs="Arial" w:eastAsia="Arial" w:hAnsi="Arial"/>
          <w:sz w:val="17"/>
          <w:szCs w:val="17"/>
          <w:b w:val="1"/>
          <w:bCs w:val="1"/>
          <w:color w:val="auto"/>
        </w:rPr>
      </w:pPr>
    </w:p>
    <w:p>
      <w:pPr>
        <w:ind w:left="660" w:right="56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Internal revenue growth from volumes decreased 1.1%. Excluding the 0.5% impact of lower non-core volumes, internal revenue growth from volumes decreased 0.6%.</w:t>
      </w:r>
    </w:p>
    <w:p>
      <w:pPr>
        <w:spacing w:after="0" w:line="75" w:lineRule="exact"/>
        <w:rPr>
          <w:rFonts w:ascii="Arial" w:cs="Arial" w:eastAsia="Arial" w:hAnsi="Arial"/>
          <w:sz w:val="18"/>
          <w:szCs w:val="18"/>
          <w:b w:val="1"/>
          <w:bCs w:val="1"/>
          <w:color w:val="auto"/>
        </w:rPr>
      </w:pPr>
    </w:p>
    <w:p>
      <w:pPr>
        <w:ind w:left="660" w:right="64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Divestitures net of acquisitions caused a 0.4% decline in revenues in the quarter, and foreign currency translation contributed 0.5% to higher revenues.</w:t>
      </w:r>
    </w:p>
    <w:p>
      <w:pPr>
        <w:spacing w:after="0" w:line="75" w:lineRule="exact"/>
        <w:rPr>
          <w:rFonts w:ascii="Arial" w:cs="Arial" w:eastAsia="Arial" w:hAnsi="Arial"/>
          <w:sz w:val="18"/>
          <w:szCs w:val="18"/>
          <w:b w:val="1"/>
          <w:bCs w:val="1"/>
          <w:color w:val="auto"/>
        </w:rPr>
      </w:pPr>
    </w:p>
    <w:p>
      <w:pPr>
        <w:ind w:left="660" w:right="460" w:hanging="436"/>
        <w:spacing w:after="0" w:line="308"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Operating expenses were 64.5% of revenue, down from 66.1% of revenue in the same period in 2005. Second quarter 2006 operating expenses included $11 million in costs due primarily to a strike in the New York City area, which ended earlier this week.</w:t>
      </w:r>
    </w:p>
    <w:p>
      <w:pPr>
        <w:spacing w:after="0" w:line="51" w:lineRule="exact"/>
        <w:rPr>
          <w:rFonts w:ascii="Arial" w:cs="Arial" w:eastAsia="Arial" w:hAnsi="Arial"/>
          <w:sz w:val="17"/>
          <w:szCs w:val="17"/>
          <w:b w:val="1"/>
          <w:bCs w:val="1"/>
          <w:color w:val="auto"/>
        </w:rPr>
      </w:pPr>
    </w:p>
    <w:p>
      <w:pPr>
        <w:ind w:left="660" w:right="20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of $557 million in the second quarter. For the six-month period, net cash provided by operating activities was $1,120 million.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Free cash flow of $398 million. For the six-month period, free cash flow was $808 million.</w:t>
      </w:r>
      <w:r>
        <w:rPr>
          <w:rFonts w:ascii="Arial" w:cs="Arial" w:eastAsia="Arial" w:hAnsi="Arial"/>
          <w:sz w:val="15"/>
          <w:szCs w:val="15"/>
          <w:color w:val="auto"/>
        </w:rPr>
        <w:t>(a)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Capital expenditures of $296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Proceeds from divestitures of businesses and sales of assets, net of cash divested, of $137 million.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$371 million returned to shareholders, consisting of $119 million in cash dividends and $252 million in common stock repurchases.</w:t>
      </w:r>
    </w:p>
    <w:p>
      <w:pPr>
        <w:spacing w:after="0" w:line="130" w:lineRule="exact"/>
        <w:rPr>
          <w:rFonts w:ascii="Arial" w:cs="Arial" w:eastAsia="Arial" w:hAnsi="Arial"/>
          <w:sz w:val="18"/>
          <w:szCs w:val="18"/>
          <w:b w:val="1"/>
          <w:bCs w:val="1"/>
          <w:color w:val="auto"/>
        </w:rPr>
      </w:pPr>
    </w:p>
    <w:p>
      <w:pPr>
        <w:ind w:left="660" w:right="100" w:hanging="436"/>
        <w:spacing w:after="0" w:line="302"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The recurring effective tax rate in the quarter was 39.3%, which was higher than the 37.1% rate projected in our first quarter 2006 earnings release. This increase in the effective tax rate is due primarily to an estimated phase-out of approximately 78% of our Section 45K tax credits due to higher actual and projected crude oil prices as of June 30, 2006. At the time of our first quarter 2006 earnings release, we estimated the phase-out of our Section 45K tax credits to be approximately 61% based on the level of actual and projected crude oil prices as of March 31, 2006.</w:t>
      </w:r>
    </w:p>
    <w:p>
      <w:pPr>
        <w:spacing w:after="0" w:line="46"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Steiner concluded, “We were very pleased with our overall performance during the first and second quarters of this year. We exceeded our expectations despite unexpected headwinds from the phase out of Section 45K tax credits and the costs of the New York strike. We are assuming a 78% phase-out of Section 45K tax credits for the remainder of the year.</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achievements this quarter were the result of our field and corporate teams continuing their excellent work on our pricing and operational initiatives. We are confident about our performance for the remainder of the year and expect our full-year earnings to be toward the upper end of the analysts’ current full-year range of $1.69 to $1.75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6525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328" w:lineRule="exact"/>
        <w:rPr>
          <w:sz w:val="20"/>
          <w:szCs w:val="20"/>
          <w:color w:val="auto"/>
        </w:rPr>
      </w:pPr>
    </w:p>
    <w:p>
      <w:pPr>
        <w:jc w:val="both"/>
        <w:ind w:left="460" w:right="40" w:hanging="6"/>
        <w:spacing w:after="0" w:line="273" w:lineRule="auto"/>
        <w:tabs>
          <w:tab w:leader="none" w:pos="658" w:val="left"/>
        </w:tabs>
        <w:numPr>
          <w:ilvl w:val="0"/>
          <w:numId w:val="4"/>
        </w:numPr>
        <w:rPr>
          <w:rFonts w:ascii="Arial" w:cs="Arial" w:eastAsia="Arial" w:hAnsi="Arial"/>
          <w:sz w:val="15"/>
          <w:szCs w:val="15"/>
          <w:color w:val="auto"/>
        </w:rPr>
      </w:pPr>
      <w:r>
        <w:rPr>
          <w:rFonts w:ascii="Arial" w:cs="Arial" w:eastAsia="Arial" w:hAnsi="Arial"/>
          <w:sz w:val="16"/>
          <w:szCs w:val="16"/>
          <w:color w:val="auto"/>
        </w:rPr>
        <w:t>This earnings release contains (i) net income, earnings per share, earnings per share growth and income from operations as a percentage of revenue, each as adjusted to exclude the impact of income/expense from divestitures, asset impairments and unusual items and tax related items described and (ii) free cash flow. These measures of financial performance are non-GAAP financial measures as defined in Regulation G of the Securities Exchange Act of 1934, as amended. The Company defines free cash flow as:</w:t>
      </w:r>
    </w:p>
    <w:p>
      <w:pPr>
        <w:spacing w:after="0" w:line="8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Net cash provided by operating activities</w:t>
      </w:r>
    </w:p>
    <w:p>
      <w:pPr>
        <w:spacing w:after="0" w:line="140" w:lineRule="exact"/>
        <w:rPr>
          <w:rFonts w:ascii="Arial" w:cs="Arial" w:eastAsia="Arial" w:hAnsi="Arial"/>
          <w:sz w:val="16"/>
          <w:szCs w:val="16"/>
          <w:b w:val="1"/>
          <w:bCs w:val="1"/>
          <w:color w:val="auto"/>
        </w:rPr>
      </w:pPr>
    </w:p>
    <w:p>
      <w:pPr>
        <w:ind w:left="900" w:hanging="446"/>
        <w:spacing w:after="0"/>
        <w:tabs>
          <w:tab w:leader="none" w:pos="90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Less, capital expenditures</w:t>
      </w:r>
    </w:p>
    <w:p>
      <w:pPr>
        <w:spacing w:after="0" w:line="140" w:lineRule="exact"/>
        <w:rPr>
          <w:rFonts w:ascii="Arial" w:cs="Arial" w:eastAsia="Arial" w:hAnsi="Arial"/>
          <w:sz w:val="16"/>
          <w:szCs w:val="16"/>
          <w:b w:val="1"/>
          <w:bCs w:val="1"/>
          <w:color w:val="auto"/>
        </w:rPr>
      </w:pPr>
    </w:p>
    <w:p>
      <w:pPr>
        <w:ind w:left="900" w:hanging="446"/>
        <w:spacing w:after="0"/>
        <w:tabs>
          <w:tab w:leader="none" w:pos="90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Plus, proceeds from divestitures of businesses, net of cash divested, and other sales of assets.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definition of free cash flow may not be comparable to similarly titled measures presented by other companies.</w:t>
      </w:r>
    </w:p>
    <w:p>
      <w:pPr>
        <w:spacing w:after="0" w:line="127" w:lineRule="exact"/>
        <w:rPr>
          <w:sz w:val="20"/>
          <w:szCs w:val="20"/>
          <w:color w:val="auto"/>
        </w:rPr>
      </w:pPr>
    </w:p>
    <w:p>
      <w:pPr>
        <w:ind w:left="460"/>
        <w:spacing w:after="0" w:line="268" w:lineRule="auto"/>
        <w:rPr>
          <w:sz w:val="20"/>
          <w:szCs w:val="20"/>
          <w:color w:val="auto"/>
        </w:rPr>
      </w:pPr>
      <w:r>
        <w:rPr>
          <w:rFonts w:ascii="Arial" w:cs="Arial" w:eastAsia="Arial" w:hAnsi="Arial"/>
          <w:sz w:val="16"/>
          <w:szCs w:val="16"/>
          <w:color w:val="auto"/>
        </w:rPr>
        <w:t>The Company believes that providing investors with certain non-GAAP financial measures gives investors additional information to enable them to assess, in the way management assesses, the Company’s current and continuing operations. The Company included the non-GAAP financial measure of free cash flow because it uses that measure in the management of its business and because it believes that investors are interested in the cash produced by the Company from non-financing activities that is available for uses such as the Company’s acquisitions, its share repurchase program, its scheduled debt reduction and the payment of dividends. A reconciliation of free cash flow to the Company’s GAAP reported cash flows from operating activities, which is the most comparable GAAP measure, is included in the accompanying schedules. Reconciliations of adjusted net income and earnings per share to the Company’s GAAP reported net income and earnings per share, and the corresponding earnings per share growth percentages, are included in the accompanying schedules. Investors are urged to take into account GAAP measures as well as non-GAAP measures in evaluating the Company.</w:t>
      </w:r>
    </w:p>
    <w:p>
      <w:pPr>
        <w:spacing w:after="0" w:line="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has scheduled an investor and analyst conference call for later this morning to discuss the results of today’s earnings announcement. The information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 w:name="page10"/>
    <w:bookmarkEnd w:id="9"/>
    <w:p>
      <w:pPr>
        <w:spacing w:after="0" w:line="286" w:lineRule="auto"/>
        <w:rPr>
          <w:sz w:val="20"/>
          <w:szCs w:val="20"/>
          <w:color w:val="auto"/>
        </w:rPr>
      </w:pPr>
      <w:r>
        <w:rPr>
          <w:rFonts w:ascii="Arial" w:cs="Arial" w:eastAsia="Arial" w:hAnsi="Arial"/>
          <w:sz w:val="16"/>
          <w:szCs w:val="16"/>
          <w:color w:val="auto"/>
        </w:rPr>
        <w:t xml:space="preserve">should be read in conjunction with the information on the conference call. The call will begin at 10:00 a.m. Eastern time, 9:00 a.m. Central time, and is open to the public. To listen to the conference call, which will be broadcast live over the Internet, go to the Waste Management Website at </w:t>
      </w:r>
      <w:r>
        <w:rPr>
          <w:rFonts w:ascii="Arial" w:cs="Arial" w:eastAsia="Arial" w:hAnsi="Arial"/>
          <w:sz w:val="16"/>
          <w:szCs w:val="16"/>
          <w:u w:val="single" w:color="auto"/>
          <w:color w:val="auto"/>
        </w:rPr>
        <w:t>http://www.wm.com</w:t>
      </w:r>
      <w:r>
        <w:rPr>
          <w:rFonts w:ascii="Arial" w:cs="Arial" w:eastAsia="Arial" w:hAnsi="Arial"/>
          <w:sz w:val="16"/>
          <w:szCs w:val="16"/>
          <w:color w:val="auto"/>
        </w:rPr>
        <w:t>, and select “2Q2006 Earnings Report Webcast.” You may also listen to the analyst conference call by telephone by contacting the conference call operator 5 to 10 minutes prior to the scheduled start time and asking for the “Waste Management Conference Call – Call ID 2095328.” US/Canada Dial-In Number:</w:t>
      </w:r>
    </w:p>
    <w:p>
      <w:pPr>
        <w:spacing w:after="0" w:line="2" w:lineRule="exact"/>
        <w:rPr>
          <w:sz w:val="20"/>
          <w:szCs w:val="20"/>
          <w:color w:val="auto"/>
        </w:rPr>
      </w:pPr>
    </w:p>
    <w:p>
      <w:pPr>
        <w:ind w:firstLine="8"/>
        <w:spacing w:after="0" w:line="254" w:lineRule="auto"/>
        <w:tabs>
          <w:tab w:leader="none" w:pos="43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710-6139. Int’l/Local Dial-In Number: (706) 643-7398. For those unable to listen to the live call, a replay will be available 24 hours a day beginning at approximately 11:00 a.m. Central time on July 28 through 5:00 p.m. Central time on August 11. To hear a replay of the call over the Internet, access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To hear a telephonic replay of the call, dial (800) 642-1687 or (706) 645-9291 and enter reservation code 2095328.</w:t>
      </w:r>
    </w:p>
    <w:p>
      <w:pPr>
        <w:spacing w:after="0" w:line="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Waste Management, based in Houston, Texas, is the leading provider of comprehensive waste management services in North America. Our subsidiaries provide collection, transfer, recycling and resource recovery, and disposal services. We are also a leading developer, operator and owner of waste-to-energy and landfill gas-to-energy facilities in the United States. Our customers include residential, commercial, industrial, and municipal customers throughout North America.</w:t>
      </w:r>
    </w:p>
    <w:p>
      <w:pPr>
        <w:spacing w:after="0" w:line="83"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These and other statements relating to future events and performances are “forward-looking statements.” The forward-looking statements that the Company makes are the Company’s expectations, opinion, view or belief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Outlined below are some of the risks that the Company faces and that could affect our financial statements for 2006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 forward-looking statements, whether as a result of new information, future events or otherwise. The following are some of the risks that we face:</w:t>
      </w:r>
    </w:p>
    <w:p>
      <w:pPr>
        <w:spacing w:after="0" w:line="87" w:lineRule="exact"/>
        <w:rPr>
          <w:sz w:val="20"/>
          <w:szCs w:val="20"/>
          <w:color w:val="auto"/>
        </w:rPr>
      </w:pPr>
    </w:p>
    <w:p>
      <w:pPr>
        <w:ind w:left="220" w:right="300" w:hanging="212"/>
        <w:spacing w:after="0" w:line="293" w:lineRule="auto"/>
        <w:tabs>
          <w:tab w:leader="none" w:pos="220" w:val="left"/>
        </w:tabs>
        <w:numPr>
          <w:ilvl w:val="0"/>
          <w:numId w:val="7"/>
        </w:numPr>
        <w:rPr>
          <w:rFonts w:ascii="Arial" w:cs="Arial" w:eastAsia="Arial" w:hAnsi="Arial"/>
          <w:sz w:val="16"/>
          <w:szCs w:val="16"/>
          <w:b w:val="1"/>
          <w:bCs w:val="1"/>
          <w:color w:val="auto"/>
        </w:rPr>
      </w:pPr>
      <w:r>
        <w:rPr>
          <w:rFonts w:ascii="Arial" w:cs="Arial" w:eastAsia="Arial" w:hAnsi="Arial"/>
          <w:sz w:val="16"/>
          <w:szCs w:val="16"/>
          <w:i w:val="1"/>
          <w:iCs w:val="1"/>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77" w:lineRule="exact"/>
        <w:rPr>
          <w:rFonts w:ascii="Arial" w:cs="Arial" w:eastAsia="Arial" w:hAnsi="Arial"/>
          <w:sz w:val="16"/>
          <w:szCs w:val="16"/>
          <w:b w:val="1"/>
          <w:bCs w:val="1"/>
          <w:color w:val="auto"/>
        </w:rPr>
      </w:pPr>
    </w:p>
    <w:p>
      <w:pPr>
        <w:ind w:left="220" w:hanging="212"/>
        <w:spacing w:after="0"/>
        <w:tabs>
          <w:tab w:leader="none" w:pos="220" w:val="left"/>
        </w:tabs>
        <w:numPr>
          <w:ilvl w:val="0"/>
          <w:numId w:val="7"/>
        </w:numPr>
        <w:rPr>
          <w:rFonts w:ascii="Arial" w:cs="Arial" w:eastAsia="Arial" w:hAnsi="Arial"/>
          <w:sz w:val="16"/>
          <w:szCs w:val="16"/>
          <w:b w:val="1"/>
          <w:bCs w:val="1"/>
          <w:color w:val="auto"/>
        </w:rPr>
      </w:pPr>
      <w:r>
        <w:rPr>
          <w:rFonts w:ascii="Arial" w:cs="Arial" w:eastAsia="Arial" w:hAnsi="Arial"/>
          <w:sz w:val="16"/>
          <w:szCs w:val="16"/>
          <w:i w:val="1"/>
          <w:iCs w:val="1"/>
          <w:color w:val="auto"/>
        </w:rPr>
        <w:t>we may be unable to maintain or expand margins if we are unable to control costs;</w:t>
      </w:r>
    </w:p>
    <w:p>
      <w:pPr>
        <w:spacing w:after="0" w:line="140" w:lineRule="exact"/>
        <w:rPr>
          <w:rFonts w:ascii="Arial" w:cs="Arial" w:eastAsia="Arial" w:hAnsi="Arial"/>
          <w:sz w:val="16"/>
          <w:szCs w:val="16"/>
          <w:b w:val="1"/>
          <w:bCs w:val="1"/>
          <w:color w:val="auto"/>
        </w:rPr>
      </w:pPr>
    </w:p>
    <w:p>
      <w:pPr>
        <w:ind w:left="220" w:hanging="212"/>
        <w:spacing w:after="0"/>
        <w:tabs>
          <w:tab w:leader="none" w:pos="220" w:val="left"/>
        </w:tabs>
        <w:numPr>
          <w:ilvl w:val="0"/>
          <w:numId w:val="7"/>
        </w:numPr>
        <w:rPr>
          <w:rFonts w:ascii="Arial" w:cs="Arial" w:eastAsia="Arial" w:hAnsi="Arial"/>
          <w:sz w:val="16"/>
          <w:szCs w:val="16"/>
          <w:b w:val="1"/>
          <w:bCs w:val="1"/>
          <w:color w:val="auto"/>
        </w:rPr>
      </w:pPr>
      <w:r>
        <w:rPr>
          <w:rFonts w:ascii="Arial" w:cs="Arial" w:eastAsia="Arial" w:hAnsi="Arial"/>
          <w:sz w:val="16"/>
          <w:szCs w:val="16"/>
          <w:i w:val="1"/>
          <w:iCs w:val="1"/>
          <w:color w:val="auto"/>
        </w:rPr>
        <w:t>we may be unable to attract or retain qualified personnel, including licensed commercial drivers and truck maintenance professionals;</w:t>
      </w:r>
    </w:p>
    <w:p>
      <w:pPr>
        <w:spacing w:after="0" w:line="140" w:lineRule="exact"/>
        <w:rPr>
          <w:rFonts w:ascii="Arial" w:cs="Arial" w:eastAsia="Arial" w:hAnsi="Arial"/>
          <w:sz w:val="16"/>
          <w:szCs w:val="16"/>
          <w:b w:val="1"/>
          <w:bCs w:val="1"/>
          <w:color w:val="auto"/>
        </w:rPr>
      </w:pPr>
    </w:p>
    <w:p>
      <w:pPr>
        <w:ind w:left="220" w:hanging="212"/>
        <w:spacing w:after="0" w:line="369" w:lineRule="auto"/>
        <w:tabs>
          <w:tab w:leader="none" w:pos="220" w:val="left"/>
        </w:tabs>
        <w:numPr>
          <w:ilvl w:val="0"/>
          <w:numId w:val="7"/>
        </w:numPr>
        <w:rPr>
          <w:rFonts w:ascii="Arial" w:cs="Arial" w:eastAsia="Arial" w:hAnsi="Arial"/>
          <w:sz w:val="14"/>
          <w:szCs w:val="14"/>
          <w:b w:val="1"/>
          <w:bCs w:val="1"/>
          <w:color w:val="auto"/>
        </w:rPr>
      </w:pPr>
      <w:r>
        <w:rPr>
          <w:rFonts w:ascii="Arial" w:cs="Arial" w:eastAsia="Arial" w:hAnsi="Arial"/>
          <w:sz w:val="14"/>
          <w:szCs w:val="14"/>
          <w:i w:val="1"/>
          <w:iCs w:val="1"/>
          <w:color w:val="auto"/>
        </w:rPr>
        <w:t>we may not be able to successfully execute or continue our operational or other margin improvement plans and programs, including pricing increases, passing on increased costs to our customers, divesting under-performing assets and purchasing accretive businesses, any of which could negatively affect our revenues and margins;</w:t>
      </w:r>
    </w:p>
    <w:p>
      <w:pPr>
        <w:spacing w:after="0" w:line="31" w:lineRule="exact"/>
        <w:rPr>
          <w:rFonts w:ascii="Arial" w:cs="Arial" w:eastAsia="Arial" w:hAnsi="Arial"/>
          <w:sz w:val="14"/>
          <w:szCs w:val="14"/>
          <w:b w:val="1"/>
          <w:bCs w:val="1"/>
          <w:color w:val="auto"/>
        </w:rPr>
      </w:pPr>
    </w:p>
    <w:p>
      <w:pPr>
        <w:ind w:left="220" w:right="300" w:hanging="212"/>
        <w:spacing w:after="0" w:line="293" w:lineRule="auto"/>
        <w:tabs>
          <w:tab w:leader="none" w:pos="220" w:val="left"/>
        </w:tabs>
        <w:numPr>
          <w:ilvl w:val="0"/>
          <w:numId w:val="7"/>
        </w:numPr>
        <w:rPr>
          <w:rFonts w:ascii="Arial" w:cs="Arial" w:eastAsia="Arial" w:hAnsi="Arial"/>
          <w:sz w:val="16"/>
          <w:szCs w:val="16"/>
          <w:b w:val="1"/>
          <w:bCs w:val="1"/>
          <w:color w:val="auto"/>
        </w:rPr>
      </w:pPr>
      <w:r>
        <w:rPr>
          <w:rFonts w:ascii="Arial" w:cs="Arial" w:eastAsia="Arial" w:hAnsi="Arial"/>
          <w:sz w:val="16"/>
          <w:szCs w:val="16"/>
          <w:i w:val="1"/>
          <w:iCs w:val="1"/>
          <w:color w:val="auto"/>
        </w:rPr>
        <w:t>fuel price increases or fuel supply shortages may increase our expenses, including our tax expense if Section 45K credits are phased out due to continued high crude oil prices;</w:t>
      </w:r>
    </w:p>
    <w:p>
      <w:pPr>
        <w:spacing w:after="0" w:line="77" w:lineRule="exact"/>
        <w:rPr>
          <w:rFonts w:ascii="Arial" w:cs="Arial" w:eastAsia="Arial" w:hAnsi="Arial"/>
          <w:sz w:val="16"/>
          <w:szCs w:val="16"/>
          <w:b w:val="1"/>
          <w:bCs w:val="1"/>
          <w:color w:val="auto"/>
        </w:rPr>
      </w:pPr>
    </w:p>
    <w:p>
      <w:pPr>
        <w:ind w:left="220" w:hanging="212"/>
        <w:spacing w:after="0"/>
        <w:tabs>
          <w:tab w:leader="none" w:pos="220" w:val="left"/>
        </w:tabs>
        <w:numPr>
          <w:ilvl w:val="0"/>
          <w:numId w:val="7"/>
        </w:numPr>
        <w:rPr>
          <w:rFonts w:ascii="Arial" w:cs="Arial" w:eastAsia="Arial" w:hAnsi="Arial"/>
          <w:sz w:val="16"/>
          <w:szCs w:val="16"/>
          <w:b w:val="1"/>
          <w:bCs w:val="1"/>
          <w:color w:val="auto"/>
        </w:rPr>
      </w:pPr>
      <w:r>
        <w:rPr>
          <w:rFonts w:ascii="Arial" w:cs="Arial" w:eastAsia="Arial" w:hAnsi="Arial"/>
          <w:sz w:val="16"/>
          <w:szCs w:val="16"/>
          <w:i w:val="1"/>
          <w:iCs w:val="1"/>
          <w:color w:val="auto"/>
        </w:rPr>
        <w:t>fluctuating commodity prices may have negative effects on our operating revenues and expenses;</w:t>
      </w:r>
    </w:p>
    <w:p>
      <w:pPr>
        <w:spacing w:after="0" w:line="140" w:lineRule="exact"/>
        <w:rPr>
          <w:rFonts w:ascii="Arial" w:cs="Arial" w:eastAsia="Arial" w:hAnsi="Arial"/>
          <w:sz w:val="16"/>
          <w:szCs w:val="16"/>
          <w:b w:val="1"/>
          <w:bCs w:val="1"/>
          <w:color w:val="auto"/>
        </w:rPr>
      </w:pPr>
    </w:p>
    <w:p>
      <w:pPr>
        <w:ind w:left="220" w:right="180" w:hanging="212"/>
        <w:spacing w:after="0" w:line="293" w:lineRule="auto"/>
        <w:tabs>
          <w:tab w:leader="none" w:pos="220" w:val="left"/>
        </w:tabs>
        <w:numPr>
          <w:ilvl w:val="0"/>
          <w:numId w:val="7"/>
        </w:numPr>
        <w:rPr>
          <w:rFonts w:ascii="Arial" w:cs="Arial" w:eastAsia="Arial" w:hAnsi="Arial"/>
          <w:sz w:val="16"/>
          <w:szCs w:val="16"/>
          <w:b w:val="1"/>
          <w:bCs w:val="1"/>
          <w:color w:val="auto"/>
        </w:rPr>
      </w:pPr>
      <w:r>
        <w:rPr>
          <w:rFonts w:ascii="Arial" w:cs="Arial" w:eastAsia="Arial" w:hAnsi="Arial"/>
          <w:sz w:val="16"/>
          <w:szCs w:val="16"/>
          <w:i w:val="1"/>
          <w:iCs w:val="1"/>
          <w:color w:val="auto"/>
        </w:rPr>
        <w:t>inflation and resulting higher interest rates may have negative effects on the economy, which could result in decreases in volumes of waste generated and increases in our financing costs and other expenses;</w:t>
      </w:r>
    </w:p>
    <w:p>
      <w:pPr>
        <w:spacing w:after="0" w:line="77" w:lineRule="exact"/>
        <w:rPr>
          <w:rFonts w:ascii="Arial" w:cs="Arial" w:eastAsia="Arial" w:hAnsi="Arial"/>
          <w:sz w:val="16"/>
          <w:szCs w:val="16"/>
          <w:b w:val="1"/>
          <w:bCs w:val="1"/>
          <w:color w:val="auto"/>
        </w:rPr>
      </w:pPr>
    </w:p>
    <w:p>
      <w:pPr>
        <w:ind w:left="220" w:hanging="212"/>
        <w:spacing w:after="0"/>
        <w:tabs>
          <w:tab w:leader="none" w:pos="220" w:val="left"/>
        </w:tabs>
        <w:numPr>
          <w:ilvl w:val="0"/>
          <w:numId w:val="7"/>
        </w:numPr>
        <w:rPr>
          <w:rFonts w:ascii="Arial" w:cs="Arial" w:eastAsia="Arial" w:hAnsi="Arial"/>
          <w:sz w:val="16"/>
          <w:szCs w:val="16"/>
          <w:b w:val="1"/>
          <w:bCs w:val="1"/>
          <w:color w:val="auto"/>
        </w:rPr>
      </w:pPr>
      <w:r>
        <w:rPr>
          <w:rFonts w:ascii="Arial" w:cs="Arial" w:eastAsia="Arial" w:hAnsi="Arial"/>
          <w:sz w:val="16"/>
          <w:szCs w:val="16"/>
          <w:i w:val="1"/>
          <w:iCs w:val="1"/>
          <w:color w:val="auto"/>
        </w:rPr>
        <w:t>the possible inability of our insurers to meet their obligations may cause our expenses to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410210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left="220" w:hanging="212"/>
        <w:spacing w:after="0"/>
        <w:tabs>
          <w:tab w:leader="none" w:pos="22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weather conditions cause our quarter to quarter results to fluctuate, and extremely harsh weather or natural disasters may cause us to shut down operations;</w:t>
      </w:r>
    </w:p>
    <w:p>
      <w:pPr>
        <w:spacing w:after="0" w:line="140" w:lineRule="exact"/>
        <w:rPr>
          <w:rFonts w:ascii="Arial" w:cs="Arial" w:eastAsia="Arial" w:hAnsi="Arial"/>
          <w:sz w:val="16"/>
          <w:szCs w:val="16"/>
          <w:b w:val="1"/>
          <w:bCs w:val="1"/>
          <w:color w:val="auto"/>
        </w:rPr>
      </w:pPr>
    </w:p>
    <w:p>
      <w:pPr>
        <w:ind w:left="220" w:right="380" w:hanging="212"/>
        <w:spacing w:after="0" w:line="293" w:lineRule="auto"/>
        <w:tabs>
          <w:tab w:leader="none" w:pos="22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possible changes in our estimates of site remediation requirements, final capping, closure and post-closure obligations, compliance and regulatory developments may increase our expenses or reduce revenues;</w:t>
      </w:r>
    </w:p>
    <w:p>
      <w:pPr>
        <w:spacing w:after="0" w:line="77" w:lineRule="exact"/>
        <w:rPr>
          <w:rFonts w:ascii="Arial" w:cs="Arial" w:eastAsia="Arial" w:hAnsi="Arial"/>
          <w:sz w:val="16"/>
          <w:szCs w:val="16"/>
          <w:b w:val="1"/>
          <w:bCs w:val="1"/>
          <w:color w:val="auto"/>
        </w:rPr>
      </w:pPr>
    </w:p>
    <w:p>
      <w:pPr>
        <w:ind w:left="220" w:right="120" w:hanging="212"/>
        <w:spacing w:after="0" w:line="293" w:lineRule="auto"/>
        <w:tabs>
          <w:tab w:leader="none" w:pos="22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regulations may negatively impact our business by, among other things, increasing the cost to comply with regulatory requirements and the potential liabilities associated with disposal operations;</w:t>
      </w:r>
    </w:p>
    <w:p>
      <w:pPr>
        <w:spacing w:after="0" w:line="77" w:lineRule="exact"/>
        <w:rPr>
          <w:rFonts w:ascii="Arial" w:cs="Arial" w:eastAsia="Arial" w:hAnsi="Arial"/>
          <w:sz w:val="16"/>
          <w:szCs w:val="16"/>
          <w:b w:val="1"/>
          <w:bCs w:val="1"/>
          <w:color w:val="auto"/>
        </w:rPr>
      </w:pPr>
    </w:p>
    <w:p>
      <w:pPr>
        <w:ind w:left="220" w:hanging="212"/>
        <w:spacing w:after="0"/>
        <w:tabs>
          <w:tab w:leader="none" w:pos="22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if we are unable to obtain and maintain permits needed to open, operate, and/or expand our facilities, our results of operations will be negatively impacted;</w:t>
      </w:r>
    </w:p>
    <w:p>
      <w:pPr>
        <w:spacing w:after="0" w:line="140" w:lineRule="exact"/>
        <w:rPr>
          <w:rFonts w:ascii="Arial" w:cs="Arial" w:eastAsia="Arial" w:hAnsi="Arial"/>
          <w:sz w:val="16"/>
          <w:szCs w:val="16"/>
          <w:b w:val="1"/>
          <w:bCs w:val="1"/>
          <w:color w:val="auto"/>
        </w:rPr>
      </w:pPr>
    </w:p>
    <w:p>
      <w:pPr>
        <w:ind w:left="220" w:hanging="212"/>
        <w:spacing w:after="0"/>
        <w:tabs>
          <w:tab w:leader="none" w:pos="220" w:val="left"/>
        </w:tabs>
        <w:numPr>
          <w:ilvl w:val="0"/>
          <w:numId w:val="8"/>
        </w:numPr>
        <w:rPr>
          <w:rFonts w:ascii="Arial" w:cs="Arial" w:eastAsia="Arial" w:hAnsi="Arial"/>
          <w:sz w:val="14"/>
          <w:szCs w:val="14"/>
          <w:b w:val="1"/>
          <w:bCs w:val="1"/>
          <w:color w:val="auto"/>
        </w:rPr>
      </w:pPr>
      <w:r>
        <w:rPr>
          <w:rFonts w:ascii="Arial" w:cs="Arial" w:eastAsia="Arial" w:hAnsi="Arial"/>
          <w:sz w:val="14"/>
          <w:szCs w:val="14"/>
          <w:i w:val="1"/>
          <w:iCs w:val="1"/>
          <w:color w:val="auto"/>
        </w:rPr>
        <w:t>limitations or bans on disposal or transportation of out-of-state or cross-border waste or certain categories of waste can increase our expenses and reduce our revenues;</w:t>
      </w:r>
    </w:p>
    <w:p>
      <w:pPr>
        <w:spacing w:after="0" w:line="163" w:lineRule="exact"/>
        <w:rPr>
          <w:rFonts w:ascii="Arial" w:cs="Arial" w:eastAsia="Arial" w:hAnsi="Arial"/>
          <w:sz w:val="14"/>
          <w:szCs w:val="14"/>
          <w:b w:val="1"/>
          <w:bCs w:val="1"/>
          <w:color w:val="auto"/>
        </w:rPr>
      </w:pPr>
    </w:p>
    <w:p>
      <w:pPr>
        <w:ind w:left="220" w:hanging="212"/>
        <w:spacing w:after="0"/>
        <w:tabs>
          <w:tab w:leader="none" w:pos="22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possible charges as a result of shut-down operations, uncompleted development or expansion projects or other events may negatively affect earnings;</w:t>
      </w:r>
    </w:p>
    <w:p>
      <w:pPr>
        <w:spacing w:after="0" w:line="140" w:lineRule="exact"/>
        <w:rPr>
          <w:rFonts w:ascii="Arial" w:cs="Arial" w:eastAsia="Arial" w:hAnsi="Arial"/>
          <w:sz w:val="16"/>
          <w:szCs w:val="16"/>
          <w:b w:val="1"/>
          <w:bCs w:val="1"/>
          <w:color w:val="auto"/>
        </w:rPr>
      </w:pPr>
    </w:p>
    <w:p>
      <w:pPr>
        <w:ind w:left="220" w:right="220" w:hanging="212"/>
        <w:spacing w:after="0" w:line="293" w:lineRule="auto"/>
        <w:tabs>
          <w:tab w:leader="none" w:pos="22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trends requiring recycling, waste reduction at the source and prohibiting the disposal of certain types of wastes could have negative effects on volumes of waste going to landfills and waste-to-energy facilities, which are higher margin businesses than recycling;</w:t>
      </w:r>
    </w:p>
    <w:p>
      <w:pPr>
        <w:spacing w:after="0" w:line="77" w:lineRule="exact"/>
        <w:rPr>
          <w:rFonts w:ascii="Arial" w:cs="Arial" w:eastAsia="Arial" w:hAnsi="Arial"/>
          <w:sz w:val="16"/>
          <w:szCs w:val="16"/>
          <w:b w:val="1"/>
          <w:bCs w:val="1"/>
          <w:color w:val="auto"/>
        </w:rPr>
      </w:pPr>
    </w:p>
    <w:p>
      <w:pPr>
        <w:ind w:left="220" w:right="360" w:hanging="212"/>
        <w:spacing w:after="0" w:line="278" w:lineRule="auto"/>
        <w:tabs>
          <w:tab w:leader="none" w:pos="22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efforts by labor unions to organize our employees may divert management’s attention and increase operating expenses and we may be unable to negotiate acceptable collective bargaining agreements with those who have been chosen to be represented by unions, which could lead to union-initiated work stoppages, including strikes, which could adversely affect our results of operations and cash flows;</w:t>
      </w:r>
    </w:p>
    <w:p>
      <w:pPr>
        <w:spacing w:after="0" w:line="89" w:lineRule="exact"/>
        <w:rPr>
          <w:rFonts w:ascii="Arial" w:cs="Arial" w:eastAsia="Arial" w:hAnsi="Arial"/>
          <w:sz w:val="16"/>
          <w:szCs w:val="16"/>
          <w:b w:val="1"/>
          <w:bCs w:val="1"/>
          <w:color w:val="auto"/>
        </w:rPr>
      </w:pPr>
    </w:p>
    <w:p>
      <w:pPr>
        <w:ind w:left="220" w:hanging="212"/>
        <w:spacing w:after="0"/>
        <w:tabs>
          <w:tab w:leader="none" w:pos="220" w:val="left"/>
        </w:tabs>
        <w:numPr>
          <w:ilvl w:val="0"/>
          <w:numId w:val="8"/>
        </w:numPr>
        <w:rPr>
          <w:rFonts w:ascii="Arial" w:cs="Arial" w:eastAsia="Arial" w:hAnsi="Arial"/>
          <w:sz w:val="15"/>
          <w:szCs w:val="15"/>
          <w:b w:val="1"/>
          <w:bCs w:val="1"/>
          <w:color w:val="auto"/>
        </w:rPr>
      </w:pPr>
      <w:r>
        <w:rPr>
          <w:rFonts w:ascii="Arial" w:cs="Arial" w:eastAsia="Arial" w:hAnsi="Arial"/>
          <w:sz w:val="15"/>
          <w:szCs w:val="15"/>
          <w:i w:val="1"/>
          <w:iCs w:val="1"/>
          <w:color w:val="auto"/>
        </w:rPr>
        <w:t>negative outcomes of litigation or threatened litigation or governmental proceedings may increase our costs or limit our ability to conduct or expand our operations;</w:t>
      </w:r>
    </w:p>
    <w:p>
      <w:pPr>
        <w:spacing w:after="0" w:line="151" w:lineRule="exact"/>
        <w:rPr>
          <w:rFonts w:ascii="Arial" w:cs="Arial" w:eastAsia="Arial" w:hAnsi="Arial"/>
          <w:sz w:val="15"/>
          <w:szCs w:val="15"/>
          <w:b w:val="1"/>
          <w:bCs w:val="1"/>
          <w:color w:val="auto"/>
        </w:rPr>
      </w:pPr>
    </w:p>
    <w:p>
      <w:pPr>
        <w:ind w:left="220" w:hanging="212"/>
        <w:spacing w:after="0"/>
        <w:tabs>
          <w:tab w:leader="none" w:pos="220" w:val="left"/>
        </w:tabs>
        <w:numPr>
          <w:ilvl w:val="0"/>
          <w:numId w:val="8"/>
        </w:numPr>
        <w:rPr>
          <w:rFonts w:ascii="Arial" w:cs="Arial" w:eastAsia="Arial" w:hAnsi="Arial"/>
          <w:sz w:val="15"/>
          <w:szCs w:val="15"/>
          <w:b w:val="1"/>
          <w:bCs w:val="1"/>
          <w:color w:val="auto"/>
        </w:rPr>
      </w:pPr>
      <w:r>
        <w:rPr>
          <w:rFonts w:ascii="Arial" w:cs="Arial" w:eastAsia="Arial" w:hAnsi="Arial"/>
          <w:sz w:val="15"/>
          <w:szCs w:val="15"/>
          <w:i w:val="1"/>
          <w:iCs w:val="1"/>
          <w:color w:val="auto"/>
        </w:rPr>
        <w:t>possible errors or problems with implementing and deploying new information technology systems may decrease our efficiencies and increase our costs to operate;</w:t>
      </w:r>
    </w:p>
    <w:p>
      <w:pPr>
        <w:spacing w:after="0" w:line="151" w:lineRule="exact"/>
        <w:rPr>
          <w:rFonts w:ascii="Arial" w:cs="Arial" w:eastAsia="Arial" w:hAnsi="Arial"/>
          <w:sz w:val="15"/>
          <w:szCs w:val="15"/>
          <w:b w:val="1"/>
          <w:bCs w:val="1"/>
          <w:color w:val="auto"/>
        </w:rPr>
      </w:pPr>
    </w:p>
    <w:p>
      <w:pPr>
        <w:ind w:left="220" w:hanging="212"/>
        <w:spacing w:after="0"/>
        <w:tabs>
          <w:tab w:leader="none" w:pos="220" w:val="left"/>
        </w:tabs>
        <w:numPr>
          <w:ilvl w:val="0"/>
          <w:numId w:val="8"/>
        </w:numPr>
        <w:rPr>
          <w:rFonts w:ascii="Arial" w:cs="Arial" w:eastAsia="Arial" w:hAnsi="Arial"/>
          <w:sz w:val="15"/>
          <w:szCs w:val="15"/>
          <w:b w:val="1"/>
          <w:bCs w:val="1"/>
          <w:color w:val="auto"/>
        </w:rPr>
      </w:pPr>
      <w:r>
        <w:rPr>
          <w:rFonts w:ascii="Arial" w:cs="Arial" w:eastAsia="Arial" w:hAnsi="Arial"/>
          <w:sz w:val="15"/>
          <w:szCs w:val="15"/>
          <w:i w:val="1"/>
          <w:iCs w:val="1"/>
          <w:color w:val="auto"/>
        </w:rPr>
        <w:t>the adoption of new accounting standards or interpretations may cause fluctuations in quarterly results of operations or adversely impact our results of operations; and</w:t>
      </w:r>
    </w:p>
    <w:p>
      <w:pPr>
        <w:spacing w:after="0" w:line="151" w:lineRule="exact"/>
        <w:rPr>
          <w:rFonts w:ascii="Arial" w:cs="Arial" w:eastAsia="Arial" w:hAnsi="Arial"/>
          <w:sz w:val="15"/>
          <w:szCs w:val="15"/>
          <w:b w:val="1"/>
          <w:bCs w:val="1"/>
          <w:color w:val="auto"/>
        </w:rPr>
      </w:pPr>
    </w:p>
    <w:p>
      <w:pPr>
        <w:ind w:left="220" w:right="100" w:hanging="212"/>
        <w:spacing w:after="0" w:line="293" w:lineRule="auto"/>
        <w:tabs>
          <w:tab w:leader="none" w:pos="22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we may reduce or eliminate our dividend or share repurchase program or we may need additional capital if cash flows are less than we expect or capital expenditures are more than we expect, and we may not be able to obtain any needed capital on acceptable terms.</w:t>
      </w:r>
    </w:p>
    <w:p>
      <w:pPr>
        <w:spacing w:after="0" w:line="59"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2005.</w:t>
      </w: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0"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25"/>
          <w:szCs w:val="25"/>
          <w:b w:val="1"/>
          <w:bCs w:val="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3,410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328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w w:val="90"/>
              </w:rPr>
              <w:t>(Income) expense from divestitures, asset impairments and unusual items</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Equity in net earnings (losses) of unconsolidated entities</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447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7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0.76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566.3</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Diluted common shares outstanding</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549.7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vMerge w:val="restart"/>
          </w:tcPr>
          <w:p>
            <w:pPr>
              <w:jc w:val="right"/>
              <w:ind w:right="3370"/>
              <w:spacing w:after="0"/>
              <w:rPr>
                <w:sz w:val="20"/>
                <w:szCs w:val="20"/>
                <w:color w:val="auto"/>
              </w:rPr>
            </w:pPr>
            <w:r>
              <w:rPr>
                <w:rFonts w:ascii="Arial" w:cs="Arial" w:eastAsia="Arial" w:hAnsi="Arial"/>
                <w:sz w:val="18"/>
                <w:szCs w:val="18"/>
                <w:b w:val="1"/>
                <w:bCs w:val="1"/>
                <w:color w:val="auto"/>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5"/>
          <w:szCs w:val="25"/>
          <w:b w:val="1"/>
          <w:bCs w:val="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Earnings Per Share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100"/>
              <w:spacing w:after="0"/>
              <w:rPr>
                <w:sz w:val="20"/>
                <w:szCs w:val="20"/>
                <w:color w:val="auto"/>
              </w:rPr>
            </w:pPr>
            <w:r>
              <w:rPr>
                <w:rFonts w:ascii="Arial" w:cs="Arial" w:eastAsia="Arial" w:hAnsi="Arial"/>
                <w:sz w:val="14"/>
                <w:szCs w:val="14"/>
                <w:b w:val="1"/>
                <w:bCs w:val="1"/>
                <w:color w:val="auto"/>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417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vMerge w:val="restart"/>
          </w:tcPr>
          <w:p>
            <w:pPr>
              <w:spacing w:after="0"/>
              <w:rPr>
                <w:sz w:val="24"/>
                <w:szCs w:val="24"/>
                <w:color w:val="auto"/>
              </w:rPr>
            </w:pPr>
          </w:p>
        </w:tc>
        <w:tc>
          <w:tcPr>
            <w:tcW w:w="8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541.9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544.3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warrants and other contingently issuable shares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549.7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570.1</w:t>
            </w:r>
          </w:p>
        </w:tc>
        <w:tc>
          <w:tcPr>
            <w:tcW w:w="0" w:type="dxa"/>
            <w:vAlign w:val="bottom"/>
          </w:tcPr>
          <w:p>
            <w:pPr>
              <w:spacing w:after="0"/>
              <w:rPr>
                <w:sz w:val="1"/>
                <w:szCs w:val="1"/>
                <w:color w:val="auto"/>
              </w:rPr>
            </w:pPr>
          </w:p>
        </w:tc>
      </w:tr>
      <w:tr>
        <w:trPr>
          <w:trHeight w:val="20"/>
        </w:trPr>
        <w:tc>
          <w:tcPr>
            <w:tcW w:w="8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83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0.77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jc w:val="right"/>
              <w:ind w:right="2470"/>
              <w:spacing w:after="0"/>
              <w:rPr>
                <w:sz w:val="20"/>
                <w:szCs w:val="20"/>
                <w:color w:val="auto"/>
              </w:rPr>
            </w:pPr>
            <w:r>
              <w:rPr>
                <w:rFonts w:ascii="Arial" w:cs="Arial" w:eastAsia="Arial" w:hAnsi="Arial"/>
                <w:sz w:val="18"/>
                <w:szCs w:val="18"/>
                <w:b w:val="1"/>
                <w:bCs w:val="1"/>
                <w:color w:val="auto"/>
              </w:rPr>
              <w:t>(2)</w:t>
            </w: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3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5"/>
          <w:szCs w:val="25"/>
          <w:b w:val="1"/>
          <w:bCs w:val="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6,639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439"/>
        </w:trPr>
        <w:tc>
          <w:tcPr>
            <w:tcW w:w="88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4,299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5,498</w:t>
            </w:r>
          </w:p>
        </w:tc>
        <w:tc>
          <w:tcPr>
            <w:tcW w:w="0" w:type="dxa"/>
            <w:vAlign w:val="bottom"/>
          </w:tcPr>
          <w:p>
            <w:pPr>
              <w:spacing w:after="0"/>
              <w:rPr>
                <w:sz w:val="1"/>
                <w:szCs w:val="1"/>
                <w:color w:val="auto"/>
              </w:rPr>
            </w:pPr>
          </w:p>
        </w:tc>
      </w:tr>
      <w:tr>
        <w:trPr>
          <w:trHeight w:val="223"/>
        </w:trPr>
        <w:tc>
          <w:tcPr>
            <w:tcW w:w="88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(274)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Equity in net earnings (losses) of unconsolidated entities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88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736</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88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88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4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1.09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545.3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567.6</w:t>
            </w:r>
          </w:p>
        </w:tc>
        <w:tc>
          <w:tcPr>
            <w:tcW w:w="0" w:type="dxa"/>
            <w:vAlign w:val="bottom"/>
          </w:tcPr>
          <w:p>
            <w:pPr>
              <w:spacing w:after="0"/>
              <w:rPr>
                <w:sz w:val="1"/>
                <w:szCs w:val="1"/>
                <w:color w:val="auto"/>
              </w:rPr>
            </w:pPr>
          </w:p>
        </w:tc>
      </w:tr>
      <w:tr>
        <w:trPr>
          <w:trHeight w:val="20"/>
        </w:trPr>
        <w:tc>
          <w:tcPr>
            <w:tcW w:w="88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40" w:type="dxa"/>
            <w:vAlign w:val="bottom"/>
            <w:gridSpan w:val="2"/>
          </w:tcPr>
          <w:p>
            <w:pPr>
              <w:spacing w:after="0"/>
              <w:rPr>
                <w:sz w:val="20"/>
                <w:szCs w:val="20"/>
                <w:color w:val="auto"/>
              </w:rPr>
            </w:pPr>
            <w:r>
              <w:rPr>
                <w:rFonts w:ascii="Arial" w:cs="Arial" w:eastAsia="Arial" w:hAnsi="Arial"/>
                <w:sz w:val="18"/>
                <w:szCs w:val="18"/>
                <w:color w:val="auto"/>
              </w:rPr>
              <w:t>Diluted common shares outstanding</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550.9</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Cash dividends per common share (1st quarter 2006 dividend of $0.22 per share declared in December 2005, paid in</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March 2006)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(3)</w:t>
            </w: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5"/>
          <w:szCs w:val="25"/>
          <w:b w:val="1"/>
          <w:bCs w:val="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Earnings Per Share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603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vMerge w:val="restart"/>
          </w:tcPr>
          <w:p>
            <w:pPr>
              <w:spacing w:after="0"/>
              <w:rPr>
                <w:sz w:val="24"/>
                <w:szCs w:val="24"/>
                <w:color w:val="auto"/>
              </w:rPr>
            </w:pPr>
          </w:p>
        </w:tc>
        <w:tc>
          <w:tcPr>
            <w:tcW w:w="8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541.9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545.3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warrants and other contingently issuable shares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550.9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r>
        <w:trPr>
          <w:trHeight w:val="20"/>
        </w:trPr>
        <w:tc>
          <w:tcPr>
            <w:tcW w:w="8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83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1.11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jc w:val="right"/>
              <w:ind w:right="2470"/>
              <w:spacing w:after="0"/>
              <w:rPr>
                <w:sz w:val="20"/>
                <w:szCs w:val="20"/>
                <w:color w:val="auto"/>
              </w:rPr>
            </w:pPr>
            <w:r>
              <w:rPr>
                <w:rFonts w:ascii="Arial" w:cs="Arial" w:eastAsia="Arial" w:hAnsi="Arial"/>
                <w:sz w:val="18"/>
                <w:szCs w:val="18"/>
                <w:b w:val="1"/>
                <w:bCs w:val="1"/>
                <w:color w:val="auto"/>
              </w:rPr>
              <w:t>(4)</w:t>
            </w: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3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5"/>
          <w:szCs w:val="25"/>
          <w:b w:val="1"/>
          <w:bCs w:val="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2"/>
              </w:rPr>
              <w:t>(Unaudited)</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0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8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1,947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1,066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3,582</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10,993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Goodwill</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5,307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assets</w:t>
            </w:r>
          </w:p>
        </w:tc>
        <w:tc>
          <w:tcPr>
            <w:tcW w:w="3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08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20,935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21,135</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080" w:type="dxa"/>
            <w:vAlign w:val="bottom"/>
            <w:gridSpan w:val="2"/>
            <w:vMerge w:val="continue"/>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4080" w:type="dxa"/>
            <w:vAlign w:val="bottom"/>
            <w:gridSpan w:val="2"/>
          </w:tcPr>
          <w:p>
            <w:pPr>
              <w:ind w:left="398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2,382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3,245</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7,737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liabilities</w:t>
            </w:r>
          </w:p>
        </w:tc>
        <w:tc>
          <w:tcPr>
            <w:tcW w:w="3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14,423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14,733</w:t>
            </w: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3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20,935</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980" w:type="dxa"/>
            <w:vAlign w:val="bottom"/>
            <w:vMerge w:val="restart"/>
          </w:tcPr>
          <w:p>
            <w:pPr>
              <w:jc w:val="right"/>
              <w:ind w:right="315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5"/>
          <w:szCs w:val="25"/>
          <w:b w:val="1"/>
          <w:bCs w:val="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Condensed Consolidated Statements of Cash Flows</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603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673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(467)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(1,707)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short-term investments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(240)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 and warrants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0"/>
        </w:trPr>
        <w:tc>
          <w:tcPr>
            <w:tcW w:w="79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666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jc w:val="right"/>
              <w:ind w:right="2050"/>
              <w:spacing w:after="0"/>
              <w:rPr>
                <w:sz w:val="20"/>
                <w:szCs w:val="20"/>
                <w:color w:val="auto"/>
              </w:rPr>
            </w:pPr>
            <w:r>
              <w:rPr>
                <w:rFonts w:ascii="Arial" w:cs="Arial" w:eastAsia="Arial" w:hAnsi="Arial"/>
                <w:sz w:val="18"/>
                <w:szCs w:val="18"/>
                <w:b w:val="1"/>
                <w:bCs w:val="1"/>
                <w:color w:val="auto"/>
              </w:rPr>
              <w:t>(6)</w:t>
            </w: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96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94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5"/>
          <w:szCs w:val="25"/>
          <w:b w:val="1"/>
          <w:bCs w:val="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Summary Data Sheet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5"/>
              </w:rPr>
              <w:t>Quarters Ended</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5"/>
          </w:tcPr>
          <w:p>
            <w:pPr>
              <w:jc w:val="right"/>
              <w:ind w:right="480"/>
              <w:spacing w:after="0" w:line="119" w:lineRule="exact"/>
              <w:rPr>
                <w:sz w:val="20"/>
                <w:szCs w:val="20"/>
                <w:color w:val="auto"/>
              </w:rPr>
            </w:pPr>
            <w:r>
              <w:rPr>
                <w:rFonts w:ascii="Arial" w:cs="Arial" w:eastAsia="Arial" w:hAnsi="Arial"/>
                <w:sz w:val="13"/>
                <w:szCs w:val="13"/>
                <w:b w:val="1"/>
                <w:bCs w:val="1"/>
                <w:color w:val="auto"/>
              </w:rPr>
              <w:t>June 30,</w:t>
            </w:r>
          </w:p>
        </w:tc>
        <w:tc>
          <w:tcPr>
            <w:tcW w:w="340" w:type="dxa"/>
            <w:vAlign w:val="bottom"/>
          </w:tcPr>
          <w:p>
            <w:pPr>
              <w:spacing w:after="0"/>
              <w:rPr>
                <w:sz w:val="10"/>
                <w:szCs w:val="10"/>
                <w:color w:val="auto"/>
              </w:rPr>
            </w:pPr>
          </w:p>
        </w:tc>
        <w:tc>
          <w:tcPr>
            <w:tcW w:w="1120" w:type="dxa"/>
            <w:vAlign w:val="bottom"/>
            <w:gridSpan w:val="5"/>
          </w:tcPr>
          <w:p>
            <w:pPr>
              <w:jc w:val="center"/>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3"/>
          </w:tcPr>
          <w:p>
            <w:pPr>
              <w:jc w:val="right"/>
              <w:ind w:right="91"/>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4"/>
          </w:tcPr>
          <w:p>
            <w:pPr>
              <w:jc w:val="center"/>
              <w:ind w:left="254"/>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Operating Revenues by Lines of Business</w:t>
            </w:r>
          </w:p>
        </w:tc>
        <w:tc>
          <w:tcPr>
            <w:tcW w:w="3300" w:type="dxa"/>
            <w:vAlign w:val="bottom"/>
            <w:tcBorders>
              <w:bottom w:val="single" w:sz="8" w:color="CCEEFF"/>
            </w:tcBorders>
            <w:gridSpan w:val="3"/>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left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60" w:type="dxa"/>
            <w:vAlign w:val="bottom"/>
            <w:gridSpan w:val="5"/>
          </w:tcPr>
          <w:p>
            <w:pPr>
              <w:ind w:left="400"/>
              <w:spacing w:after="0"/>
              <w:rPr>
                <w:sz w:val="20"/>
                <w:szCs w:val="20"/>
                <w:color w:val="auto"/>
              </w:rPr>
            </w:pPr>
            <w:r>
              <w:rPr>
                <w:rFonts w:ascii="Arial" w:cs="Arial" w:eastAsia="Arial" w:hAnsi="Arial"/>
                <w:sz w:val="18"/>
                <w:szCs w:val="18"/>
                <w:color w:val="auto"/>
              </w:rPr>
              <w:t>Collection</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2,251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2,159</w:t>
            </w:r>
          </w:p>
        </w:tc>
        <w:tc>
          <w:tcPr>
            <w:tcW w:w="340" w:type="dxa"/>
            <w:vAlign w:val="bottom"/>
          </w:tcPr>
          <w:p>
            <w:pPr>
              <w:spacing w:after="0"/>
              <w:rPr>
                <w:sz w:val="24"/>
                <w:szCs w:val="24"/>
                <w:color w:val="auto"/>
              </w:rPr>
            </w:pPr>
          </w:p>
        </w:tc>
        <w:tc>
          <w:tcPr>
            <w:tcW w:w="460" w:type="dxa"/>
            <w:vAlign w:val="bottom"/>
            <w:gridSpan w:val="3"/>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2,168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ind w:left="400"/>
              <w:spacing w:after="0"/>
              <w:rPr>
                <w:sz w:val="20"/>
                <w:szCs w:val="20"/>
                <w:color w:val="auto"/>
              </w:rPr>
            </w:pPr>
            <w:r>
              <w:rPr>
                <w:rFonts w:ascii="Arial" w:cs="Arial" w:eastAsia="Arial" w:hAnsi="Arial"/>
                <w:sz w:val="18"/>
                <w:szCs w:val="18"/>
                <w:color w:val="auto"/>
              </w:rPr>
              <w:t>Landfill</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tcPr>
          <w:p>
            <w:pPr>
              <w:ind w:left="400"/>
              <w:spacing w:after="0"/>
              <w:rPr>
                <w:sz w:val="20"/>
                <w:szCs w:val="20"/>
                <w:color w:val="auto"/>
              </w:rPr>
            </w:pPr>
            <w:r>
              <w:rPr>
                <w:rFonts w:ascii="Arial" w:cs="Arial" w:eastAsia="Arial" w:hAnsi="Arial"/>
                <w:sz w:val="18"/>
                <w:szCs w:val="18"/>
                <w:color w:val="auto"/>
              </w:rPr>
              <w:t>Transfer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ind w:left="400"/>
              <w:spacing w:after="0"/>
              <w:rPr>
                <w:sz w:val="20"/>
                <w:szCs w:val="20"/>
                <w:color w:val="auto"/>
              </w:rPr>
            </w:pPr>
            <w:r>
              <w:rPr>
                <w:rFonts w:ascii="Arial" w:cs="Arial" w:eastAsia="Arial" w:hAnsi="Arial"/>
                <w:sz w:val="18"/>
                <w:szCs w:val="18"/>
                <w:color w:val="auto"/>
              </w:rPr>
              <w:t>Wheelabrator</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tcPr>
          <w:p>
            <w:pPr>
              <w:ind w:left="400"/>
              <w:spacing w:after="0"/>
              <w:rPr>
                <w:sz w:val="20"/>
                <w:szCs w:val="20"/>
                <w:color w:val="auto"/>
              </w:rPr>
            </w:pPr>
            <w:r>
              <w:rPr>
                <w:rFonts w:ascii="Arial" w:cs="Arial" w:eastAsia="Arial" w:hAnsi="Arial"/>
                <w:sz w:val="18"/>
                <w:szCs w:val="18"/>
                <w:color w:val="auto"/>
              </w:rPr>
              <w:t>Recycling and 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ind w:left="4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gridSpan w:val="5"/>
          </w:tcPr>
          <w:p>
            <w:pPr>
              <w:ind w:left="600"/>
              <w:spacing w:after="0"/>
              <w:rPr>
                <w:sz w:val="20"/>
                <w:szCs w:val="20"/>
                <w:color w:val="auto"/>
              </w:rPr>
            </w:pPr>
            <w:r>
              <w:rPr>
                <w:rFonts w:ascii="Arial" w:cs="Arial" w:eastAsia="Arial" w:hAnsi="Arial"/>
                <w:sz w:val="18"/>
                <w:szCs w:val="18"/>
                <w:color w:val="auto"/>
              </w:rPr>
              <w:t>Operating revenues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3,410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58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1"/>
              </w:rPr>
              <w:t>Internal Growth of Operating Revenues from Comparable Prior Periods</w:t>
            </w:r>
          </w:p>
        </w:tc>
        <w:tc>
          <w:tcPr>
            <w:tcW w:w="8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60" w:type="dxa"/>
            <w:vAlign w:val="bottom"/>
            <w:gridSpan w:val="5"/>
          </w:tcPr>
          <w:p>
            <w:pPr>
              <w:ind w:left="200"/>
              <w:spacing w:after="0"/>
              <w:rPr>
                <w:sz w:val="20"/>
                <w:szCs w:val="20"/>
                <w:color w:val="auto"/>
              </w:rPr>
            </w:pPr>
            <w:r>
              <w:rPr>
                <w:rFonts w:ascii="Arial" w:cs="Arial" w:eastAsia="Arial" w:hAnsi="Arial"/>
                <w:sz w:val="18"/>
                <w:szCs w:val="18"/>
                <w:color w:val="auto"/>
              </w:rPr>
              <w:t>Internal growth</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w w:val="91"/>
              </w:rPr>
              <w:t>Less: Yield changes due to recycling commodities, electricity (IPP) and fuel surcharge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gridSpan w:val="5"/>
            <w:vMerge w:val="restart"/>
          </w:tcPr>
          <w:p>
            <w:pPr>
              <w:ind w:left="600"/>
              <w:spacing w:after="0"/>
              <w:rPr>
                <w:sz w:val="20"/>
                <w:szCs w:val="20"/>
                <w:color w:val="auto"/>
              </w:rPr>
            </w:pPr>
            <w:r>
              <w:rPr>
                <w:rFonts w:ascii="Arial" w:cs="Arial" w:eastAsia="Arial" w:hAnsi="Arial"/>
                <w:sz w:val="18"/>
                <w:szCs w:val="18"/>
                <w:color w:val="auto"/>
              </w:rPr>
              <w:t>Adjusted internal growth</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gridSpan w:val="5"/>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Acquisition Summary (b)</w:t>
            </w:r>
          </w:p>
        </w:tc>
        <w:tc>
          <w:tcPr>
            <w:tcW w:w="4520" w:type="dxa"/>
            <w:vAlign w:val="bottom"/>
            <w:tcBorders>
              <w:bottom w:val="single" w:sz="8" w:color="CCEEFF"/>
            </w:tcBorders>
            <w:gridSpan w:val="4"/>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60" w:type="dxa"/>
            <w:vAlign w:val="bottom"/>
            <w:gridSpan w:val="5"/>
          </w:tcPr>
          <w:p>
            <w:pPr>
              <w:ind w:left="200"/>
              <w:spacing w:after="0"/>
              <w:rPr>
                <w:sz w:val="20"/>
                <w:szCs w:val="20"/>
                <w:color w:val="auto"/>
              </w:rPr>
            </w:pPr>
            <w:r>
              <w:rPr>
                <w:rFonts w:ascii="Arial" w:cs="Arial" w:eastAsia="Arial" w:hAnsi="Arial"/>
                <w:sz w:val="18"/>
                <w:szCs w:val="18"/>
                <w:color w:val="auto"/>
              </w:rPr>
              <w:t>Gross annualized revenue acquired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460" w:type="dxa"/>
            <w:vAlign w:val="bottom"/>
            <w:gridSpan w:val="3"/>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Total consideration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460" w:type="dxa"/>
            <w:vAlign w:val="bottom"/>
            <w:gridSpan w:val="5"/>
          </w:tcPr>
          <w:p>
            <w:pPr>
              <w:ind w:left="200"/>
              <w:spacing w:after="0"/>
              <w:rPr>
                <w:sz w:val="20"/>
                <w:szCs w:val="20"/>
                <w:color w:val="auto"/>
              </w:rPr>
            </w:pPr>
            <w:r>
              <w:rPr>
                <w:rFonts w:ascii="Arial" w:cs="Arial" w:eastAsia="Arial" w:hAnsi="Arial"/>
                <w:sz w:val="18"/>
                <w:szCs w:val="18"/>
                <w:color w:val="auto"/>
              </w:rPr>
              <w:t>Cash paid for acquisitions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460" w:type="dxa"/>
            <w:vAlign w:val="bottom"/>
            <w:gridSpan w:val="3"/>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Recycling Segment Supplemental Data (c)</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0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color w:val="auto"/>
              </w:rPr>
              <w:t>Operating revenues</w:t>
            </w:r>
          </w:p>
        </w:tc>
        <w:tc>
          <w:tcPr>
            <w:tcW w:w="3260" w:type="dxa"/>
            <w:vAlign w:val="bottom"/>
            <w:tcBorders>
              <w:top w:val="single" w:sz="8" w:color="CCEEFF"/>
            </w:tcBorders>
            <w:gridSpan w:val="2"/>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181</w:t>
            </w:r>
          </w:p>
        </w:tc>
        <w:tc>
          <w:tcPr>
            <w:tcW w:w="2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189</w:t>
            </w:r>
          </w:p>
        </w:tc>
        <w:tc>
          <w:tcPr>
            <w:tcW w:w="3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gridSpan w:val="3"/>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Operating expenses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9"/>
              </w:rPr>
              <w:t>Quarters Ended June 30,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80" w:type="dxa"/>
            <w:vAlign w:val="bottom"/>
            <w:gridSpan w:val="6"/>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557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595</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1,120</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(467)</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gridSpan w:val="5"/>
          </w:tcPr>
          <w:p>
            <w:pPr>
              <w:spacing w:after="0" w:line="201" w:lineRule="exact"/>
              <w:rPr>
                <w:sz w:val="20"/>
                <w:szCs w:val="20"/>
                <w:color w:val="auto"/>
              </w:rPr>
            </w:pPr>
            <w:r>
              <w:rPr>
                <w:rFonts w:ascii="Arial" w:cs="Arial" w:eastAsia="Arial" w:hAnsi="Arial"/>
                <w:sz w:val="18"/>
                <w:szCs w:val="18"/>
                <w:color w:val="auto"/>
                <w:w w:val="98"/>
              </w:rPr>
              <w:t>Proceeds from divestitures of businesses, net of cash divested, and other sales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gridSpan w:val="5"/>
          </w:tcPr>
          <w:p>
            <w:pPr>
              <w:ind w:left="200"/>
              <w:spacing w:after="0"/>
              <w:rPr>
                <w:sz w:val="20"/>
                <w:szCs w:val="20"/>
                <w:color w:val="auto"/>
              </w:rPr>
            </w:pPr>
            <w:r>
              <w:rPr>
                <w:rFonts w:ascii="Arial" w:cs="Arial" w:eastAsia="Arial" w:hAnsi="Arial"/>
                <w:sz w:val="18"/>
                <w:szCs w:val="18"/>
                <w:color w:val="auto"/>
              </w:rPr>
              <w:t>assets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314</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808</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provided is after the elimination of intercompany revenues and related expenses.</w:t>
      </w:r>
    </w:p>
    <w:p>
      <w:pPr>
        <w:spacing w:after="0" w:line="7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5"/>
          <w:szCs w:val="25"/>
          <w:b w:val="1"/>
          <w:bCs w:val="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Summary Data Sheet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5"/>
              </w:rPr>
              <w:t>Quarters Ended</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2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June 30,</w:t>
            </w:r>
          </w:p>
        </w:tc>
        <w:tc>
          <w:tcPr>
            <w:tcW w:w="380" w:type="dxa"/>
            <w:vAlign w:val="bottom"/>
          </w:tcPr>
          <w:p>
            <w:pPr>
              <w:spacing w:after="0"/>
              <w:rPr>
                <w:sz w:val="10"/>
                <w:szCs w:val="10"/>
                <w:color w:val="auto"/>
              </w:rPr>
            </w:pPr>
          </w:p>
        </w:tc>
        <w:tc>
          <w:tcPr>
            <w:tcW w:w="112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2006</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Balance Sheet Data</w:t>
            </w:r>
          </w:p>
        </w:tc>
        <w:tc>
          <w:tcPr>
            <w:tcW w:w="6280" w:type="dxa"/>
            <w:vAlign w:val="bottom"/>
            <w:tcBorders>
              <w:bottom w:val="single" w:sz="8" w:color="CCEEFF"/>
            </w:tcBorders>
            <w:gridSpan w:val="3"/>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7780" w:type="dxa"/>
            <w:vAlign w:val="bottom"/>
            <w:gridSpan w:val="5"/>
          </w:tcPr>
          <w:p>
            <w:pPr>
              <w:spacing w:after="0"/>
              <w:rPr>
                <w:sz w:val="20"/>
                <w:szCs w:val="20"/>
                <w:color w:val="auto"/>
              </w:rPr>
            </w:pPr>
            <w:r>
              <w:rPr>
                <w:rFonts w:ascii="Arial" w:cs="Arial" w:eastAsia="Arial" w:hAnsi="Arial"/>
                <w:sz w:val="18"/>
                <w:szCs w:val="18"/>
                <w:color w:val="auto"/>
              </w:rPr>
              <w:t>Cash, cash equivalents and short-term investments available for use (a)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1,082</w:t>
            </w:r>
          </w:p>
        </w:tc>
        <w:tc>
          <w:tcPr>
            <w:tcW w:w="3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988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4"/>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8,600</w:t>
            </w:r>
          </w:p>
        </w:tc>
        <w:tc>
          <w:tcPr>
            <w:tcW w:w="3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8,620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6,071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4"/>
          </w:tcPr>
          <w:p>
            <w:pPr>
              <w:ind w:left="400"/>
              <w:spacing w:after="0"/>
              <w:rPr>
                <w:sz w:val="20"/>
                <w:szCs w:val="20"/>
                <w:color w:val="auto"/>
              </w:rPr>
            </w:pPr>
            <w:r>
              <w:rPr>
                <w:rFonts w:ascii="Arial" w:cs="Arial" w:eastAsia="Arial" w:hAnsi="Arial"/>
                <w:sz w:val="18"/>
                <w:szCs w:val="18"/>
                <w:color w:val="auto"/>
              </w:rPr>
              <w:t>Total capital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14,832</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14,691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$ 14,628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5"/>
          </w:tcPr>
          <w:p>
            <w:pPr>
              <w:spacing w:after="0"/>
              <w:rPr>
                <w:sz w:val="20"/>
                <w:szCs w:val="20"/>
                <w:color w:val="auto"/>
              </w:rPr>
            </w:pPr>
            <w:r>
              <w:rPr>
                <w:rFonts w:ascii="Arial" w:cs="Arial" w:eastAsia="Arial" w:hAnsi="Arial"/>
                <w:sz w:val="18"/>
                <w:szCs w:val="18"/>
                <w:color w:val="auto"/>
              </w:rPr>
              <w:t>Capitalized interest (b)</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vMerge w:val="restart"/>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Other Operational Data</w:t>
            </w:r>
          </w:p>
        </w:tc>
        <w:tc>
          <w:tcPr>
            <w:tcW w:w="592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780" w:type="dxa"/>
            <w:vAlign w:val="bottom"/>
            <w:gridSpan w:val="5"/>
          </w:tcPr>
          <w:p>
            <w:pPr>
              <w:spacing w:after="0"/>
              <w:rPr>
                <w:sz w:val="20"/>
                <w:szCs w:val="20"/>
                <w:color w:val="auto"/>
              </w:rPr>
            </w:pPr>
            <w:r>
              <w:rPr>
                <w:rFonts w:ascii="Arial" w:cs="Arial" w:eastAsia="Arial" w:hAnsi="Arial"/>
                <w:sz w:val="18"/>
                <w:szCs w:val="18"/>
                <w:color w:val="auto"/>
              </w:rPr>
              <w:t>Internalization of waste, based on disposal costs</w:t>
            </w:r>
          </w:p>
        </w:tc>
        <w:tc>
          <w:tcPr>
            <w:tcW w:w="12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66.8%</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66.7%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5"/>
          </w:tcPr>
          <w:p>
            <w:pPr>
              <w:spacing w:after="0"/>
              <w:rPr>
                <w:sz w:val="20"/>
                <w:szCs w:val="20"/>
                <w:color w:val="auto"/>
              </w:rPr>
            </w:pPr>
            <w:r>
              <w:rPr>
                <w:rFonts w:ascii="Arial" w:cs="Arial" w:eastAsia="Arial" w:hAnsi="Arial"/>
                <w:sz w:val="18"/>
                <w:szCs w:val="18"/>
                <w:color w:val="auto"/>
              </w:rPr>
              <w:t>Active landfills</w:t>
            </w:r>
          </w:p>
        </w:tc>
        <w:tc>
          <w:tcPr>
            <w:tcW w:w="12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286</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282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77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Amortization and SFAS No. 143 Expenses for Landfills Included in Operating Groups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778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76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Non-SFAS No. 143 amortization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Amortization expense related to SFAS No. 143 obligations</w:t>
            </w:r>
          </w:p>
        </w:tc>
        <w:tc>
          <w:tcPr>
            <w:tcW w:w="12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19.0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amortization expense</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Accretion and other related expense</w:t>
            </w: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6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quarters ended June 30, 2006, March 31, 2006 and June 30, 2005 include short-term investments available for use of $513 million, $534 million and $34 million, respectively.</w:t>
      </w:r>
    </w:p>
    <w:p>
      <w:pPr>
        <w:spacing w:after="0" w:line="21"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 ended June 30, 2005 includes the reversal of $5 million of previously recorded capitalized interest associated with certain projects that did not qualify for interest capitalization.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5"/>
          <w:szCs w:val="25"/>
          <w:b w:val="1"/>
          <w:bCs w:val="1"/>
          <w:color w:val="auto"/>
        </w:rPr>
        <w:t>Waste Management,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Reconciliation of Certain Non-GAAP Measures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Income from Operations as a</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6"/>
          </w:tcPr>
          <w:p>
            <w:pPr>
              <w:jc w:val="right"/>
              <w:spacing w:after="0"/>
              <w:rPr>
                <w:sz w:val="20"/>
                <w:szCs w:val="20"/>
                <w:color w:val="auto"/>
              </w:rPr>
            </w:pPr>
            <w:r>
              <w:rPr>
                <w:rFonts w:ascii="Arial" w:cs="Arial" w:eastAsia="Arial" w:hAnsi="Arial"/>
                <w:sz w:val="14"/>
                <w:szCs w:val="14"/>
                <w:b w:val="1"/>
                <w:bCs w:val="1"/>
                <w:color w:val="auto"/>
              </w:rPr>
              <w:t>Quarters Ended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80" w:type="dxa"/>
            <w:vAlign w:val="bottom"/>
          </w:tcPr>
          <w:p>
            <w:pPr>
              <w:ind w:left="220"/>
              <w:spacing w:after="0" w:line="196" w:lineRule="exact"/>
              <w:rPr>
                <w:sz w:val="20"/>
                <w:szCs w:val="20"/>
                <w:color w:val="auto"/>
              </w:rPr>
            </w:pPr>
            <w:r>
              <w:rPr>
                <w:rFonts w:ascii="Arial" w:cs="Arial" w:eastAsia="Arial" w:hAnsi="Arial"/>
                <w:sz w:val="18"/>
                <w:szCs w:val="18"/>
                <w:b w:val="1"/>
                <w:bCs w:val="1"/>
                <w:i w:val="1"/>
                <w:iCs w:val="1"/>
                <w:color w:val="auto"/>
              </w:rPr>
              <w:t>percent of Revenue</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111"/>
              <w:spacing w:after="0"/>
              <w:rPr>
                <w:sz w:val="20"/>
                <w:szCs w:val="20"/>
                <w:color w:val="auto"/>
              </w:rPr>
            </w:pPr>
            <w:r>
              <w:rPr>
                <w:rFonts w:ascii="Arial" w:cs="Arial" w:eastAsia="Arial" w:hAnsi="Arial"/>
                <w:sz w:val="14"/>
                <w:szCs w:val="14"/>
                <w:b w:val="1"/>
                <w:bCs w:val="1"/>
                <w:color w:val="auto"/>
                <w:w w:val="89"/>
              </w:rPr>
              <w:t>2005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As reported:</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420"/>
              <w:spacing w:after="0"/>
              <w:rPr>
                <w:sz w:val="20"/>
                <w:szCs w:val="20"/>
                <w:color w:val="auto"/>
              </w:rPr>
            </w:pPr>
            <w:r>
              <w:rPr>
                <w:rFonts w:ascii="Arial" w:cs="Arial" w:eastAsia="Arial" w:hAnsi="Arial"/>
                <w:sz w:val="18"/>
                <w:szCs w:val="18"/>
                <w:color w:val="auto"/>
              </w:rPr>
              <w:t>Operating revenues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w w:val="88"/>
              </w:rPr>
              <w:t>3,410</w:t>
            </w:r>
          </w:p>
        </w:tc>
        <w:tc>
          <w:tcPr>
            <w:tcW w:w="540" w:type="dxa"/>
            <w:vAlign w:val="bottom"/>
          </w:tcPr>
          <w:p>
            <w:pPr>
              <w:spacing w:after="0"/>
              <w:rPr>
                <w:sz w:val="18"/>
                <w:szCs w:val="18"/>
                <w:color w:val="auto"/>
              </w:rPr>
            </w:pPr>
          </w:p>
        </w:tc>
        <w:tc>
          <w:tcPr>
            <w:tcW w:w="24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operations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565</w:t>
            </w:r>
          </w:p>
        </w:tc>
        <w:tc>
          <w:tcPr>
            <w:tcW w:w="5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880" w:type="dxa"/>
            <w:vAlign w:val="bottom"/>
          </w:tcPr>
          <w:p>
            <w:pPr>
              <w:ind w:left="220"/>
              <w:spacing w:after="0"/>
              <w:rPr>
                <w:sz w:val="20"/>
                <w:szCs w:val="20"/>
                <w:color w:val="auto"/>
              </w:rPr>
            </w:pPr>
            <w:r>
              <w:rPr>
                <w:rFonts w:ascii="Arial" w:cs="Arial" w:eastAsia="Arial" w:hAnsi="Arial"/>
                <w:sz w:val="18"/>
                <w:szCs w:val="18"/>
                <w:b w:val="1"/>
                <w:bCs w:val="1"/>
                <w:color w:val="auto"/>
              </w:rPr>
              <w:t>Income from Operations as a percent of Revenue (a)</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16.6%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Adjustments to Income from Operations: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420"/>
              <w:spacing w:after="0"/>
              <w:rPr>
                <w:sz w:val="20"/>
                <w:szCs w:val="20"/>
                <w:color w:val="auto"/>
              </w:rPr>
            </w:pPr>
            <w:r>
              <w:rPr>
                <w:rFonts w:ascii="Arial" w:cs="Arial" w:eastAsia="Arial" w:hAnsi="Arial"/>
                <w:sz w:val="18"/>
                <w:szCs w:val="18"/>
                <w:color w:val="auto"/>
              </w:rPr>
              <w:t>Income from divestitures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8"/>
                <w:szCs w:val="18"/>
                <w:color w:val="auto"/>
              </w:rPr>
              <w:t>($40)</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impairments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80" w:type="dxa"/>
            <w:vAlign w:val="bottom"/>
          </w:tcPr>
          <w:p>
            <w:pPr>
              <w:ind w:left="620"/>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As adjusted:</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420"/>
              <w:spacing w:after="0"/>
              <w:rPr>
                <w:sz w:val="20"/>
                <w:szCs w:val="20"/>
                <w:color w:val="auto"/>
              </w:rPr>
            </w:pPr>
            <w:r>
              <w:rPr>
                <w:rFonts w:ascii="Arial" w:cs="Arial" w:eastAsia="Arial" w:hAnsi="Arial"/>
                <w:sz w:val="18"/>
                <w:szCs w:val="18"/>
                <w:color w:val="auto"/>
              </w:rPr>
              <w:t>Operating revenues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w w:val="88"/>
              </w:rPr>
              <w:t>3,410</w:t>
            </w:r>
          </w:p>
        </w:tc>
        <w:tc>
          <w:tcPr>
            <w:tcW w:w="540" w:type="dxa"/>
            <w:vAlign w:val="bottom"/>
          </w:tcPr>
          <w:p>
            <w:pPr>
              <w:spacing w:after="0"/>
              <w:rPr>
                <w:sz w:val="18"/>
                <w:szCs w:val="18"/>
                <w:color w:val="auto"/>
              </w:rPr>
            </w:pPr>
          </w:p>
        </w:tc>
        <w:tc>
          <w:tcPr>
            <w:tcW w:w="24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operations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538</w:t>
            </w:r>
          </w:p>
        </w:tc>
        <w:tc>
          <w:tcPr>
            <w:tcW w:w="5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880" w:type="dxa"/>
            <w:vAlign w:val="bottom"/>
          </w:tcPr>
          <w:p>
            <w:pPr>
              <w:ind w:left="220"/>
              <w:spacing w:after="0"/>
              <w:rPr>
                <w:sz w:val="20"/>
                <w:szCs w:val="20"/>
                <w:color w:val="auto"/>
              </w:rPr>
            </w:pPr>
            <w:r>
              <w:rPr>
                <w:rFonts w:ascii="Arial" w:cs="Arial" w:eastAsia="Arial" w:hAnsi="Arial"/>
                <w:sz w:val="18"/>
                <w:szCs w:val="18"/>
                <w:b w:val="1"/>
                <w:bCs w:val="1"/>
                <w:color w:val="auto"/>
              </w:rPr>
              <w:t>Adjusted Income from Operations as a percent of Revenue (b)</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15.8%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342"/>
        </w:trPr>
        <w:tc>
          <w:tcPr>
            <w:tcW w:w="5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June 30, 2006</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8"/>
              </w:rPr>
              <w:t>June 30, 2005</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After-tax</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rPr>
              <w:t>Per</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After-tax</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86"/>
        </w:trPr>
        <w:tc>
          <w:tcPr>
            <w:tcW w:w="58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Net income and Diluted Earnings per Share</w:t>
            </w:r>
          </w:p>
        </w:tc>
        <w:tc>
          <w:tcPr>
            <w:tcW w:w="66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Share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6"/>
                <w:szCs w:val="16"/>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5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income and Diluted EPS, as reported (c)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417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0.76</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527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0.92</w:t>
            </w:r>
          </w:p>
        </w:tc>
        <w:tc>
          <w:tcPr>
            <w:tcW w:w="0" w:type="dxa"/>
            <w:vAlign w:val="bottom"/>
          </w:tcPr>
          <w:p>
            <w:pPr>
              <w:spacing w:after="0"/>
              <w:rPr>
                <w:sz w:val="1"/>
                <w:szCs w:val="1"/>
                <w:color w:val="auto"/>
              </w:rPr>
            </w:pPr>
          </w:p>
        </w:tc>
      </w:tr>
      <w:tr>
        <w:trPr>
          <w:trHeight w:val="432"/>
        </w:trPr>
        <w:tc>
          <w:tcPr>
            <w:tcW w:w="5880" w:type="dxa"/>
            <w:vAlign w:val="bottom"/>
          </w:tcPr>
          <w:p>
            <w:pPr>
              <w:ind w:left="220"/>
              <w:spacing w:after="0"/>
              <w:rPr>
                <w:sz w:val="20"/>
                <w:szCs w:val="20"/>
                <w:color w:val="auto"/>
              </w:rPr>
            </w:pPr>
            <w:r>
              <w:rPr>
                <w:rFonts w:ascii="Arial" w:cs="Arial" w:eastAsia="Arial" w:hAnsi="Arial"/>
                <w:sz w:val="18"/>
                <w:szCs w:val="18"/>
                <w:b w:val="1"/>
                <w:bCs w:val="1"/>
                <w:color w:val="auto"/>
              </w:rPr>
              <w:t>Adjustments to Net income and Diluted EPS: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audit settlements and other tax items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5880" w:type="dxa"/>
            <w:vAlign w:val="bottom"/>
          </w:tcPr>
          <w:p>
            <w:pPr>
              <w:ind w:left="420"/>
              <w:spacing w:after="0"/>
              <w:rPr>
                <w:sz w:val="20"/>
                <w:szCs w:val="20"/>
                <w:color w:val="auto"/>
              </w:rPr>
            </w:pPr>
            <w:r>
              <w:rPr>
                <w:rFonts w:ascii="Arial" w:cs="Arial" w:eastAsia="Arial" w:hAnsi="Arial"/>
                <w:sz w:val="18"/>
                <w:szCs w:val="18"/>
                <w:color w:val="auto"/>
              </w:rPr>
              <w:t>After-tax impact of above Adjustments to Income from Operations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income and Diluted EPS, as adjusted (d)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249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0.45</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219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0.38</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in Income from Operations as a percent of Revenue, as reported, of 250 basis points.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in Income from Operations as a percent of Revenue, as adjusted, of 160 basis points.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 in Net income and Diluted EPS, as reported, of 20.8% and 17.4%, respectively.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in Net income and Diluted EPS, as adjusted, of 13.7% and 18.4%,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w:t>
      </w:r>
    </w:p>
    <w:sectPr>
      <w:pgSz w:w="11900" w:h="16838" w:orient="portrait"/>
      <w:cols w:equalWidth="0" w:num="1">
        <w:col w:w="11420"/>
      </w:cols>
      <w:pgMar w:left="240" w:top="9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877"/>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2019-12-20T03:51:48Z</dcterms:created>
  <dcterms:modified xsi:type="dcterms:W3CDTF">2019-12-20T03:51:48Z</dcterms:modified>
</cp:coreProperties>
</file>