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106" w:lineRule="exact"/>
        <w:rPr>
          <w:sz w:val="24"/>
          <w:szCs w:val="24"/>
          <w:color w:val="auto"/>
        </w:rPr>
      </w:pPr>
    </w:p>
    <w:p>
      <w:pPr>
        <w:ind w:left="520" w:right="1400" w:hanging="373"/>
        <w:spacing w:after="0" w:line="381" w:lineRule="auto"/>
        <w:tabs>
          <w:tab w:leader="none" w:pos="5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AND EXCHANGE ACT OF 1934 For the fiscal year ended December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AND EXCHANGE ACT OF 1934</w:t>
      </w:r>
    </w:p>
    <w:p>
      <w:pPr>
        <w:spacing w:after="0" w:line="94" w:lineRule="exact"/>
        <w:rPr>
          <w:sz w:val="24"/>
          <w:szCs w:val="24"/>
          <w:color w:val="auto"/>
        </w:rPr>
      </w:pPr>
    </w:p>
    <w:tbl>
      <w:tblPr>
        <w:tblLayout w:type="fixed"/>
        <w:tblInd w:w="260" w:type="dxa"/>
        <w:tblCellMar>
          <w:top w:w="0" w:type="dxa"/>
          <w:left w:w="0" w:type="dxa"/>
          <w:bottom w:w="0" w:type="dxa"/>
          <w:right w:w="0" w:type="dxa"/>
        </w:tblCellMar>
      </w:tblPr>
      <w:tr>
        <w:trPr>
          <w:trHeight w:val="212"/>
        </w:trPr>
        <w:tc>
          <w:tcPr>
            <w:tcW w:w="270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6"/>
                <w:szCs w:val="16"/>
                <w:b w:val="1"/>
                <w:bCs w:val="1"/>
                <w:color w:val="auto"/>
              </w:rPr>
              <w:t>Commission file number 1-12154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80" w:type="dxa"/>
            <w:vAlign w:val="bottom"/>
            <w:gridSpan w:val="4"/>
          </w:tcPr>
          <w:p>
            <w:pPr>
              <w:jc w:val="center"/>
              <w:ind w:right="2588"/>
              <w:spacing w:after="0"/>
              <w:rPr>
                <w:sz w:val="20"/>
                <w:szCs w:val="20"/>
                <w:color w:val="auto"/>
              </w:rPr>
            </w:pPr>
            <w:r>
              <w:rPr>
                <w:rFonts w:ascii="Times New Roman" w:cs="Times New Roman" w:eastAsia="Times New Roman" w:hAnsi="Times New Roman"/>
                <w:sz w:val="40"/>
                <w:szCs w:val="40"/>
                <w:b w:val="1"/>
                <w:bCs w:val="1"/>
                <w:color w:val="auto"/>
                <w:w w:val="98"/>
              </w:rPr>
              <w:t>Waste Management, Inc.</w:t>
            </w: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80" w:type="dxa"/>
            <w:vAlign w:val="bottom"/>
          </w:tcPr>
          <w:p>
            <w:pPr>
              <w:spacing w:after="0"/>
              <w:rPr>
                <w:sz w:val="18"/>
                <w:szCs w:val="18"/>
                <w:color w:val="auto"/>
              </w:rPr>
            </w:pPr>
          </w:p>
        </w:tc>
        <w:tc>
          <w:tcPr>
            <w:tcW w:w="1820" w:type="dxa"/>
            <w:vAlign w:val="bottom"/>
            <w:gridSpan w:val="2"/>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jc w:val="right"/>
              <w:ind w:right="1828"/>
              <w:spacing w:after="0"/>
              <w:rPr>
                <w:sz w:val="20"/>
                <w:szCs w:val="20"/>
                <w:color w:val="auto"/>
              </w:rPr>
            </w:pPr>
            <w:r>
              <w:rPr>
                <w:rFonts w:ascii="Times New Roman" w:cs="Times New Roman" w:eastAsia="Times New Roman" w:hAnsi="Times New Roman"/>
                <w:sz w:val="14"/>
                <w:szCs w:val="14"/>
                <w:b w:val="1"/>
                <w:bCs w:val="1"/>
                <w:color w:val="auto"/>
              </w:rPr>
              <w:t>73-1309529</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980" w:type="dxa"/>
            <w:vAlign w:val="bottom"/>
            <w:gridSpan w:val="5"/>
          </w:tcPr>
          <w:p>
            <w:pPr>
              <w:jc w:val="center"/>
              <w:ind w:right="3120"/>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282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2820" w:type="dxa"/>
            <w:vAlign w:val="bottom"/>
          </w:tcPr>
          <w:p>
            <w:pPr>
              <w:jc w:val="center"/>
              <w:ind w:right="160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b w:val="1"/>
                <w:bCs w:val="1"/>
                <w:color w:val="auto"/>
              </w:rPr>
              <w:t>800 Capitol Street</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20" w:type="dxa"/>
            <w:vAlign w:val="bottom"/>
            <w:gridSpan w:val="2"/>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Suite 3000</w:t>
            </w: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restart"/>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77002</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980" w:type="dxa"/>
            <w:vAlign w:val="bottom"/>
            <w:gridSpan w:val="5"/>
          </w:tcPr>
          <w:p>
            <w:pPr>
              <w:jc w:val="center"/>
              <w:ind w:right="3120"/>
              <w:spacing w:after="0" w:line="149" w:lineRule="exact"/>
              <w:rPr>
                <w:sz w:val="20"/>
                <w:szCs w:val="20"/>
                <w:color w:val="auto"/>
              </w:rPr>
            </w:pPr>
            <w:r>
              <w:rPr>
                <w:rFonts w:ascii="Times New Roman" w:cs="Times New Roman" w:eastAsia="Times New Roman" w:hAnsi="Times New Roman"/>
                <w:sz w:val="14"/>
                <w:szCs w:val="14"/>
                <w:b w:val="1"/>
                <w:bCs w:val="1"/>
                <w:color w:val="auto"/>
              </w:rPr>
              <w:t>Houston, Texas</w:t>
            </w: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820" w:type="dxa"/>
            <w:vAlign w:val="bottom"/>
          </w:tcPr>
          <w:p>
            <w:pPr>
              <w:jc w:val="center"/>
              <w:ind w:right="162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gridSpan w:val="2"/>
          </w:tcPr>
          <w:p>
            <w:pPr>
              <w:jc w:val="center"/>
              <w:ind w:left="1589"/>
              <w:spacing w:after="0"/>
              <w:rPr>
                <w:sz w:val="20"/>
                <w:szCs w:val="20"/>
                <w:color w:val="auto"/>
              </w:rPr>
            </w:pPr>
            <w:r>
              <w:rPr>
                <w:rFonts w:ascii="Times New Roman" w:cs="Times New Roman" w:eastAsia="Times New Roman" w:hAnsi="Times New Roman"/>
                <w:sz w:val="14"/>
                <w:szCs w:val="14"/>
                <w:b w:val="1"/>
                <w:bCs w:val="1"/>
                <w:color w:val="auto"/>
              </w:rPr>
              <w:t>(713) 512-6200</w:t>
            </w: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50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Common Stock, $0.01 par</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w:t>
            </w:r>
          </w:p>
        </w:tc>
        <w:tc>
          <w:tcPr>
            <w:tcW w:w="166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color w:val="auto"/>
              </w:rPr>
              <w:t>WM</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42"/>
        </w:trPr>
        <w:tc>
          <w:tcPr>
            <w:tcW w:w="6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by Rule 405 of the Securities Act.</w:t>
            </w:r>
          </w:p>
        </w:tc>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left="2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Regulations S-T (§</w:t>
      </w:r>
    </w:p>
    <w:p>
      <w:pPr>
        <w:spacing w:after="0" w:line="12" w:lineRule="exact"/>
        <w:rPr>
          <w:sz w:val="24"/>
          <w:szCs w:val="24"/>
          <w:color w:val="auto"/>
        </w:rPr>
      </w:pPr>
    </w:p>
    <w:p>
      <w:pPr>
        <w:ind w:left="20"/>
        <w:spacing w:after="0" w:line="161" w:lineRule="exact"/>
        <w:tabs>
          <w:tab w:leader="none" w:pos="8960" w:val="left"/>
        </w:tabs>
        <w:rPr>
          <w:sz w:val="20"/>
          <w:szCs w:val="20"/>
          <w:color w:val="auto"/>
        </w:rPr>
      </w:pPr>
      <w:r>
        <w:rPr>
          <w:rFonts w:ascii="Times New Roman" w:cs="Times New Roman" w:eastAsia="Times New Roman" w:hAnsi="Times New Roman"/>
          <w:sz w:val="14"/>
          <w:szCs w:val="14"/>
          <w:color w:val="auto"/>
        </w:rPr>
        <w:t xml:space="preserve">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5" w:lineRule="exact"/>
        <w:rPr>
          <w:sz w:val="24"/>
          <w:szCs w:val="24"/>
          <w:color w:val="auto"/>
        </w:rPr>
      </w:pPr>
    </w:p>
    <w:p>
      <w:pPr>
        <w:ind w:left="20" w:right="20" w:firstLine="25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3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62"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6" w:lineRule="exact"/>
        <w:rPr>
          <w:sz w:val="24"/>
          <w:szCs w:val="24"/>
          <w:color w:val="auto"/>
        </w:rPr>
      </w:pPr>
    </w:p>
    <w:p>
      <w:pPr>
        <w:sectPr>
          <w:pgSz w:w="11900" w:h="16838" w:orient="portrait"/>
          <w:cols w:equalWidth="0" w:num="2">
            <w:col w:w="7760" w:space="720"/>
            <w:col w:w="1760"/>
          </w:cols>
          <w:pgMar w:left="820" w:top="661" w:right="839" w:bottom="1440" w:gutter="0" w:footer="0" w:header="0"/>
          <w:type w:val="continuous"/>
        </w:sectPr>
      </w:pPr>
    </w:p>
    <w:p>
      <w:pPr>
        <w:jc w:val="both"/>
        <w:ind w:lef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left="20" w:righ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lef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left="20" w:right="20" w:firstLine="259"/>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 w:lineRule="exact"/>
        <w:rPr>
          <w:sz w:val="24"/>
          <w:szCs w:val="24"/>
          <w:color w:val="auto"/>
        </w:rPr>
      </w:pPr>
    </w:p>
    <w:p>
      <w:pPr>
        <w:ind w:left="26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jc w:val="both"/>
        <w:ind w:left="20" w:firstLine="25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2023 was approximately $70.1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The number of shares of Common Stock, $0.01 par value, of the registrant outstanding as of February 8, 2024 was 401,598,077 (excluding treasury shares of 228,684,384).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3200" w:type="dxa"/>
            <w:vAlign w:val="bottom"/>
            <w:gridSpan w:val="2"/>
          </w:tcPr>
          <w:p>
            <w:pPr>
              <w:jc w:val="center"/>
              <w:ind w:right="2493"/>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4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Incorporated as to</w:t>
            </w:r>
          </w:p>
        </w:tc>
      </w:tr>
      <w:tr>
        <w:trPr>
          <w:trHeight w:val="119"/>
        </w:trPr>
        <w:tc>
          <w:tcPr>
            <w:tcW w:w="2200" w:type="dxa"/>
            <w:vAlign w:val="bottom"/>
          </w:tcPr>
          <w:p>
            <w:pPr>
              <w:ind w:left="1840"/>
              <w:spacing w:after="0" w:line="119" w:lineRule="exact"/>
              <w:rPr>
                <w:sz w:val="20"/>
                <w:szCs w:val="20"/>
                <w:color w:val="auto"/>
              </w:rPr>
            </w:pPr>
            <w:r>
              <w:rPr>
                <w:rFonts w:ascii="Times New Roman" w:cs="Times New Roman" w:eastAsia="Times New Roman" w:hAnsi="Times New Roman"/>
                <w:sz w:val="13"/>
                <w:szCs w:val="13"/>
                <w:color w:val="auto"/>
              </w:rPr>
              <w:t>Proxy</w:t>
            </w: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Statement</w:t>
            </w:r>
          </w:p>
        </w:tc>
        <w:tc>
          <w:tcPr>
            <w:tcW w:w="25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for the</w:t>
            </w:r>
          </w:p>
        </w:tc>
        <w:tc>
          <w:tcPr>
            <w:tcW w:w="17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Part III</w:t>
            </w:r>
          </w:p>
        </w:tc>
        <w:tc>
          <w:tcPr>
            <w:tcW w:w="1940" w:type="dxa"/>
            <w:vAlign w:val="bottom"/>
          </w:tcPr>
          <w:p>
            <w:pPr>
              <w:spacing w:after="0"/>
              <w:rPr>
                <w:sz w:val="10"/>
                <w:szCs w:val="10"/>
                <w:color w:val="auto"/>
              </w:rPr>
            </w:pPr>
          </w:p>
        </w:tc>
      </w:tr>
      <w:tr>
        <w:trPr>
          <w:trHeight w:val="188"/>
        </w:trPr>
        <w:tc>
          <w:tcPr>
            <w:tcW w:w="5400" w:type="dxa"/>
            <w:vAlign w:val="bottom"/>
            <w:gridSpan w:val="3"/>
          </w:tcPr>
          <w:p>
            <w:pPr>
              <w:jc w:val="center"/>
              <w:ind w:right="293"/>
              <w:spacing w:after="0"/>
              <w:rPr>
                <w:sz w:val="20"/>
                <w:szCs w:val="20"/>
                <w:color w:val="auto"/>
              </w:rPr>
            </w:pPr>
            <w:r>
              <w:rPr>
                <w:rFonts w:ascii="Times New Roman" w:cs="Times New Roman" w:eastAsia="Times New Roman" w:hAnsi="Times New Roman"/>
                <w:sz w:val="14"/>
                <w:szCs w:val="14"/>
                <w:color w:val="auto"/>
              </w:rPr>
              <w:t>2024 Annual Meeting of Stockholders</w:t>
            </w:r>
          </w:p>
        </w:tc>
        <w:tc>
          <w:tcPr>
            <w:tcW w:w="1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64"/>
        </w:trPr>
        <w:tc>
          <w:tcPr>
            <w:tcW w:w="2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81"/>
        </w:trPr>
        <w:tc>
          <w:tcPr>
            <w:tcW w:w="2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574"/>
        </w:trPr>
        <w:tc>
          <w:tcPr>
            <w:tcW w:w="2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gridSpan w:val="19"/>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w:t>
            </w:r>
          </w:p>
        </w:tc>
        <w:tc>
          <w:tcPr>
            <w:tcW w:w="3520" w:type="dxa"/>
            <w:vAlign w:val="bottom"/>
            <w:gridSpan w:val="11"/>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774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EE"/>
              </w:rPr>
              <w:t>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100" w:type="dxa"/>
            <w:vAlign w:val="bottom"/>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1C.</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14"/>
          </w:tcPr>
          <w:p>
            <w:pPr>
              <w:jc w:val="center"/>
              <w:ind w:right="3500"/>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6420" w:type="dxa"/>
            <w:vAlign w:val="bottom"/>
            <w:tcBorders>
              <w:top w:val="single" w:sz="8" w:color="0000EE"/>
            </w:tcBorders>
            <w:gridSpan w:val="24"/>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100" w:type="dxa"/>
            <w:vAlign w:val="bottom"/>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00" w:type="dxa"/>
            <w:vAlign w:val="bottom"/>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100" w:type="dxa"/>
            <w:vAlign w:val="bottom"/>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9C.</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bottom w:val="single" w:sz="8" w:color="0000EE"/>
            </w:tcBorders>
            <w:gridSpan w:val="8"/>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720" w:type="dxa"/>
            <w:vAlign w:val="bottom"/>
            <w:tcBorders>
              <w:top w:val="single" w:sz="8" w:color="0000EE"/>
            </w:tcBorders>
            <w:gridSpan w:val="2"/>
          </w:tcPr>
          <w:p>
            <w:pPr>
              <w:spacing w:after="0"/>
              <w:rPr>
                <w:sz w:val="17"/>
                <w:szCs w:val="17"/>
                <w:color w:val="auto"/>
              </w:rPr>
            </w:pPr>
          </w:p>
        </w:tc>
        <w:tc>
          <w:tcPr>
            <w:tcW w:w="272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10.</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346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15.</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80" w:type="dxa"/>
            <w:vAlign w:val="bottom"/>
            <w:gridSpan w:val="2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w:t>
            </w:r>
          </w:p>
        </w:tc>
        <w:tc>
          <w:tcPr>
            <w:tcW w:w="180" w:type="dxa"/>
            <w:vAlign w:val="bottom"/>
            <w:gridSpan w:val="2"/>
          </w:tcPr>
          <w:p>
            <w:pPr>
              <w:spacing w:after="0"/>
              <w:rPr>
                <w:sz w:val="17"/>
                <w:szCs w:val="17"/>
                <w:color w:val="auto"/>
              </w:rPr>
            </w:pPr>
          </w:p>
        </w:tc>
        <w:tc>
          <w:tcPr>
            <w:tcW w:w="7740" w:type="dxa"/>
            <w:vAlign w:val="bottom"/>
            <w:gridSpan w:val="31"/>
          </w:tcPr>
          <w:p>
            <w:pPr>
              <w:ind w:left="12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projections, estimates or assumptions relating to our operational or financial performance, including anticipated impacts of the Inflation Reduction Act of 2022; projections, estimates or assumptions relating to our capital expenditures; or our opinions, views or beliefs about the effects of current or future events, circumstances or performance.</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and may also be described from time to time in our future reports filed with the U.S. Securities and Exchange Commission (“SEC”). We do not undertake any obligation to update forward-looking statements to reflect events, circumstances, changes in expectations or other developments after the date of those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800 Capitol Street, Suite 3000,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 During 2023, our largest customer represented less than 5% of annual revenues.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own or operate 263 landfill sites, which is the largest network of landfills throughout the U.S. and Canada. In order to make disposal more practical for larger urban markets, where the distance to landfills is typically farther, we manage 332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the U.S. and Canada, handling materials that include cardboard, paper, glass, plastic and metal. We provide cost-efficient, environmentally sound recycling programs for municipalities, businesses and households across the U.S. and Canada as well as other services that supplement our solid waste business.</w:t>
      </w:r>
    </w:p>
    <w:p>
      <w:pPr>
        <w:spacing w:after="0" w:line="18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Processing and Sales businesses, while increasing automation and reducing labor dependency. We are also evaluating and pursuing emerging diversion technologies that may generate additional value.</w:t>
      </w:r>
    </w:p>
    <w:p>
      <w:pPr>
        <w:spacing w:after="0" w:line="196"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Our Company’s goals are targeted at putting our people first, positioning them to serve and care for our customers, the environment, the communities in which we work and our stockholders. Our brand promise is ALWAYS WORKING FOR A SUSTAINABLE TOMORROW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live this promise through our service offerings and sustainable solutions, our investments in innovation, our people, and our commitment to the future. Through our longtime focus on finding sustainable solutions, we continue to evolve beyond being a traditional environmental waste services company. Increasingly, our industry-leading focus on environmental sustainability aligns with demand from our customers who want more of their waste materials recovered. Waste streams are becoming more complex, and our aim is to address current needs, while anticipating the expanding and evolving needs of our customers. We believe we are uniquely equipped to meet the challenges of the changing waste industry and our customers’ waste management needs, both today and tomorrow as we work together to envision and create a more sustainable future.</w:t>
      </w:r>
    </w:p>
    <w:p>
      <w:pPr>
        <w:spacing w:after="0" w:line="19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believe that execution of our strategy will deliver shareholder value and leadership in a dynamic industry and in any economic environment. In addition, we intend to continue to return value to our stockholders through dividend payments and our common stock repurchase program. In December 2023, we announced that our Board of Directors expects to increase the quarterly dividend from $0.70 to $0.75 per share for dividends declared in 2024, which is a 7.1% increase from the quarterly dividends we declared in 2023. This is an indication of our ability to generate strong and consistent cash flows and marks the 21st consecutive year of dividend increases. All quarterly dividends will be declared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88" w:lineRule="exact"/>
        <w:rPr>
          <w:sz w:val="20"/>
          <w:szCs w:val="20"/>
          <w:color w:val="auto"/>
        </w:rPr>
      </w:pPr>
    </w:p>
    <w:p>
      <w:pPr>
        <w:jc w:val="center"/>
        <w:ind w:right="8039"/>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and WM Renewable Energy businesses, beginning in the fourth quarter of 2023, our senior management revised its segment reporting to (i) reflect the financial results of our collection, transfer, disposal and resource recovery services businesses independently; (ii) combine the results of all recycling facilities from our East and West Tier segments with our recycling brokerage and sales activities to form a newly created Recycling Processing and</w:t>
      </w:r>
    </w:p>
    <w:p>
      <w:pPr>
        <w:sectPr>
          <w:pgSz w:w="11900" w:h="16838" w:orient="portrait"/>
          <w:cols w:equalWidth="0" w:num="1">
            <w:col w:w="9019"/>
          </w:cols>
          <w:pgMar w:left="1440" w:top="607"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reportable segment and (iii) include our WM Renewable Energy business as a reportable segment. Accordingly, our senior management now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Tiers, along with certain ancillary services (“Other Ancillary”) not managed through our Tier segments, but that support our collection and disposal operations, form our “Collection and Disposal” businesses.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East Tier primarily consists of geographic areas located in the Eastern U.S., the Great Lakes region and substantially all of Canada. Our West Tier primarily includes geographic areas located in the Western U.S., including the upper Midwest region, and British Columbia, Canada.</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also provide additional services not managed through our four reportable segments, which are presented as Corporate and Other. For further discussion refer to Note 19 of our Consolidated Financial Statements. Reclassifications have been made to our prior period consolidated financial information to conform to the current year presentation.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Services provided through our Collection and Disposal businesses are described below:</w:t>
      </w:r>
    </w:p>
    <w:p>
      <w:pPr>
        <w:spacing w:after="0" w:line="223"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Collection. </w:t>
      </w:r>
      <w:r>
        <w:rPr>
          <w:rFonts w:ascii="Times New Roman" w:cs="Times New Roman" w:eastAsia="Times New Roman" w:hAnsi="Times New Roman"/>
          <w:sz w:val="18"/>
          <w:szCs w:val="18"/>
          <w:color w:val="auto"/>
        </w:rPr>
        <w:t>Our commitment to customers begins with a vast waste collection network. Collection involves picking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transporting waste and recyclable materials from where it was generated to a transfer station, recycling facility or disposal site. We generally provide collection services under one of two types of arrangements:</w:t>
      </w:r>
    </w:p>
    <w:p>
      <w:pPr>
        <w:spacing w:after="0" w:line="175" w:lineRule="exact"/>
        <w:rPr>
          <w:sz w:val="20"/>
          <w:szCs w:val="20"/>
          <w:color w:val="auto"/>
        </w:rPr>
      </w:pPr>
    </w:p>
    <w:p>
      <w:pPr>
        <w:jc w:val="both"/>
        <w:ind w:left="720" w:right="79" w:hanging="319"/>
        <w:spacing w:after="0" w:line="25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collection services, typically we have three-year service agreements.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ten years and typically mirror maximum terms as allowed by statutes by state. We also provide services under individual monthly subscriptions directly to households. The fees for residential collection are either paid by the municipality or authority from their tax revenues or service charges, or are paid directly by the residents receiving the service. The Company is generally phasing out traditional manual systems and moving to further automate residential collection services. Benefits of automation include enhanced worker safety, improved service delivery to the customer and an overall reduction in the cost to provide services.</w:t>
      </w:r>
    </w:p>
    <w:p>
      <w:pPr>
        <w:spacing w:after="0" w:line="18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Landfill. </w:t>
      </w:r>
      <w:r>
        <w:rPr>
          <w:rFonts w:ascii="Times New Roman" w:cs="Times New Roman" w:eastAsia="Times New Roman" w:hAnsi="Times New Roman"/>
          <w:sz w:val="18"/>
          <w:szCs w:val="18"/>
          <w:color w:val="auto"/>
        </w:rPr>
        <w:t>Landfills are the main depositories for solid waste in North America. As of December 31, 2023, we owned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operated 258 solid waste landfills and five secure hazardous waste landfills, which represents the largest network of landfills throughout the U.S. and Canada. As of December 31, 2023, we owned or controlled the management of 237 sites with remedial activities, that are in closure or that have received a certification of closure from the applicable regulatory agency.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All solid waste management companies must have access to a disposal facility, such as a solid waste landfill. The significant capital requirements of developing and operating a landfill serve as a barrier to landfill ownership and, thus,</w:t>
      </w:r>
    </w:p>
    <w:p>
      <w:pPr>
        <w:sectPr>
          <w:pgSz w:w="11900" w:h="16838" w:orient="portrait"/>
          <w:cols w:equalWidth="0" w:num="1">
            <w:col w:w="9019"/>
          </w:cols>
          <w:pgMar w:left="1440" w:top="60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our cost to construct, maintain and close the landfill, the distance to an alternative disposal facility, the type and weight or volume of solid waste deposited and competition.</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21 third-party power generating facilities converting our landfill gas to fuel electricity generators; (ii) 14 third-party renewable natural gas (“RNG”) facilities processing landfill gas to be sold to natural gas suppliers and (iii) two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83 landfill beneficial use renewable energy projects owned by WM Renewable Energy on our active landfills, which is eliminated in consolidation.</w:t>
      </w:r>
    </w:p>
    <w:p>
      <w:pPr>
        <w:spacing w:after="0" w:line="18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As of December 31, 2023, we owned or operated 332 transfer stations in the U.S. and Canada. We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at these stations, as do other waste haulers. The solid waste is then consolidated and compacted to reduce the volume and increase the density of the waste and transported by transfer trucks or by rail to disposal sites.</w:t>
      </w:r>
    </w:p>
    <w:p>
      <w:pPr>
        <w:spacing w:after="0" w:line="17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Other businesses providing collection and disposal services include the following:</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Business Solutions (“WMSBS”) </w:t>
      </w:r>
      <w:r>
        <w:rPr>
          <w:rFonts w:ascii="Times New Roman" w:cs="Times New Roman" w:eastAsia="Times New Roman" w:hAnsi="Times New Roman"/>
          <w:sz w:val="18"/>
          <w:szCs w:val="18"/>
          <w:color w:val="auto"/>
        </w:rPr>
        <w:t>— Although many waste management services such as collection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are local services, our WMSBS business works with customers whose locations span the U.S. and Canada. Our strategic accounts program provides these customers with streamlined service, enhanced reporting, measurement tools aimed at meeting sustainability objectives and centralized billing and management of accounts.</w:t>
      </w:r>
    </w:p>
    <w:p>
      <w:pPr>
        <w:sectPr>
          <w:pgSz w:w="11900" w:h="16838" w:orient="portrait"/>
          <w:cols w:equalWidth="0" w:num="1">
            <w:col w:w="9019"/>
          </w:cols>
          <w:pgMar w:left="1440" w:top="607"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Sustainability and Environmental Solutions (“SES”) </w:t>
      </w:r>
      <w:r>
        <w:rPr>
          <w:rFonts w:ascii="Times New Roman" w:cs="Times New Roman" w:eastAsia="Times New Roman" w:hAnsi="Times New Roman"/>
          <w:sz w:val="18"/>
          <w:szCs w:val="18"/>
          <w:color w:val="auto"/>
        </w:rPr>
        <w:t>— Our SES business collaborates with our geographic areas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WMSBS team to offer our customers end-to-end solutions that help businesses achieve their sustainability, recycling and waste diversion goals while meeting industry-specific compliance requirements and rising environmental demands. These solutions include (i) Sustainability Services, where our employees provide full-service waste management solutions and consulting services, working full-time onsite at our customers’ facilities or through remote-managed programs (this service is managed through our SES business but reflected principally in our collection line of business); (ii) remediation and construction services; (iii) management and marketing of fly ash, which is residue generated from the combustion of coal to generate electricity; and (iv) industrial waste services, which uses thermal and mechanical separation technologies to minimize waste volumes and recover commodities at the point of generation. The breadth of these service offerings, combined with our large and expanding network of technology-enabled infrastructure in recycling, organics, and renewable energy give us the ability to help customers reduce the amount of waste they generate, identify recycling opportunities, and determine efficient and environmentally friendly means for waste collection and disposal. Through these services, we aim to help customers increase circularity and accelerate their decarbonization goals.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Recycling involves the separation of reusable materials from the waste stream for processing and resale or other disposition. We are North America’s leading recycler of post-consumer materials. We not only collect materials from households and businesses across the U.S. and Canada, we also sell them to manufacturers to be recycled and sold generally within the North American market. Demand for recycled materials is generally growing. Several states have recently passed minimum-recycled-content mandates, and many companies are responding to requirements for recycled content from their own customers and to meet sustainability targets. We are helping expand the availability of recycled materials by investing in infrastructure, increasing access to recycling services and educating customers through our Recycle Right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w:t>
      </w:r>
    </w:p>
    <w:p>
      <w:pPr>
        <w:spacing w:after="0" w:line="7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recycling operations provide communities and businesses with an alternative to traditional landfill disposal and support our strategic goals to extract more value from the materials we manage. We were the first major solid waste company to focus on residential single-stream recycling, which allows customers to mix clean bottles, cans, paper and cardboard in one bin. Residential single-stream programs have greatly increased recycling volumes. Single-stream recycling is possible through the use of various mechanized screens and optical sorting technologies. In addition to advancing our single stream recycling programs for commercial applications, we continue to invest in recycling technologies and businesses designed to offer services and solutions to support and grow our current operations. We are investing in enhanced recycling facility technology at new and existing facilities to benefit labor productivity, support increased recycling capacity and allow for dynamic adjustments to respond to evolving end-market demands. In 2023, we opened eight new recycling facilities within the U.S. and Canada equipped with advanced recycling technology. We continue to invest in recycling facility automation and new markets across the U.S. and Canada. Our Recycling Processing and Sales segment includes the following:</w:t>
      </w:r>
    </w:p>
    <w:p>
      <w:pPr>
        <w:spacing w:after="0" w:line="188"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Materials processing — </w:t>
      </w:r>
      <w:r>
        <w:rPr>
          <w:rFonts w:ascii="Times New Roman" w:cs="Times New Roman" w:eastAsia="Times New Roman" w:hAnsi="Times New Roman"/>
          <w:sz w:val="18"/>
          <w:szCs w:val="18"/>
          <w:color w:val="auto"/>
        </w:rPr>
        <w:t>Through our collection operations and third-party customer base, we collect recyclable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from residential, commercial and industrial customers and direct these materials to one of our recycling facilities for processing. As of December 31, 2023, we operated 102 recycling facilities, of which 44 are single stream, where cardboard, paper, glass, metals, plastics, construction and demolition materials and other recycling commodities are recovered for resale or redirected for other purposes.</w:t>
      </w:r>
    </w:p>
    <w:p>
      <w:pPr>
        <w:spacing w:after="0" w:line="183" w:lineRule="exact"/>
        <w:rPr>
          <w:sz w:val="20"/>
          <w:szCs w:val="20"/>
          <w:color w:val="auto"/>
        </w:rPr>
      </w:pPr>
    </w:p>
    <w:p>
      <w:pPr>
        <w:jc w:val="both"/>
        <w:ind w:left="38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Recycling commodities — </w:t>
      </w:r>
      <w:r>
        <w:rPr>
          <w:rFonts w:ascii="Times New Roman" w:cs="Times New Roman" w:eastAsia="Times New Roman" w:hAnsi="Times New Roman"/>
          <w:sz w:val="18"/>
          <w:szCs w:val="18"/>
          <w:color w:val="auto"/>
        </w:rPr>
        <w:t>We market and resell recycling commodities globally. We manage the marketing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recycling commodities that are processed in our facilities by continuously analyzing market prices, logistics, market demands and product quality through our dedicated recycling service centers and account managers.</w:t>
      </w:r>
    </w:p>
    <w:p>
      <w:pPr>
        <w:spacing w:after="0" w:line="173" w:lineRule="exact"/>
        <w:rPr>
          <w:sz w:val="20"/>
          <w:szCs w:val="20"/>
          <w:color w:val="auto"/>
        </w:rPr>
      </w:pPr>
    </w:p>
    <w:p>
      <w:pPr>
        <w:jc w:val="both"/>
        <w:ind w:left="38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Recycling brokerage services </w:t>
      </w:r>
      <w:r>
        <w:rPr>
          <w:rFonts w:ascii="Times New Roman" w:cs="Times New Roman" w:eastAsia="Times New Roman" w:hAnsi="Times New Roman"/>
          <w:sz w:val="18"/>
          <w:szCs w:val="18"/>
          <w:color w:val="auto"/>
        </w:rPr>
        <w:t>— We also provide recycling brokerage services, which involve managing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of recyclable materials for third parties. Our experience in managing recycling commodities for our own operations gives us the expertise needed to effectively manage volumes for third parties. Utilizing the resources and capabilities of our recycling service centers and account managers, we can assist customers in marketing and selling their recycling commodities with minimal capital requirements.</w:t>
      </w:r>
    </w:p>
    <w:p>
      <w:pPr>
        <w:sectPr>
          <w:pgSz w:w="11900" w:h="16838" w:orient="portrait"/>
          <w:cols w:equalWidth="0" w:num="1">
            <w:col w:w="9019"/>
          </w:cols>
          <w:pgMar w:left="1440" w:top="607"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recyclable materials processed in our recycling facilities are received from various sources, including third parties and our own operations. In recent years, we have been focused on reducing dependency on market prices for recycled commodities by recovering our processing costs first. In our materials processing business, we have been transitioning our customer base over time from the traditional rebate model, where we paid suppliers for the inbound material, to a fee-for-service model that ensures the cost of processing the recyclable materials is covered along with an acceptable margin. With our current fee-for-service model, the pricing for these recyclable materials can either be a charge or “tip fee” when commodity pricing does not cover our cost to process the recyclable materials or a “rebate” when commodity pricing is higher than our processing costs and we are able to share this benefit with the customers generating recyclable materials. In some cases, our pricing is based on fixed contractual rates or on defined minimum per-ton rates. Generally, this pricing also considers the price we receive for sales of processed goods, market conditions and transportation costs. As a result, changes in commodity prices for recycled materials also significantly affect the pricing to our suppliers. Depending on the key terms of the arrangement, these “rebates” are recorded as either operating expenses or a reduction in operating revenues within our Consolidated Statements of Operations. If the key terms result in a charge to the customer, the associated “tip fees” would be recorded as operating revenues within our Consolidated Statements of Operations.</w:t>
      </w:r>
    </w:p>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Renewable Energy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develop, operate and promote projects for the beneficial use of landfill gas through our WM Renewable Energy businesses.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pipeline-quality RNG and then sold to natural gas suppliers.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12 third-party landfill beneficial gas use projects in return for service revenue. Our Collection and Disposal and Corporate and Other businesses benefit from these projects as well as 32 additional third-party landfill beneficial gas use projects in the form of royalties.</w:t>
      </w:r>
    </w:p>
    <w:p>
      <w:pPr>
        <w:spacing w:after="0" w:line="19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Renewable Energy converts landfill gas into several sources of renewable energy, which include RNG, electricity and capacity, heat and/or steam. WM Renewable Energy also generates RINs under the Renewable Fuel Standard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respond to regulations enacted by the EPA or other regulatory bodies, as well as fluctuations in supply and demand.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Included within our Corporate and Other businesses are closed sites that include (i) five third-party power generating facilities converting our landfill gas to fuel electricity generators; (ii) one third-party project delivering our landfill gas by pipeline to industrial customers as a direct substitute for fossil fuels in industrial processes and (iii) one third-party RNG processing landfill gas to be sold to natural gas suppliers in return for a royalty. Additionally, Corporate and Other benefits</w:t>
      </w:r>
    </w:p>
    <w:p>
      <w:pPr>
        <w:sectPr>
          <w:pgSz w:w="11900" w:h="16838" w:orient="portrait"/>
          <w:cols w:equalWidth="0" w:num="1">
            <w:col w:w="9019"/>
          </w:cols>
          <w:pgMar w:left="1440" w:top="607"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a 15% royalty from our WM Renewable Energy segment based on net operating revenue generated through the sale of RNG, RINs, electricity and capacity, RECs and related environmental attributes from the nine landfill beneficial use renewable energy projects owned by WM Renewable Energy on our closed sites, which is eliminated in consolidation.</w:t>
      </w:r>
    </w:p>
    <w:p>
      <w:pPr>
        <w:spacing w:after="0" w:line="176" w:lineRule="exact"/>
        <w:rPr>
          <w:sz w:val="20"/>
          <w:szCs w:val="20"/>
          <w:color w:val="auto"/>
        </w:rPr>
      </w:pPr>
    </w:p>
    <w:p>
      <w:pPr>
        <w:jc w:val="both"/>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We continue to invest in businesses and technologies that are designed to offer services and solutions ancillary or supplementary to our current operations. While most of these investments are in the form of minority equity stakes, they can also include joint ventures, joint development agreements or majority equity stakes. The solutions and services include</w:t>
      </w:r>
    </w:p>
    <w:p>
      <w:pPr>
        <w:spacing w:after="0" w:line="1" w:lineRule="exact"/>
        <w:rPr>
          <w:sz w:val="20"/>
          <w:szCs w:val="20"/>
          <w:color w:val="auto"/>
        </w:rPr>
      </w:pPr>
    </w:p>
    <w:p>
      <w:pPr>
        <w:jc w:val="both"/>
        <w:ind w:left="60" w:right="59" w:hanging="10"/>
        <w:spacing w:after="0" w:line="253" w:lineRule="auto"/>
        <w:tabs>
          <w:tab w:leader="none" w:pos="2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collection, processing, and recycling; (ii) the development, operation and marketing of waste processing facilities and technologies; (iii) operation of RNG plants and (iv) the development and operation of organic recycling technologies. Furthermore, we continually scout, evaluate and run proof-of-concepts of innovative technologies within our core operations to improve safety, operational efficiencies and customer solutions.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Operating costs, disposal costs and collection fees vary widely throughout the geographic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also compete for business based on breadth of service offerings. As companies, individuals and communities look for ways to be more sustainable, we are promoting our comprehensive services that go beyond our core business of collecting and disposing of waste in order to meet their needs.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we had approximately 48,000 full-time employees across the U.S., Canada and India.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44,600 employees were located within the U.S. and 3,400 employees were located outside of the U.S.</w:t>
      </w:r>
    </w:p>
    <w:p>
      <w:pPr>
        <w:sectPr>
          <w:pgSz w:w="11900" w:h="16838" w:orient="portrait"/>
          <w:cols w:equalWidth="0" w:num="1">
            <w:col w:w="9019"/>
          </w:cols>
          <w:pgMar w:left="1440" w:top="607"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Approximately 8,400 employees were employed in administrative and sales positions with the remainder in operations. Approximately 8,200 of our employees are covered by collective bargaining agreements. Additional information about our workforce can be found in our 2023 Sustainability Report at https://sustainability.wm.com. Our 2023 Sustainability Report does not constitute a part of, and is not incorporated by reference into, this report or any other report we file with (or furnish to) the SEC, whether made before or after the date of this Annual Report on Form 10-K.</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People First Commitment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People First commitment means knowing that the daily contributions of our team members are what enable us to play a vital role in the communities we serve. Our success depends upon effective leadership, the contributions of each employee, and our ability to give them the tools they need to safely execute their roles as well as to develop and excel in their careers. As our industry and workforce evolve, we are focused on our imperatives of keeping our employees safe, improving diversity and inclusion (“D&amp;I”) at all levels of our Company, managing employee turnover, increasing retention, succession planning and development, and supporting employee experience, ongoing cultural integration and knowledge transfer. We regularly focus on these objectives when managing our business.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strive to be a workplace of choice through competitive pay, comprehensive benefits for long-term financial and personal health and opportunities for growth across our ranks. "We Are WM" is our Employer Value Proposition, grounded in our People First commitment and shared through a framework that enables us to display that we are (i) investing in our teams by providing comprehensive benefits; (ii) committed to the growth of our team by providing state-of-the-art trainings and our education benefit, Your Tomorrow, as further discussed under </w:t>
      </w: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(iii) performing essential and meaningful work and (iv) working for a sustainable tomorrow by leaving the world a better place than we found it. Being an employer of choice is critical to our efforts to attract and retain a high-quality workforce, while motivating us to sharpen our focus on our values that help us empower and develop good employees. By promoting from within and offering training and experiential opportunities, we help employees maximize their effectiveness and grow in their careers.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Safety as a Core Value</w:t>
      </w:r>
    </w:p>
    <w:p>
      <w:pPr>
        <w:spacing w:after="0" w:line="229"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7"/>
          <w:szCs w:val="17"/>
          <w:color w:val="auto"/>
        </w:rPr>
        <w:t>At the Company, safety is a core value, with no compromise. A large number of our employee population work as drivers, heavy equipment operators and sorters, which are essential jobs that carry inherent risks. For nearly 20 years, we have engaged employees on safety to continually improve our culture and performance. As part of those efforts, in 2023 we developed and implemented a new safety vision for WM, which seeks to ensure that our employees make health and safety the foundation of their work, guiding each step they take. Our safety commitment is to value every voice, protect our communities, and work to enable everyone to get home safe, every day. Employees learn safety best practices through new-hire training, onboarding programs and ongoing training. To build upon lessons learned in training, we conduct structured observations of frontline employees that cover all aspects of our collection and post-collection operations, including driving, loading, unloading, lifting and lowering and arriving prepared for work. In 2022, the Company announced a safety goal focused on reduction of our Total Recordable Incident Rate (“TRIR”) by 3% annually, targeting TRIR of 2.0 annually by 2030. TRIR measures the number of injuries occurring per 100 employees per year (number of injuries per 200,000 hours). Our TRIR as of December 31, 2023 and 2022 was 3.08 and 3.02, respectively. While our overall results in 2023 did not demonstrate targeted progress toward the 2030 goal, we were able to determine that a significant driver of the measure in the current year was related to acquisition activity. We often find that the discipline and culture of the Company benefit acquired businesses. Accordingly, while there can be short-term impacts from acquisitions on measures such as TRIR, we are confident that the time and resources dedicated to bolstering our safety commitment have us on track for continued progress in the years ahead. The Company also remains focused on the prevention of serious injuries, and reduced the number of serious injuries that resulted in multiple days away from work or a change in job role by 8% in 2023.</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embrace and cultivate respect, trust, open communications and diversity of thought and people. We are committed to fostering an environment where all team members feel welcomed, valued and seen. We see D&amp;I as core in everything that we do. Our commitment to D&amp;I starts at the top with our senior leadership team being comprised of 20% ethnic minorities and 30% women as of December 31, 2023; and with our overall workforce in the U.S. being comprised of</w:t>
      </w:r>
    </w:p>
    <w:p>
      <w:pPr>
        <w:sectPr>
          <w:pgSz w:w="11900" w:h="16838" w:orient="portrait"/>
          <w:cols w:equalWidth="0" w:num="1">
            <w:col w:w="9019"/>
          </w:cols>
          <w:pgMar w:left="1440" w:top="607"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approximately 43% ethnic minorities and approximately 19% women as of the same date. We are proud of what we have been able to achieve so far, and we will continue to strive to further embed D&amp;I within the Company. To solidify this commitment, in 2022 the Company developed two new D&amp;I goals: (i) increase the overall representation of women in our workforce and (ii) increase the representation of racial/ethnic minority employees in our manager roles and above. To enable us to achieve our goals, we have empowered a cross-functional D&amp;I Council to evaluate and enhance our policies, practices and procedures, recruitment and partnerships to ensure that our D&amp;I efforts are sustainable and are tied to our business strategy.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Learning and Development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offer expansive learning and development solutions to meet the development needs of our people and support opportunities for growth and improvement. Our talent management strategy is designed to reach employees at all levels. Given the wide variety of employee roles and skill sets in our Company, our training and development programs are varied but generally fall into the following categories: (i) compliance, including Code of Conduct and cybersecurity training; (ii) safety; (iii) environmental excellence; (iv) professional development and leadership and (v) job-specific.</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objective of our compensation and benefit programs is to attract, engage, reward and incentivize valuable employees who will support the successful execution of our strategy. We pay the full cost to provide employees with short-term disability benefits, long-term disability benefits, basic life insurance for the employee and their dependents, and employee and family assistance benefits. The costs for medical and dental coverage are shared with employees, with the Company paying for a majority of the premium expense. The Company offers other important benefits such as paid vacation and holidays, mental health services, legal services, flexible spending accounts, dependent care assistance, adoption assistance, employee discounts and student loan refinancing services. We also recognize the value of learning beyond the workplace. In 2021, we announced a new education benefit, Your Tomorrow. Your Tomorrow was created in partnership with Guild Education to pay 100% of benefits-eligible employees’ and dependents’ tuition for a broad range of four-year college degree programs, as well as programs such as high-school equivalency and, for employees, other certificate programs and graduate degrees. We also provide plans to help employees save for their future. Refer to Note 9 to the Consolidated Financial Statements for additional information on our employee benefit plans.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Assurance and Insurance Obligations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Assurance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certain variable-rate tax-exempt debt and</w:t>
      </w:r>
    </w:p>
    <w:p>
      <w:pPr>
        <w:spacing w:after="0" w:line="1" w:lineRule="exact"/>
        <w:rPr>
          <w:sz w:val="20"/>
          <w:szCs w:val="20"/>
          <w:color w:val="auto"/>
        </w:rPr>
      </w:pPr>
    </w:p>
    <w:p>
      <w:pPr>
        <w:jc w:val="both"/>
        <w:ind w:left="60" w:right="59" w:hanging="10"/>
        <w:spacing w:after="0" w:line="253" w:lineRule="auto"/>
        <w:tabs>
          <w:tab w:leader="none" w:pos="3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 Letters of credit generally are supported by our long-term U.S. and Canadian revolving credit facility (“$3.5 billion revolving credit facility”) and other credit lines established for that purpose.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carry a broad range of insurance coverages, including health and welfare, general liability, automobile liability, workers’ compensation, real and personal property, directors’ and officers’ liability, pollution legal liability, cyber incident liability and other coverages we believe are customary to the industry. Our exposure to loss for insurance claims is</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generally limited to the per-incident deductible under the related insurance policy and any amounts that exceed our insured limits. We use a wholly-owned insurance captive to insure the deductibles for our general liability, automobile liability and workers’ compensation claims programs. We do not expect the impact of any known casualty, property, environmental or other contingency to have a material impact on our financial condition, results of operations or cash flows. Our estimated insurance liabilities as of December 31, 2023 are summarized in Note 10 to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and evolving federal, state, provincial and local environmental protection, health, safety, land use, zoning, transportation, and other related laws and regulations. These laws and regulations are administered by the EPA, Environment and Climate Change Canada (“ECCC”),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cases of violations.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business primarily involves the collection, processing and management of solid waste and recyclables in an environmentally sound manner, and a significant amount of our capital expenditures are related, either directly or indirectly, to environmental protection measures, including compliance with federal, state, provincial and local laws and regulations. There are costs associated with siting, design, permitting, construction, operating, monitoring, site maintenance, corrective actions, financial assurance, and facility closure and post-closure obligations at our facilities. In connection with the acquisition, development or expansion of a waste management or disposal facility, recycling facility, compost facility, transfer station, or landfill gas-to-energy facility, we must often spend considerable time, effort and money to obtain and maintain required permits and approvals. There are no assurances that we will be able to obtain or maintain permits or other required governmental approvals. Once obtained, permits are subject to renewal, modification, suspension or revocation by the issuing authority.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regulatory environment in which we operate is influenced by changes in leadership at the federal, state, provincial and local levels. For example, divided government and election-year politics likely will impede significant federal legislative action in 2024, leading to an expectation that the White House will continue to prioritize regulatory changes to implement parts of its agenda, including taking steps towards reinstating, and in some cases enhancing, policies and regulations rolled back by the previous administration. While increasing regulation may have a negative impact on our operating costs, extensive environmental regulation applicable to our industry is also a barrier to rapid entry that benefits our Company. Moreover, the risk reduction provided by appropriate regulation is valuable to our customers and the communities we serve.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primary U.S. federal statutes affecting our business are summarized below:</w:t>
      </w:r>
    </w:p>
    <w:p>
      <w:pPr>
        <w:spacing w:after="0" w:line="117" w:lineRule="exact"/>
        <w:rPr>
          <w:sz w:val="20"/>
          <w:szCs w:val="20"/>
          <w:color w:val="auto"/>
        </w:rPr>
      </w:pPr>
    </w:p>
    <w:p>
      <w:pPr>
        <w:jc w:val="both"/>
        <w:ind w:left="720" w:right="7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 Conservation and Recovery Act of 1976 (“RCRA”), as amended, regulates handling, transporting and disposing of hazardous and non-hazardous waste and delegates authority to states to develop programs to ensure the safe disposal of solid waste. Landfills are regulated under Subtitle D of RCRA, which sets forth minimum federal performance and design criteria for solid waste landfills, and Subtitle C of RCRA, which establishes a federal program to manage hazardous wastes from cradle to grave. These regulations are typically implemented by the states, although states can impose requirements that are more stringent than the federal standards. We incur costs in complying with these standards in the ordinary course of our operations.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Comprehensive Environmental Response, Compensation and Liability Act of 1980 (“CERCLA”),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w:t>
      </w:r>
    </w:p>
    <w:p>
      <w:pPr>
        <w:sectPr>
          <w:pgSz w:w="11900" w:h="16838" w:orient="portrait"/>
          <w:cols w:equalWidth="0" w:num="1">
            <w:col w:w="9019"/>
          </w:cols>
          <w:pgMar w:left="1440" w:top="60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53" w:lineRule="auto"/>
        <w:rPr>
          <w:sz w:val="20"/>
          <w:szCs w:val="20"/>
          <w:color w:val="auto"/>
        </w:rPr>
      </w:pPr>
      <w:r>
        <w:rPr>
          <w:rFonts w:ascii="Times New Roman" w:cs="Times New Roman" w:eastAsia="Times New Roman" w:hAnsi="Times New Roman"/>
          <w:sz w:val="18"/>
          <w:szCs w:val="18"/>
          <w:color w:val="auto"/>
        </w:rPr>
        <w:t>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84" w:lineRule="exact"/>
        <w:rPr>
          <w:sz w:val="20"/>
          <w:szCs w:val="20"/>
          <w:color w:val="auto"/>
        </w:rPr>
      </w:pPr>
    </w:p>
    <w:p>
      <w:pPr>
        <w:jc w:val="both"/>
        <w:ind w:left="720" w:right="7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federally protected surface waters, the Clean Water Act requires us to apply for and obtain discharge permits, conduct sampling and monitoring, and, under certain circumstances, reduce the quantity of pollutants in those discharges. The EPA also requires landfills and other waste-handling facilities to obtain storm water discharge permits, and if a landfill or other facility discharges wastewater through a sewage system to a publicly-owned treatment works, the facility must comply with discharge limits imposed by the treatment works. Further, before the development or expansion of a landfill can alter or affect certain “wetlands,” a permit may have to be obtained providing for mitigation or replacement wetlands. The Clean Water Act provides for civil, criminal and administrative penalties for violations of its provisions.</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Air Act of 1970, as amended, provides for federal, state and local regulation of the emission of air pollutants. Many of our municipal solid waste (“MSW”) landfills and landfill gas-to-energy facilities are subject to regulations implemented under the Clean Air Act, including new source performance standards, emission guidelines and national emission standards for hazardous air pollutants. These regulations impose performance standards to minimize air emissions from regulated MSW landfills, subject those landfills to certain operating permit requirements under Title V of the Clean Air Act and, in many instances, require installation of landfill gas collection and control systems to control emissions or to treat and utilize landfill gas on- or off-site. Our vehicle fleet also must adhere to regulations implemented under the Clean Air Act, which authorizes the EPA to mandate controls on air pollution from mobile sources.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the Occupational Safety and Health Administration,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State, Provincial and Local Regulations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There are also various state,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and laws governing where recyclable materials can be sold. Some counties, municipalities and other local governments have adopted similar laws and regulations that apply to our facilities and operations.</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landfill operations are affected by the increasing preference for alternatives to landfill disposal. Many state and local governments mandate recycling and waste reduction at the source and prohibit the disposal of certain types of</w:t>
      </w:r>
    </w:p>
    <w:p>
      <w:pPr>
        <w:sectPr>
          <w:pgSz w:w="11900" w:h="16838" w:orient="portrait"/>
          <w:cols w:equalWidth="0" w:num="1">
            <w:col w:w="9019"/>
          </w:cols>
          <w:pgMar w:left="1440" w:top="60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materials at landfills, such as recyclable materials (cardboard, bottles and cans), yard waste, food waste and electronics. The number of state and local governments with recycling and diversion requirements and disposal bans continues to grow, while the logistics and economics of recycling or processing many of these items remain challenging.</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Various states have enacted, or are considering enacting, laws that restrict or discourage the disposal within the state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which has been upheld by the U.S. Supreme Court for waste directed to facilities owned by the local government.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of consumer-packaged goods and other products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federal, state, provincial and local governments could take, and in some cases have taken, steps to implement EPR regulations for packaging, including traditional recyclables such as cardboard, bottles and cans. If wide-ranging EPR regulations were adopted, they could significantly impact the waste, recycling and other streams we manage, including with respect to quality and volume, and how we operate our business, including contract terms and pricing.</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also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 entry into market areas, these laws have not, and are not expected to have a material adverse impact on our business as a whole.</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Developments and Focus Areas in Policy and Regulation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Climate and Sustainability</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Jurisdictions are increasingly taking action to reduce greenhouse gas (“GHG”) emissions through a broad range of climate policies. Landfills are one of the focal points for advancing climate-related goals, and we are actively working with policymakers to promote recognition of the significant reductions in GHG emissions that our industry already has achieved and the work being done to further measure and reduce emissions, the challenges associated with quantifying landfill emissions precisely, and the role of our sector in providing an essential, and highly regulated, public service.</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also closely monitoring the evolving capabilities of ground, aerial, and satellite-based methane detection and monitoring systems and conducting our own research at several landfills to assess accuracy and reliability of various methane measurement technologies for applicability to our operations. We continue to expand our work with various private and government entities employing ground, aerial and satellite-based measurements of our sites. As these technologies are expected to advance rapidly in the coming years, we are actively engaged with the ECCC, the EPA, nongovernmental organizations, and environmental stakeholders on the implications of the changing landscape for the waste industry and potential future regulation. Continued dialogue with these regulatory agencies will be important in</w:t>
      </w:r>
    </w:p>
    <w:p>
      <w:pPr>
        <w:sectPr>
          <w:pgSz w:w="11900" w:h="16838" w:orient="portrait"/>
          <w:cols w:equalWidth="0" w:num="1">
            <w:col w:w="9019"/>
          </w:cols>
          <w:pgMar w:left="1440" w:top="607"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2024 as both the EPA and the ECCC are expected to evaluate landfill emissions standards that may require the application of various emerging methane measurement technologies. The EPA has indicated that methane emissions from landfills will be a focus of its expanded National Enforcement and Compliance Initiatives for 2024 through 2027. Both the EPA and the ECCC also plan to develop methods and standards for advanced measurement technologies, and we are actively engaged and collaborating with the agencies in these efforts, leveraging our own study results and experiences.</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light of regulatory and business developments related to concerns about climate change, we have identified strategic business opportunities to provide our public and private sector customers with sustainable solutions intended to reduce their carbon footprint. As part of our ongoing marketing evaluations, we assess customer demand for and opportunities to develop waste services with potential to avoid lifecycle emissions, such as waste reduction, increased recycling, composting, and conversion of landfill gas and discarded materials into renewable energy. We use carbon life cycle assessment tools in evaluating potential new services and in establishing the value proposition that makes us attractive as an environmental service provider. We are active in support of public policies that encourage development and use of lower carbon energy and waste services that can lower life-cycle carbon footprints. We understand the importance of broad stakeholder engagement in these endeavors, and actively seek opportunities for public policy discussion on more sustainable materials management practices. In addition, we work with stakeholders at the federal, state, and provincial level in support of legislation that encourages production and use of renewable, low-carbon fuels and electricity.</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There is increasing governmental and stakeholder interest in environmental, social and governance (“ESG”) matters. In addition, the nature, scope, and complexity of the matters that our Company must assess, quantify and disclose are expanding due to current, proposed, and recently enacted federal and state reporting requirements pertaining to climate related risks and other topics. For example, in October 2023, the California Governor signed into law the Climate Corporate Data Accountability Act and the Climate-Related Financial Risk Act, which among other things, requires the disclosure of Scope 1, 2, and 3 GHG emissions and other climate-related risks consistent with the framework established by the Task Force on Climate-Related Financial Disclosures. We will be required to begin making disclosures in compliance with certain of these requirements in 2026, with additional disclosures required beginning in 2027. The SEC has also issued a proposed rule that would require registrants to include certain climate-related disclosures in their registration statements and periodic reports including, but not limited to, information about our governance and management of climate-related risks and metrics pertaining to emissions data and climate-related targets and goals. Methodology and timelines for mandatory emissions reporting requirements, such as the recently passed California Corporate Data Accountability Act, may be inconsistent with requirements enacted by other governmental entities, including disclosure requirements that are ultimately adopted by the SEC, which could further increase costs and divert management time and attention. Disclosures related to GHG emissions data or potential climate-related impacts could also negatively affect our reputation to the extent we are perceived as not meeting individual stakeholder climate-related expectations.</w:t>
      </w:r>
    </w:p>
    <w:p>
      <w:pPr>
        <w:spacing w:after="0" w:line="19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ESG matters are becoming increasingly subject to heightened scrutiny from public and governmental authorities related to the risk of potential “greenwashing,”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misleading information or false claims overstating potential ESG benefits. We are aware that non-governmental organizations and other private actors have filed lawsuits against certain companies under various securities and consumer protection laws alleging that certain ESG-related statements, goals or standards were misleading, false or otherwise deceptive.</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Consistent with our Company’s long-standing commitment to sustainability and environmental stewardship, we have published our 2023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https://sustainability.wm.com but it does not constitute a part of, and is not incorporated by reference into, this Annual Report on Form 10-K. The Company also participates in a number of voluntary reporting programs and frameworks that provide further transparency on our commitment to sustainability.</w:t>
      </w:r>
    </w:p>
    <w:p>
      <w:pPr>
        <w:sectPr>
          <w:pgSz w:w="11900" w:h="16838" w:orient="portrait"/>
          <w:cols w:equalWidth="0" w:num="1">
            <w:col w:w="9019"/>
          </w:cols>
          <w:pgMar w:left="1440" w:top="60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PFAS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Federal and state governments have increased their focus on efforts to safeguard communities from the potentially harmful effects associated with per- and polyfluoroalkyl substances (“PFAS”). PFAS are a large group of chemicals that have been used in industrial and consumer products since the 1940s, including in products as diverse as carpets, paints and stains, water-resistant clothing and fabrics, nonstick cookware, food packaging, and firefighting chemicals. Possible human health effects of exposure to certain PFAS compounds may include low infant birth weights, immune system impacts, or cancer.</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2021, the EPA released its PFAS Strategic Roadmap, providing a high-level overview of activities that the agency intends to take to safeguard public health, protect the environment, and hold polluters accountable. These actions include establishing drinking water standards, evaluating landfill discharges of PFAS in leachate, finalizing new risk assessments and test procedures, and updating guidance on PFAS disposal and destruction options. During 2022, the EPA proposed the designation of two PFAS compounds (perfluorooctanoic acid (PFOA) and perfluorooctanesulfonic acid (PFOS)) as hazardous substances under CERCLA. We are closely monitoring this proposed rulemaking and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 A final rule is expected in 2024. Additionally, in 2023, the EPA published an advance notice of proposed rulemaking seeking public input and data to assist in the consideration of potential future regulations under CERCLA regarding seven additional PFAS compounds. At the state level, an increasing number of jurisdictions have enacted new drinking water, surface water and/or groundwater limits for various PFAS, which has led to a patchwork of PFAS standards across the U.S. Compliance with new and proposed state and federal PFAS standards is anticipated to result in additional expense to the Company, but such standards are also anticipated to present potential business opportunities in the area of PFAS management, treatment and disposal.</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Recycling; Foreign Import and Export Regulations and Material Restrictions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recent years, new and updated regulations affecting, and in some cases restricting, the international flow of certain recyclables have led to a reduction in export activity for such recyclables, as well as higher quality requirements, and higher processing costs. As an example, on January 1, 2021, new restrictions on the international trade of most plastics went into effect as part of the Basel Convention on the Control of Transboundary Movements of Hazardous Wastes and Their Disposal. At this time, the U.S. is not a party to the Basel Convention, but most countries to which we export commodities are, which may limit our ability to export certain plastics. However, we do not ship plastics collected on our residential recycling routes and processed at our single stream recycling facilities to locations outside of North America.</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Prices and demand for recyclables fluctuate. We have discussed our sustainability growth strategy that includes planned and ongoing investments in our recycling business to increase automation and reduce labor dependency. Such investments are also targeted at addressing increases in regulatory- and customer-driven quality requirements for commodities. These investments increase our exposure to commodity price fluctuations. We mitigate some of the effects of price fluctuation through the contract terms pursuant to which we sell commodities, such as floor pricing.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resulted in increased pressure by manufacturers on our recycling facilities to accept a broader array of materials in curbside recycling and composting programs to alleviate public pressures to ban the sale of those materials. However, with no or limited viable end markets for many of these materials, we and other recyclers are working to educate and remind customers of the need for end market demand and economic viability to support sustainable recycling programs. We are also making investments in end markets to support the collection and processing of some of these materials. With increased focus on responsible management of plastics, our procurement team has taken a proactive approach to ensure environmental sustainability goals are prioritized in managing the products we buy.</w:t>
      </w:r>
    </w:p>
    <w:p>
      <w:pPr>
        <w:sectPr>
          <w:pgSz w:w="11900" w:h="16838" w:orient="portrait"/>
          <w:cols w:equalWidth="0" w:num="1">
            <w:col w:w="9019"/>
          </w:cols>
          <w:pgMar w:left="1440" w:top="607"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Tax Legislation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(“IRA”) was signed into law by President Biden on August 16, 2022, and contains a number of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$55 million of annual pre-tax benefit (recorded as a reduction in our operating expense) for tax credits in 2022, 2023 and 2024.</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With respect to the investment tax credit, as expanded by the IRA, we expect the cumulative benefit to be between $250 million and $350 million, a large portion of which is anticipated to be realized in 2024 through 2026. Recently, however, the IRS issued proposed regulations applicable to the investment tax credits that could call into question our ability to realize some, or all, of this tax benefit, which would negatively impact financial expectations in connection with our significant planned and ongoing investments in sustainability growth projects in our WM Renewable Energy segment. The proposed regulations provide a public comment period, culminating in public hearings before the Treasury Department, to allow taxpayers to provide input prior to the issuance of final regulations. In coordination with other members of the RNG industry, we are actively using this public comment period to work with external advisors, the U.S. Congress, the current federal administration, and other biogas sector stakeholders to encourage the Treasury Department to further refine its analysis prior to publication of final regulations that more accurately reflect the express language and legislative intent of the statute with respect to the investment tax credit. However, there is no guarantee that such efforts will be successful. We expect that the production tax credit incentives for investments in renewable energy and carbon capture, as expanded by the IRA, will likely result in an incremental benefit to the Company, although at this time, the anticipated amount of such benefit has not been quantified.</w:t>
      </w:r>
    </w:p>
    <w:p>
      <w:pPr>
        <w:spacing w:after="0" w:line="19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current expectation is that the IRA’s minimum corporate tax will not have an impact on the Company. Finally, in accordance with the IRA, we incurred a nondeductible excise tax of 1% on the net value of certain stock repurchases in 2023, which is reflected in the cost of purchasing the underlying shares as a component of treasury stock in our Consolidated Balance Sheet.</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Additionally, numerous countries have agreed to a statement in support of the Organization for Economic Co-operation and Development (“OECD”) model rules that propose a global minimum tax rate of 15%. The Company operates in countries that have agreed to implement the global minimum tax, and the OECD continues to refine technical guidance for such. At this time, we do not expect the 15% global minimum tax to have a material, if any, impact to our income taxes, and we will continue to monitor and evaluate the potential impact on our business in future periods.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Investment in Natural Gas Vehicles and Infrastructure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operate a large fleet of natural gas vehicles, and we plan to continue to invest in these assets for our collection fleet. Natural gas fueling infrastructure is not yet broadly available in the U.S. and Canada; as a result, we have constructed and operate natural gas fueling stations, some of which also serve the public or pre-approved third parties. 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California is at various stages of regulation that would require heavy-duty vehicle fleets to phase-in zero-emissions vehicles. The extent to which other states adopt California’s standards into their own regulatory frameworks could accelerate the industry-wide adoption of electric vehicles.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Although current options for heavy-duty electric vehicles lack sufficient range and proven experience for our operations, we are proactively engaging in pilots of electric powered heavy-duty vehicles and anticipate that we could redirect future planned capital investments in our fleet toward these assets when the vehicles prove economically and operationally viable. We also are actively working with policymakers to understand the challenges involving the electrification of heavy-duty collection vehicles. Should regulation mandate an accelerated transition to electric powered</w:t>
      </w:r>
    </w:p>
    <w:p>
      <w:pPr>
        <w:sectPr>
          <w:pgSz w:w="11900" w:h="16838" w:orient="portrait"/>
          <w:cols w:equalWidth="0" w:num="1">
            <w:col w:w="9019"/>
          </w:cols>
          <w:pgMar w:left="1440" w:top="607"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 In addition, tax incentives and grants that advance the adoption of zero-emissions vehicles and lead to a shift away from natural gas trucks and RNG infrastructure would likely also negatively impact our investments in landfill gas-to-energy facilities.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WM Renewable Energy</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recent years, we have discussed our sustainability growth strategy that includes significant planned and ongoing investments in our WM Renewable Energy segment. We have invested, and continue to invest, in facilities to capture methane produced from the Company’s landfills and convert it into RNG and electricity. RNG produced from our landfills, as well as dairy biogas, constitute a significant source of fuel allocated to our natural gas collection vehicles. Following enactment of the IRA, which included expanded tax credits for the construction of new RNG production facilities, we expect to accelerate our investments in this area. The Company’s investment in renewable energy production is guided partly by the EPA’s implementation of the RFS program, which promotes the production and use of renewable transportation fuels. Many of our facilities are EPA-registered producers of transportation fuel making compressed and liquefied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RINs, from renewable fuel producers.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litigation challenging various aspects of the rule, will ultimately reduce volatility in the RINs market or that future rulemakings will be similarly favorable to our business. We continue to advocate for the current administration to implement policies that could reduce the potential for volatility in the RINs market and ensure long-term stability for renewable transportation fuels, as changes in the RFS market or the structure of the RFS program can and has impacted the financial performance of the facilities constructed to capture and treat the gas. We are closely working with state policymakers and non-governmental stakeholders to understand the role of RNG as a renewable energy resource and in delivering GHG reductions.</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and Washington,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greenhouse gas emissions profiles.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Environmental Justice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Federal, state, and local governments are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To that end, federal and state agencies have developed a number of screening tools, such as the EPA’s EJScreen, to aid and support relevant regulatory bodies in implementing various programs, such as permitting. Environmental justice considerations are also being increasingly adopted beyond permitting actions; for example, in rulemaking and enforcement priorities. In August 2023, the EPA announced that it would integrate environmental justice into each of its National Enforcement and Compliance Initiatives, and, in November 2023, the agency published a draft update to its Technical Guidance for Assessing</w:t>
      </w:r>
    </w:p>
    <w:p>
      <w:pPr>
        <w:sectPr>
          <w:pgSz w:w="11900" w:h="16838" w:orient="portrait"/>
          <w:cols w:equalWidth="0" w:num="1">
            <w:col w:w="9019"/>
          </w:cols>
          <w:pgMar w:left="1440" w:top="60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Environmental Justice in Regulatory Analysis which aims to provide agency analysts with the approaches and methods to use in evaluating environmental justice concerns in regulatory actions. Our Company supports policies seeking to advance high standards of environmental performance and the fair treatment of people of all races, cultures, and incomes, and we continue to proactively engage with local communities. We are actively monitoring recent regulatory developments in this area, particularly with respect to permitting, as additional conditions imposed on permitting decisions could increase the time and cost involved to pursue and maintain necessary authorizations.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numerous risks and uncertainties. You should carefully consider the following risk factors in conjunction with “Management’s Discussion and Analysis of Financial Condition and Results of Operations” in Item 7 and our “Financial Statements and Supplementary Data” in Item 8. In addition to the following risks, there may be additional risks and uncertainties that adversely affect our business, performance, or financial condition in the future that are not presently known or are not currently believed to be material.</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158"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our business strategy, our financial performance and our growth could be materially and adversely affected.</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for more information on our business strategy. There are risks involved in pursuing our strategy, including the following:</w:t>
      </w:r>
    </w:p>
    <w:p>
      <w:pPr>
        <w:spacing w:after="0" w:line="72"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customers or investors may not embrace and support our strategy.</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retain the personnel necessary to manage our strategy effectively.</w:t>
      </w:r>
    </w:p>
    <w:p>
      <w:pPr>
        <w:spacing w:after="0" w:line="36"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price leadership, which has presented challenges to keep existing business and win new business at reasonable returns. We also utilize an energy surcharge and other mandated fees. The loss of volumes as a result of price increases and our unwillingness to pursue lower margin volumes may negatively affect our cash flows or results of operations. Additionally, we have in the past and may in the future face purported class action lawsuits related to our customer service agreements, prices and fees.</w:t>
      </w:r>
    </w:p>
    <w:p>
      <w:pPr>
        <w:spacing w:after="0" w:line="3"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implementing our technology-led automation and optimization strategy and other improvements to operational efficiency and such efforts may not yield the intended result.</w:t>
      </w:r>
    </w:p>
    <w:p>
      <w:pPr>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cost savings achieved, including through our automation and optimization efforts, due to inflationary cost pressure or otherwise.</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with respect to our asset portfolio may result in impairments to our assets.</w:t>
      </w:r>
    </w:p>
    <w:p>
      <w:pPr>
        <w:spacing w:after="0" w:line="36"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or lines of business may not increase our earnings in the timeframe anticipated, or at all, due to difficulties operating in new markets or providing new service offerings or lines of business, failure of technologies to perform as expected, failure to operate within budget, integration issues, or regulatory issues and compliance costs, among others, and we may experience issues successfully integrating acquisitions into our internal controls, operations, and/or accounting systems.</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services offerings or lines of business could increase our exposure to the risk of inadvertent noncompliance with applicable laws and regulations, and additional expansion into markets outside of North America would result in our business being subject to new laws and regulatory regimes, resulting in greater exposure to risk of inadvertent noncompliance and additional compliance costs.</w:t>
      </w:r>
    </w:p>
    <w:p>
      <w:pPr>
        <w:jc w:val="both"/>
        <w:ind w:left="720" w:right="79" w:hanging="319"/>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acquisitions, including ones that may exist only because of past operations of an acquired business, may prove to be more difficult or costly to address than anticipated, and businesses or assets we acquire may have undisclosed liabilities, despite our efforts to minimize exposure to such risks through due diligence and other measures.</w:t>
      </w:r>
    </w:p>
    <w:p>
      <w:pPr>
        <w:jc w:val="both"/>
        <w:ind w:left="720" w:right="79" w:hanging="319"/>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strategy, including growth through acquisitions and our planned expansion of our Recycling Processing and Sales and WM Renewable Energy segments, may cause us to incur substantial additional indebtedness, which may divert capital away from our traditional business operations and other financial plans, and may introduce additional risks and volatility to our financial performance.</w:t>
      </w: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regulatory or permitting disruptions or delays could detrimentally impact the execution timeline for our planned expansion of our Recycling Processing and Sales and WM Renewable Energy businesses.</w:t>
      </w:r>
    </w:p>
    <w:p>
      <w:pPr>
        <w:sectPr>
          <w:pgSz w:w="11900" w:h="16838" w:orient="portrait"/>
          <w:cols w:equalWidth="0" w:num="1">
            <w:col w:w="9019"/>
          </w:cols>
          <w:pgMar w:left="1440" w:top="60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0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risks set forth above, implementation of our business strategy could also be affected by other factors beyond our control, such as increased competition, legal developments, government regulation, general economic conditions, including slower growth or recession, increased operating costs or expenses, subcontractor costs and availability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77"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must comply with extensive existing regulations, and changes in regulations, including with respect to emerging contaminants and extended producer responsibility, can restrict or alter our operations, increase our operating costs, increase our tax rate, or require us to make additional capital expenditures.</w:t>
      </w:r>
    </w:p>
    <w:p>
      <w:pPr>
        <w:spacing w:after="0" w:line="6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Stringent government regulations at the federal, state, provincial and local level in the U.S. and Canada have a substantial impact on our operations, and compliance with such regulations is costly. Many complex laws, rules, orders and interpretations govern environmental protection, health, safety, land use, zoning, transportation and related matters. Among other things, governmental regulations and enforcement actions restrict our operations at times and may adversely affect our financial condition, results of operations and cash flows by imposing conditions such as:</w:t>
      </w:r>
    </w:p>
    <w:p>
      <w:pPr>
        <w:spacing w:after="0" w:line="21" w:lineRule="exact"/>
        <w:rPr>
          <w:sz w:val="20"/>
          <w:szCs w:val="20"/>
          <w:color w:val="auto"/>
        </w:rPr>
      </w:pP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siting and constructing new waste disposal, transfer, recycling or processing facilities or on expanding existing facilities;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regulations or levies on collection and disposal prices, rates and volumes;</w:t>
      </w:r>
    </w:p>
    <w:p>
      <w:pPr>
        <w:spacing w:after="0" w:line="36"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bans, taxes or charges on disposal or transportation of out-of-state waste or certain categories of waste;</w:t>
      </w: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regarding the management of solid waste and other materials, including requirements to recycle, divert or otherwise process certain waste, recycling and other streams; or</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on the recycling, processing or transformation of waste, recycling and other streams.</w:t>
      </w:r>
    </w:p>
    <w:p>
      <w:pPr>
        <w:spacing w:after="0" w:line="11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Regulations affecting the siting, design and closure of landfills require us, at times, to undertake investigatory or remedial activities, curtail operations or close landfills temporarily or permanently. We have significant financial obligations relating to final capping, closure, post-closure and environmental remediation at our existing landfills and we establish accruals for these estimated costs. Expenditures could be accelerated or materially exceed our accruals due to earlier than expected closure of landfills; the types of waste collected and manner in which it is transported and disposed of, including actions taken in the past by companies we have acquired or third-party landfill operators; environmental regulatory changes; new information about waste types previously collected, such as per- and polyfluoroalkyl substances (“PFAS”) or other emerging contaminates and other reasons.</w:t>
      </w:r>
    </w:p>
    <w:p>
      <w:pPr>
        <w:spacing w:after="0" w:line="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Federal and state governments have increased their focus on efforts to safeguard communities from the potentially harmful effects associated with PFAS. See Item 1. </w:t>
      </w:r>
      <w:r>
        <w:rPr>
          <w:rFonts w:ascii="Times New Roman" w:cs="Times New Roman" w:eastAsia="Times New Roman" w:hAnsi="Times New Roman"/>
          <w:sz w:val="18"/>
          <w:szCs w:val="18"/>
          <w:i w:val="1"/>
          <w:iCs w:val="1"/>
          <w:color w:val="auto"/>
        </w:rPr>
        <w:t>Business – Regulation – Recent Developments and Focus Areas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Policy and Regulation – PFAS </w:t>
      </w:r>
      <w:r>
        <w:rPr>
          <w:rFonts w:ascii="Times New Roman" w:cs="Times New Roman" w:eastAsia="Times New Roman" w:hAnsi="Times New Roman"/>
          <w:sz w:val="18"/>
          <w:szCs w:val="18"/>
          <w:color w:val="auto"/>
        </w:rPr>
        <w:t>for additional background information. The EPA proposed the designation of two PFAS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compounds as hazardous substances under CERCLA. We are closely monitoring this proposed rulemaking and are actively working with both Congress and the EPA to provide landfills and other essential public services with relief from CERCLA liability and instead hold accountable manufacturers and heavy users of these compounds. Without such relief, we may face increased exposure to remediation and litigation costs associated with properties that the EPA may designate as CERCLA sites due to the presence of PFAS.</w:t>
      </w:r>
    </w:p>
    <w:p>
      <w:pPr>
        <w:spacing w:after="0" w:line="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of consumer-packaged goods and other products to fund the post-use life cycle of the products they create. Along with the funding responsibility, producers may be required to undertake additional responsibilities, such as taking over management of local recycling programs by taking back their products from end users or managing the collection operations and recycling processing and marketing infrastructure. During periods of economic difficulty, governmental entities have increased their interest in implementing EPR regulations to reduce municipal spending on recycling programs. There is no federal law establishing EPR in the U.S. or Canada; however, federal, state,</w:t>
      </w:r>
    </w:p>
    <w:p>
      <w:pPr>
        <w:sectPr>
          <w:pgSz w:w="11900" w:h="16838" w:orient="portrait"/>
          <w:cols w:equalWidth="0" w:num="1">
            <w:col w:w="9019"/>
          </w:cols>
          <w:pgMar w:left="1440" w:top="60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provincial and local governments could, and in several cases have, taken steps to implement EPR regulations for packaging, including traditional recyclables such as cardboard, bottles and cans. If wide-ranging EPR regulations were adopted, they could significantly impact the waste and recycling streams we manage and how we operate our business, including contract terms and pricing. A significant reduction in the waste, recycling and other streams we manage, including with respect to quality and volume, could have a material adverse effect on our financial condition, results of operations and cash flows.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operational and safety risks, including the risk of personal injury to employees and others.</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Providing environmental and waste management services, including constructing and operating landfills, transfer stations, recycling facilities and other disposal facilities, and landfill gas-to-energy facilities, involves risks such as truck accidents, equipment defects, malfunctions and failures, and improper use of dangerous equipment. Additionally, we closely monitor and manage landfills to minimize the risk of waste mass instability, releases of hazardous materials, and odors that are sometimes triggered by weather or natural disasters. There are also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as well as operation of heavy machinery and management of flammable materials at our recycling facilities and transfer stations,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5"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required permits or expand existing permitted capacity at our landfills, due to land scarcity, public opposition or otherwise, which can require us to identify disposal alternatives, resulting in decreased revenue and increased costs.</w:t>
      </w:r>
    </w:p>
    <w:p>
      <w:pPr>
        <w:spacing w:after="0" w:line="6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ability to meet our financial and operating objectives depends in part on our ability to obtain and maintain the permits necessary to operate landfill sites and transfer stations.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subjected, or seek to impose liability on us for alleged environmental damage. Such actions could also impact our ability to do business by causing reputational harm. Federal, state and local governments are also increasingly adopting requirements for environmental justice reviews as part of certain permitting decisions. These policies generally require permitting agencies to give heightened attention to the potential for projects to disproportionately impact low-income and minority communities. Responding to permit challenges has, at times, increased our costs and extended the time associated with establishing new facilities and expanding existing facilities. In addition, failure to receive regulatory and zoning approval, as well as land scarcity, particularly in densely populated areas, may prohibit us from establishing new facilities or expanding existing facilities. Diminishing disposal capacity, typically in proximity to major metropolitan areas, sometimes requires us to transport waste by rail or find alternative disposal solutions in affected areas, increasing our operating costs. Our failure to obtain the required permits and necessary capacity expansion to operate our landfills could have a material adverse impact on our financial condition, results of operations and cash flows.</w:t>
      </w:r>
    </w:p>
    <w:p>
      <w:pPr>
        <w:spacing w:after="0" w:line="119"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67"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operations require us to attract, hire, develop and retain a high-quality workforce to provide a superior customer experience. This includes key individuals in leadership and specialty roles, as well as a very large number of drivers,</w:t>
      </w:r>
    </w:p>
    <w:p>
      <w:pPr>
        <w:sectPr>
          <w:pgSz w:w="11900" w:h="16838" w:orient="portrait"/>
          <w:cols w:equalWidth="0" w:num="1">
            <w:col w:w="9019"/>
          </w:cols>
          <w:pgMar w:left="1440" w:top="60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technicians and other front-line and back-office team members necessary to provide our environmental services. We experience significant competition to hire and retain individuals for certain front-line positions, such as commercial truck drivers, from within and outside our industry. (Also see Item 1A. </w:t>
      </w:r>
      <w:r>
        <w:rPr>
          <w:rFonts w:ascii="Times New Roman" w:cs="Times New Roman" w:eastAsia="Times New Roman" w:hAnsi="Times New Roman"/>
          <w:sz w:val="18"/>
          <w:szCs w:val="18"/>
          <w:i w:val="1"/>
          <w:iCs w:val="1"/>
          <w:color w:val="auto"/>
        </w:rPr>
        <w:t>Risk Factors — Market disruption, including labor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shortages and supply chain constraints, and macroeconomic pressures, including inflation, have adversely impacted our business and results of operations</w:t>
      </w:r>
      <w:r>
        <w:rPr>
          <w:rFonts w:ascii="Times New Roman" w:cs="Times New Roman" w:eastAsia="Times New Roman" w:hAnsi="Times New Roman"/>
          <w:sz w:val="18"/>
          <w:szCs w:val="18"/>
          <w:color w:val="auto"/>
        </w:rPr>
        <w:t>.) Additionally, the market for employees that serve on our digital team is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As we have accelerated our investments in our technology-led automation and optimization strategy, it is increasingly important that we are able to attract and retain employees with the skills and expertise necessary to implement and manage these projects. We also compete to attract skilled business leaders, and our own key team members are sought after by our competitors and other companies. We make significant investments, and engage in internal succession planning, to provide us with a robust pipeline of future leaders. If we are not able to attract, hire, develop and retain a high-quality workforce with the necessary skills and expertise, as well as key leaders, or if we experience significant employee turnover, it can result in business and strategic disruption, increased costs, and loss of institutional knowledge, which could negatively impact our results of operations.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reputation and the value of our brand.</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believe we have developed a reputation for high-quality service, reliability and social and environmental responsibility, and we believe our brand symbolizes these attributes. The WM brand name, trademarks and logos and our reputation are powerful sales and marketing tools, and we devote significant resources to promoting and protecting them. Adverse publicity, whether or not justified, relating to activities by our operations, employees or agents, or challenges to our assertions of social and environmental responsibility, could tarnish our reputation and reduce the value of our brand. (Also see Item 1A. </w:t>
      </w:r>
      <w:r>
        <w:rPr>
          <w:rFonts w:ascii="Times New Roman" w:cs="Times New Roman" w:eastAsia="Times New Roman" w:hAnsi="Times New Roman"/>
          <w:sz w:val="18"/>
          <w:szCs w:val="18"/>
          <w:i w:val="1"/>
          <w:iCs w:val="1"/>
          <w:color w:val="auto"/>
        </w:rPr>
        <w:t>Risk Factors — Focus on, and regulation of, environmental, social and governance (“ESG”)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and disclosure can result in increased costs, risk of noncompliance, damage to our reputation and related adverse effects.</w:t>
      </w:r>
      <w:r>
        <w:rPr>
          <w:rFonts w:ascii="Times New Roman" w:cs="Times New Roman" w:eastAsia="Times New Roman" w:hAnsi="Times New Roman"/>
          <w:sz w:val="18"/>
          <w:szCs w:val="18"/>
          <w:color w:val="auto"/>
        </w:rPr>
        <w:t>) Damage to our reputation could reduce demand for our services and potentially have an adverse effect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financial condition, liquidity and results of operations, as well as require additional resources to rebuild our reputation and restore the value of our brand.</w:t>
      </w:r>
    </w:p>
    <w:p>
      <w:pPr>
        <w:spacing w:after="0" w:line="82"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investments in an extensive natural gas truck fleet, which makes us partially dependent on the availability of natural gas and fueling infrastructure and vulnerable to natural gas prices, and requirements to transition to other vehicle types could impair these investments.</w:t>
      </w:r>
    </w:p>
    <w:p>
      <w:pPr>
        <w:spacing w:after="0" w:line="6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operate a large fleet of natural gas vehicles, and we plan to continue to invest in these assets for our collection fleet. However, natural gas fueling infrastructure is not yet broadly available in the U.S. and Canada; as a result, we have constructed and operate natural gas fueling stations, some of which also serve the public or pre-approved third parties. It will remain necessary for us to invest capital in fueling infrastructure to power our natural gas fleet. Additionally, fluctuations in the price and supply of natural gas could substantially increase our operating expenses; a reduction in the existing cost differential between natural gas and diesel fuel could materially reduce the benefits we anticipate from our investment in natural gas vehicles.</w:t>
      </w:r>
    </w:p>
    <w:p>
      <w:pPr>
        <w:spacing w:after="0" w:line="8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There is increasing pressure to reduce the use of fossil fuel in the heavy-duty truck industry, and some regulatory bodies are pursuing requirements for using alternative engine technology, such as electric powered vehicles, rather than natural gas or diesel vehicles. This is resulting in regulatory actions to advance the adoption of zero-emission vehicles and a shift away from tax incentives and grants for natural gas trucks and RNG infrastructure. For example, California is at various stages of regulation that would require heavy-duty vehicle fleets to phase-in zero-emissions vehicles. The extent to which other states adopt California’s standards or something similar into their own regulatory frameworks could accelerate the industry-wide adoption of electric vehicles. Although current options for heavy-duty electric vehicles lack sufficient range and proven experience for our operations, we are proactively engaging in pilots of electric powered heavy-duty vehicles and anticipate that we could redirect future planned capital investments in our fleet toward these assets when the vehicles prove economically and operationally viable. Should regulation mandate an accelerated transition to electric powered vehicles, our cost to acquire vehicles needed to service our customers could increase, capital investment required to establish sufficient charging infrastructure could be significant and investments we have made in an industry-leading natural gas fleet and infrastructure could be impaired. In addition, tax incentives and grants that advance the adoption of zero-emissions vehicles and lead to a shift away from natural gas trucks and RNG infrastructure would likely also negatively impact our investments in landfill gas-to-energy facilities.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our labor costs as a result of labor unions organizing, changes in regulations related to labor unions or increases in employee minimum wages, could adversely affect our future results.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Additionally, a large portion of our workforce are hourly personnel, and many of these individuals, particularly in our recycling business, are paid at rates related to federal and state minimum wages. Increases in minimum wage rates, or the enactment of new wage-related legislation, may significantly increase our labor costs. Any of these matters could adversely affect our financial condition, results of operations and cash flows.</w:t>
      </w:r>
    </w:p>
    <w:p>
      <w:pPr>
        <w:spacing w:after="0" w:line="80"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severe weather events resulting from climate change and event driven special projects cause our results to fluctuate, and prior performance may not be indicative of our future results.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Our operating revenues and volumes typically experience seasonal increases in the summer months, that are reflected in second and third quarter revenues and results of operations. 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 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 For these and other reasons, operating results in any period may not be indicative of operating results for any other period. Our stock price may be negatively impacted by interim variations in our results.</w:t>
      </w:r>
    </w:p>
    <w:p>
      <w:pPr>
        <w:spacing w:after="0" w:line="118" w:lineRule="exact"/>
        <w:rPr>
          <w:sz w:val="20"/>
          <w:szCs w:val="20"/>
          <w:color w:val="auto"/>
        </w:rPr>
      </w:pPr>
    </w:p>
    <w:p>
      <w:pPr>
        <w:jc w:val="both"/>
        <w:ind w:left="18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our sustainability related goals, including reduction of our greenhouse gas ("GHG") emissions, or execute on our sustainability-related growth strategy and initiatives, within planned timelines or anticipated budget, which could damage our reputation and negatively impact the benefits anticipated from our investments.</w:t>
      </w:r>
    </w:p>
    <w:p>
      <w:pPr>
        <w:spacing w:after="0" w:line="7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Consistent with our Company’s long-standing commitment to sustainability and environmental stewardship, we have set goals to reduce our GHG emissions and announced other sustainability-related goals and initiatives. We may not be able to meet such goals or implement such initiatives in the manner or on timelines contemplated due to challenges including, but not limited to, unforeseen costs or delays, supply chain disruptions, regulatory impacts, technology limitations or technical difficulties associated with achieving such goals. Also, despite voluntarily announcing such sustainability goals, we may receive pressure from investors or other groups to adopt more aggressive sustainability-related goals that may not be technically, operationally, or financially feasible.</w:t>
      </w:r>
    </w:p>
    <w:p>
      <w:pPr>
        <w:spacing w:after="0" w:line="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sustainability growth strategy includes significant planned investments in our Recycling Processing and Sales and WM Renewable Energy segments. Our ability to successfully execute our sustainability growth strategy may be impacted by the numerous risks and uncertainties associated with our business and the environmental services industry, including financial and operating performance, availability of technology and financing, changes in regulation, commodity price fluctuation and general economic conditions. (Also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 revenues, earnings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flows will fluctuate based on changes in commodity prices, and commodity prices for recyclable materials are particularly susceptible to volatility based on macroeconomic conditions and regulations that affect our ability to export products </w:t>
      </w:r>
      <w:r>
        <w:rPr>
          <w:rFonts w:ascii="Times New Roman" w:cs="Times New Roman" w:eastAsia="Times New Roman" w:hAnsi="Times New Roman"/>
          <w:sz w:val="18"/>
          <w:szCs w:val="18"/>
          <w:color w:val="auto"/>
        </w:rPr>
        <w:t>and</w:t>
      </w:r>
    </w:p>
    <w:p>
      <w:pPr>
        <w:spacing w:after="0" w:line="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Some or all of the expected benefits of our sustainability-related investments and initiatives may not occur within the anticipated time periods or may cost more to achieve than anticipated. An inability to develop, obtain, or scale necessary technology and innovations, and challenges arising from the availability or cost of materials and infrastructure or</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regulatory approvals or permitting requirements associated with our sustainability investments and initiatives, could impede our ability to execute on our plans and achieve our goals or realize our expected financial performance from these investments. Actions we take to achieve these goals and implement our sustainability growth strategy and initiatives, including development and implementation of enhanced technology and reporting systems, will require increased capital expenditures and management focus, which may divert investment and management focus away from other aspects of our business operations.</w:t>
      </w:r>
    </w:p>
    <w:p>
      <w:pPr>
        <w:spacing w:after="0" w:line="7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Additionally, favorable expectations regarding potential investment tax credits or other benefits stemming from the Inflation Reduction Act of 2022 (“IRA”) may not materialize or could fail to meet expectations. Recently, the IRS issued proposed regulations applicable to the investment tax credits, as expanded by the IRA, that could call into question our ability to realize some, or all, of this tax benefit, which would negatively impact financial expectations in connection with our sustainability growth projects in our WM Renewable Energy segment. See Item 1. </w:t>
      </w:r>
      <w:r>
        <w:rPr>
          <w:rFonts w:ascii="Times New Roman" w:cs="Times New Roman" w:eastAsia="Times New Roman" w:hAnsi="Times New Roman"/>
          <w:sz w:val="18"/>
          <w:szCs w:val="18"/>
          <w:i w:val="1"/>
          <w:iCs w:val="1"/>
          <w:color w:val="auto"/>
        </w:rPr>
        <w:t>Business – Regulation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 and Focus Areas in Policy and Regulation – Tax Legislation</w:t>
      </w:r>
      <w:r>
        <w:rPr>
          <w:rFonts w:ascii="Times New Roman" w:cs="Times New Roman" w:eastAsia="Times New Roman" w:hAnsi="Times New Roman"/>
          <w:sz w:val="18"/>
          <w:szCs w:val="18"/>
          <w:color w:val="auto"/>
        </w:rPr>
        <w:t>. We have also forecasted or projected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and financial information with respect to our sustainability investments and initiatives, and many of these statements are based on expectations and assumptions that are necessarily uncertain and are subject to risks and uncertainties that could cause actual results to be materially different from our forecasts and projections.</w:t>
      </w:r>
    </w:p>
    <w:p>
      <w:pPr>
        <w:spacing w:after="0" w:line="76"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Focus on, and regulation of, environmental, social and governance (“ESG”) performance and disclosure can result in increased costs, risk of noncompliance, damage to our reputation and related adverse effects.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There is increasing governmental and stakeholder interest in ESG matters. In addition, the nature, scope, and complexity of the matters that our Company must assess, quantify and disclose are expanding due to current, proposed, and recently enacted federal and state reporting requirements related to climate-related risks and other topics, such as water usage, waste production, labor, human capital, environmental justice, cybersecurity and privacy, and risk oversight. For example, see Item 1. </w:t>
      </w:r>
      <w:r>
        <w:rPr>
          <w:rFonts w:ascii="Times New Roman" w:cs="Times New Roman" w:eastAsia="Times New Roman" w:hAnsi="Times New Roman"/>
          <w:sz w:val="18"/>
          <w:szCs w:val="18"/>
          <w:i w:val="1"/>
          <w:iCs w:val="1"/>
          <w:color w:val="auto"/>
        </w:rPr>
        <w:t>Business – Regulation – Recent Developments and Focus Areas in Policy and Regulation – Climate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Sustainability </w:t>
      </w:r>
      <w:r>
        <w:rPr>
          <w:rFonts w:ascii="Times New Roman" w:cs="Times New Roman" w:eastAsia="Times New Roman" w:hAnsi="Times New Roman"/>
          <w:sz w:val="18"/>
          <w:szCs w:val="18"/>
          <w:color w:val="auto"/>
        </w:rPr>
        <w:t>for information about California’s recently-adopted Climate Corporate Data Accountability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Climate-Related Financial Risk Act and the SEC’s proposed climate-related disclosure rule. Methodology and timelines for mandatory emissions reporting requirements, such as the recently passed California Corporate Data Accountability Act, may be inconsistent with requirements enacted by other governmental entities, including disclosure requirements that are ultimately adopted by the SEC, which could further increase costs and divert management time and attention. Disclosures related to GHG emissions data or potential climate-related impacts could also negatively affect our reputation to the extent we are perceived as not meeting individual stakeholder climate-related expectations.</w:t>
      </w:r>
    </w:p>
    <w:p>
      <w:pPr>
        <w:spacing w:after="0" w:line="8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industry faces challenges to implement these rapidly developing disclosure requirements, as well as the risk of enforcement actions by governmental and regulatory agencies for noncompliance. Significant expenditures and commitment of time by management, employees and consultants is involved in developing, implementing and overseeing policies, practices, additional disclosures and internal controls related to environmental and sustainability risk and performance. Public statements with respect to ESG matters are becoming increasingly subject to heightened scrutiny from public and governmental authorities related to the risk of potential “greenwashing,” i.e., misleading information or false claims overstating potential ESG benefits. We are aware that non-governmental organizations and other private actors have filed lawsuits against certain companies under various securities and consumer protection laws alleging that certain ESG-related statements, goals or standards were misleading, false or otherwise deceptive. An inability to implement such policies, practices, and internal controls and maintain compliance with laws and regulations, or a perception among stakeholders that our ESG disclosures and sustainability goals are insufficient or our goals are unattainable, could harm our reputation and competitive position and negatively impact our stock price and business performance.</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Economic and Industry Risks</w:t>
      </w:r>
    </w:p>
    <w:p>
      <w:pPr>
        <w:spacing w:after="0" w:line="158"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disruption, including labor shortages and supply chain constraints, and macroeconomic pressures, including inflation, have adversely impacted our business and results of operations.</w:t>
      </w:r>
    </w:p>
    <w:p>
      <w:pPr>
        <w:spacing w:after="0" w:line="5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Macroeconomic pressures, including inflation and rising interest rates, and market disruption resulting in labor market, supply chain and transportation constraints have impacted our results and are continuing.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 Additionally, the downturn in market prices for recycling commodities that started in the second half of 2022 persisted throughout 2023. The decrease continued</w:t>
      </w:r>
    </w:p>
    <w:p>
      <w:pPr>
        <w:sectPr>
          <w:pgSz w:w="11900" w:h="16838" w:orient="portrait"/>
          <w:cols w:equalWidth="0" w:num="1">
            <w:col w:w="9019"/>
          </w:cols>
          <w:pgMar w:left="1440" w:top="607"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to be driven by the slowdown in the global economy, which reduced retail demand and the corresponding need for cardboard packaging to ship retail goods. We may also experience margin pressures from commodity-driven business impacts. The constrained labor market has resulted in increased costs for wage adjustments, overtime hours and training new hires. If we are not able to overcome limitations on labor availability, it could materially impact our ability to service our customers and our financial results. Geopolitical conflicts and the resulting international responses have also exacerbated market disruption, leading to volatility in commodity prices, impacts on the availability and cost of energy, and vendor and supplier disruptions across the global supply chain.</w:t>
      </w:r>
    </w:p>
    <w:p>
      <w:pPr>
        <w:spacing w:after="0" w:line="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Accelerated and pronounced economic pressures, such as rising interest rates and inflationary cost pressure on labor and the goods and services we rely upon to deliver service to our customers, have impacted and continue to impact our cost structure and capital expenditures. Significant components of our operating expenses vary directly as we experience changes in revenue due to volume and a heightened pace of inflation, and we may not be able to dynamically manage our cost structure in response to such changes. A significant portion of our revenue is tied to a price escalation index with a lookback provision, resulting in a timing lag in our ability to recover increased costs under those contracts during periods of rapid inflation. Separately, for many of our customers we provide services under multi-year contracts that can restrict our ability to increase prices and the timing of such increases. Our overall strategic pricing efforts are focused on recovering as much of the inflationary cost increases we experience in our business as possible by increasing our average unit rate, but such efforts may not be successful for various reasons including the pace of inflation, operating cost inefficiencies, contractual limitations, and market responses. The inability to adequately increase prices to offset increased costs and inflationary pressures, or otherwise mitigate the impact of these macroeconomic conditions and market disruptions on our business, will increase our costs of doing business and reduce our margins.</w:t>
      </w:r>
    </w:p>
    <w:p>
      <w:pPr>
        <w:spacing w:after="0" w:line="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extent and duration of the impact of these labor market, supply chain, transportation and commodity-price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domestic and international political developments, geopolitical conflicts and responses; and supply and demand for recycled materials. If such impacts are prolonged and substantial, they could have a material negative effect on our results of operations.</w:t>
      </w:r>
    </w:p>
    <w:p>
      <w:pPr>
        <w:spacing w:after="0" w:line="75"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environmental services industry is highly competitive, and if we cannot successfully compete in the marketplace, our business, financial condition and operating results may be materially adversely affected.</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We principally compete with large national waste management companies, counties and municipalities that maintain their own waste collection and disposal or recycling operations and regional and local companies of varying sizes and financial resources. The industry also includes companies that specialize in certain discrete areas of waste management, operators of alternative disposal facilities, companies that seek to use parts of the waste stream as feedstock for renewable energy and other by-products, and waste brokers that rely upon haulers in local markets to address customer needs. In recent years, the industry has seen some additional consolidation, though the industry remains intensely competitive.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85"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earnings and cash flows fluctuate based on changes in commodity prices and may fluctuate substantially without notice in the future.</w:t>
      </w:r>
    </w:p>
    <w:p>
      <w:pPr>
        <w:spacing w:after="0" w:line="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Prices and demand for recyclables fluctuate and are particularly susceptible to volatility based on macroeconomic conditions and regulations. The downturn in market prices for recycling commodities that started in the second half of 2022 continued in 2023. Average market prices for single-stream recycled commodities were down 40% in 2023 when compared to the comparable prior year period. Decreases in the market prices for recycling commodities resulted in a decrease in recycling revenues attributable to yield of $308 million in 2023 as compared to the prior year period. Recycling revenues attributable to yield increased $19 million in 2022 as compared with the prior year period, primarily from higher market prices for recycling commodities in the first half of 2022, before the significant downturn in the second half of 2022.</w:t>
      </w:r>
    </w:p>
    <w:p>
      <w:pPr>
        <w:sectPr>
          <w:pgSz w:w="11900" w:h="16838" w:orient="portrait"/>
          <w:cols w:equalWidth="0" w:num="1">
            <w:col w:w="9019"/>
          </w:cols>
          <w:pgMar w:left="1440" w:top="60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recent years, new and updated regulations affecting, and in some cases restricting, the international flow of certain recyclables have led to a reduction in export activity for such recyclables, as well as higher quality requirements and higher processing costs. We are making significant planned and ongoing investments in our recycling business to increase automation and reduce labor dependency and address increases in regulatory- and customer-driven quality requirements for commodities. These investments increase our exposure to commodity price fluctuations. Additionally, future regulation, tariffs, international trade policies or other initiatives, including regulations addressing climate change or GHG emissions, may impact supply and demand of material, or increase operating costs, which could impact the profitability of our recycling operations. If the Company does not effectively manage changes in demand and commodity prices for recycling materials, or if we do not successfully execute our sustainability growth strategy, our investments in recycling infrastructure and technology may not yield the results anticipated.</w:t>
      </w:r>
    </w:p>
    <w:p>
      <w:pPr>
        <w:spacing w:after="0" w:line="8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Fluctuation in energy-related prices also affects our business, including recycling of plastics manufactured from petroleum products, and we are currently experiencing commodity-price driven impacts from higher fuel costs. Our sustainability growth strategy also includes increased investment in landfill gas-to-energy facilities and expansion of our WM Renewable Energy segment, which generate and sells credits referred to as RINs. RINs prices generally respond to regulations enacted by the EPA, as well as fluctuations in supply and demand, and have historically been very volatile. Additionally, significant variations in the price of biogas, electricity and other energy-related products that are marketed and sold by our landfill gas recovery operations can result in a corresponding impact to our revenue from yield from such operations. Expansion of our WM Renewable Energy segment may introduce additional risks and volatility to our financial performance.</w:t>
      </w:r>
    </w:p>
    <w:p>
      <w:pPr>
        <w:spacing w:after="0" w:line="76"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customer preference for alternatives to landfill disposal and bans on certain types of waste could reduce our landfill volumes and cause our revenues and operating results to decline.</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materials at landfills, such as recyclables (cardboard, bottles and cans), yard waste, food waste and electronics. Where organic waste is not banned from disposal in landfills, some large customers such as grocery stores and restaurants are choosing to divert their organic waste from landfills. Zero-waste goals (sending no waste to the landfill) have been set by many of the U.S. and Canada’s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Reducing landfilled organic waste also reduces the amount of landfill gas produced from our landfills, adversely impacting our landfill gas-to-energy facilities. If we are not successful in expanding our service offerings, growing lines of businesses to service waste streams that do not go to landfills, and providing alternative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With a heightened awareness of the global problems caused by plastic waste in the environment, Canada and an increasing number of cities and states across the U.S. have passed ordinances banning certain types of plastics from sale or use. The most common materials banned include plastic bags and straws, polystyrene plastic and some types of single use packaging. These bans have increased pressure by manufacturers on our recycling facilities to accept a broader array of materials in curbside recycling and composting programs to alleviate public pressures to ban the sale of those materials. However, there are currently no or limited viable end markets for recycling many of these materials, and inclusion of such materials in our recycling stream increases contamination and operating costs that can negatively affect the results of our recycling operations.</w:t>
      </w:r>
    </w:p>
    <w:p>
      <w:pPr>
        <w:spacing w:after="0" w:line="80"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economic conditions, such as a broad-based economic recession, can directly and adversely affect revenues for environmental services and our income from operations margins.</w:t>
      </w:r>
    </w:p>
    <w:p>
      <w:pPr>
        <w:spacing w:after="0" w:line="5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business is directly affected by changes in national and general economic factors that are outside of our control, including consumer confidence, inflation, interest rates and access to capital markets. In recent years, many in the financial industry have debated whether the North American economy is likely to enter into a period of economic recession. A weak economy generally results in decreased consumer spending and decreases in volumes of waste generated, which negatively impacts the ability to grow through new business or service upgrades, and may result in customer turnover and reduction in customers’ waste service needs. Consumer uncertainty and the loss of consumer confidence may also reduce the number</w:t>
      </w:r>
    </w:p>
    <w:p>
      <w:pPr>
        <w:sectPr>
          <w:pgSz w:w="11900" w:h="16838" w:orient="portrait"/>
          <w:cols w:equalWidth="0" w:num="1">
            <w:col w:w="9019"/>
          </w:cols>
          <w:pgMar w:left="1440" w:top="60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variety of services requested by customers. Additionally, a weak market for consumer goods can significantly decrease demand by paper mills for recycled corrugated cardboard used in packaging; such as we have experienced since the second half of 2022, negatively impacting commodity prices and our operating income and cash flows.</w:t>
      </w:r>
    </w:p>
    <w:p>
      <w:pPr>
        <w:spacing w:after="0" w:line="6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 decrease in waste volumes generated results in an increase in competitive pricing pressure; such economic conditions may also interfere with our ability to implement our pricing strategy. Many of our contracts have price adjustment provisions that are tied to an index such as the Consumer Price Index, and our costs may increase more than the increase, if any, in the Consumer Price Index. This is partially due to our relatively high fixed-cost structure; we may not be able to dynamically manage our cost structure in response to shifting volume levels and vendor costs, and our cost structure may not correlate with the Consumer Price Index or the waste industry. An economic recession or other economic weakness is likely to negatively impact our revenues and margins.</w:t>
      </w:r>
    </w:p>
    <w:p>
      <w:pPr>
        <w:spacing w:after="0" w:line="77"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Weakness in the economy may expose us to credit risk of governmental entities and municipalities and other major customers, which could negatively impact our financial results.</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provide service to a number of governmental entities, municipalities, and large national accounts. During periods of economic weakness, governmental entities and municipalities can suffer significant financial difficulties, due in part to reduced tax revenue and/or high cost structures. During these periods, such entities, and our non-governmental customers, could be unable to pay amounts owed to us or renew contracts with us at previous or increased rates.</w:t>
      </w:r>
    </w:p>
    <w:p>
      <w:pPr>
        <w:spacing w:after="0" w:line="7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6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the financial difficulties of municipalities could result in a decline in investors’ demand for municipal bonds and a correlating increase in interest rates. As of December 31, 2023, we had $1.6 billion of tax-exempt bonds with term interest rate periods that expire within the next 12 months, which is prior to their scheduled maturities. If market dynamics resulted in repricing of our tax-exempt bonds at significantly higher interest rates, we would incur increased interest expenses that may negatively affect our operating results and cash flows.</w:t>
      </w:r>
    </w:p>
    <w:p>
      <w:pPr>
        <w:spacing w:after="0" w:line="71"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effective tax rate and tax liability could materially change as a result of the adoption of new tax legislation and other factors.</w:t>
      </w:r>
    </w:p>
    <w:p>
      <w:pPr>
        <w:spacing w:after="0" w:line="5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Predominantly all of the Company’s revenues are generated in the U.S., and changes in U.S. tax laws could materially impact our effective tax rate, financial condition and results of operations. The U.S. Tax Cuts and Jobs Act, enacted on December 22, 2017 (the “Tax Act”), had a significant impact on our effective tax rate, cash tax expenses and net deferred tax liabilities. The Tax Act reduced the U.S. corporate statutory tax rate and eliminated or limited the deduction of several expenses that were previously deductible, among other things. However, future changes in tax laws could reverse the impacts of the Tax Act and if ultimately enacted into law, such an increase could materially impact our tax provision, cash tax liability, effective tax rate and net deferred tax liabilities.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Significant shortages in diesel fuel supply or increases in diesel fuel prices will increase our operating expenses.</w:t>
      </w:r>
    </w:p>
    <w:p>
      <w:pPr>
        <w:spacing w:after="0" w:line="12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price and supply of diesel fuel can fluctuate significantly based on international, political and economic circumstances, as well as other factors outside our control, such as actions by oil and gas producers, regional production patterns, weather conditions and environmental concerns. We need diesel fuel to run a significant portion of our collection and transfer trucks and our equipment used in our landfill operations. Fuel supply shortages and price increases could substantially increase our operating expenses. Regardless of any offsetting surcharge programs, increased operating costs due to higher diesel fuel prices will decrease our income from operations margins.</w:t>
      </w:r>
    </w:p>
    <w:p>
      <w:pPr>
        <w:spacing w:after="0" w:line="75" w:lineRule="exact"/>
        <w:rPr>
          <w:sz w:val="20"/>
          <w:szCs w:val="20"/>
          <w:color w:val="auto"/>
        </w:rPr>
      </w:pPr>
    </w:p>
    <w:p>
      <w:pPr>
        <w:jc w:val="both"/>
        <w:ind w:left="18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Large-scale disruption of social and commercial activity and financial markets, such as has occurred in the past due to pandemic conditions, may have a material adverse impact on our business, financial condition, results of operations and cash flows.</w:t>
      </w:r>
    </w:p>
    <w:p>
      <w:pPr>
        <w:spacing w:after="0" w:line="6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Major external events, including pandemic conditions that result in large-sale disruption of social and commercial activity, such as business closures and social restrictions, could adversely impact our volumes, costs and operational execution. If such conditions were to be severe, resulting in a broad-based economic slow-down, it may have a material adverse impact on our financial condition, results of operations and cash flows and hinder our ability to grow our business and execute our business strategy.</w:t>
      </w:r>
    </w:p>
    <w:p>
      <w:pPr>
        <w:sectPr>
          <w:pgSz w:w="11900" w:h="16838" w:orient="portrait"/>
          <w:cols w:equalWidth="0" w:num="1">
            <w:col w:w="9019"/>
          </w:cols>
          <w:pgMar w:left="1440" w:top="607"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Information Security Risks</w:t>
      </w:r>
    </w:p>
    <w:p>
      <w:pPr>
        <w:spacing w:after="0" w:line="158"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5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and/or developing these new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77"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existing and proposed service offerings to customers require that we invest in, develop or license, and protect new technologies. Our Company is increasingly focusing on new technologies that automate and innovate our operations, improve the customer experience and provide alternatives to traditional disposal and maximize the resource value of waste. We are continuing our multi-year commitment to strategic investments in technology that prioritize reduction of labor dependency for certain high-turnover jobs, further digitalize our customer self-service and implement technologies to further enhance the safety, reliability and efficiency of our collection operations. Research, development and implementation of enhanced technology often requires significant spending that may divert capital investment away from our traditional business operations. We may experience difficulties or delays in the research, development, production and/or marketing of new products and services or implementation of technologies in which we have invested or acquired, which may negatively impact our operating results and prevent us from recouping or realizing a return on these investments and acquisitions. Further, protecting our intellectual property rights and combating unlicensed copying and use of intellectual property is difficult, and inability to obtain or protect new technologies could impact our services to customers and development of new revenue sources.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84"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technology in our operations and if our technology fails, our business could be adversely affected.</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cost savings or other benefits. Significant system failures could impede our ability to timely collect and report financial results in accordance with applicable laws and regulations. In 2022, we implemented a new general ledger accounting system, complementary finance enterprise resource planning system and a human capital management system. These systems increase our utilization of, and dependance on, third-party “cloud” computing services in connection with our business operations. Employee work-from-home arrangements also increase various technology risks, including potential exposure to cyber incidents, loss of data, fraud, internal control challenges and other disruptions as a consequence of more employees accessing Company systems and information remotely in the course of their ordinary work.</w:t>
      </w:r>
    </w:p>
    <w:p>
      <w:pPr>
        <w:spacing w:after="0" w:line="8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2023, the world experienced an exponential level of growth in the availability of potential applications of artificial intelligence (“AI”). AI could disrupt certain aspects of our business and evolve use of technology in ways that are not yet known. If we are not able to adapt and effectively incorporate potential advantages of AI in our business, it may negatively impact our ability to compete. On the other hand, if we are not able to effectively manage the risks of AI, including the potential for poor or inconsistent quality, privacy concerns, risks related to automated decision-making, and the potential for exposure of confidential and/or propriety information, we may suffer harm to our results of operation and reputation.</w:t>
      </w:r>
    </w:p>
    <w:p>
      <w:pPr>
        <w:spacing w:after="0" w:line="75"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cybersecurity incidents negatively impact our business and our relationships with customers, vendors and employees and expose us to increased liability.</w:t>
      </w:r>
    </w:p>
    <w:p>
      <w:pPr>
        <w:spacing w:after="0" w:line="51"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Substantially all aspects of our business operations rely on digital technology. We use computers, mobile devices, social networking and other online platforms to connect with our employees, customers, vendors, as well as other</w:t>
      </w:r>
    </w:p>
    <w:p>
      <w:pPr>
        <w:sectPr>
          <w:pgSz w:w="11900" w:h="16838" w:orient="portrait"/>
          <w:cols w:equalWidth="0" w:num="1">
            <w:col w:w="9019"/>
          </w:cols>
          <w:pgMar w:left="1440" w:top="60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individuals and third parties. These uses give rise to cybersecurity risks, including security breach, ransomware, espionage, system disruption, theft and/or inadvertent, accidental, unlawful, unauthorized access, loss, alteration, destruction and/or release of information. Our business necessitates the processing, collection, use, storage and transmission of numerous classes of sensitive and/or confidential information and intellectual property, including individuals’ personal information, private and sensitive employment-related personal information, and financial and strategic information about the Company and other businesses. In addition to our own safeguarding efforts, we also rely on third parties to process, collect and store sensitive data, including a Payment Card Industry compliant third party to protect our customers’ credit card information.</w:t>
      </w:r>
    </w:p>
    <w:p>
      <w:pPr>
        <w:spacing w:after="0" w:line="81"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7"/>
          <w:szCs w:val="17"/>
          <w:color w:val="auto"/>
        </w:rPr>
        <w:t>We are regularly the target of attempted cyber intrusions, and we anticipate continuing to be subject to such attempts as cyber intrusions become increasingly sophisticated and more difficult to predict and protect against. Geopolitical conflicts also increase the risk of cyber incidents. As such, we commit substantial resources to continuously monitor and further develop our networks and infrastructure to prevent, detect, and address the risk of unauthorized access, misuse, computer viruses and other events. Our security programs and measures do not prevent all intrusions. Cyber intrusions require a significant amount of time and effort to assess and remedy, and our incident response efforts may not be effective in all cases. Although we believe that the probability of occurrence of a significant cybersecurity incident is less than likely, if such an incident were to occur, the impact on the Company could be substantial. The Company experienced a cyber intrusion in the first quarter of 2021 that was promptly detected, and the third-party software vulnerability was quickly remediated. There was no impact to the Company’s operations, services or financial statements. A subsidiary of WMI was named as a defendant in a class action lawsuit related to this incident. The parties have agreed to a settlement that is currently pending final court approval, and such settlement will not have a material adverse effect on the Company’s business, financial condition, results of operations or cash flows; however, assessing and responding to this intrusion required a significant amount of time and management attention. While the magnitude of future cyber intrusions that result in a theft, destruction, loss, misappropriation, or release of sensitive and/or confidential information or intellectual property, or material interference with our information technology systems or the technology systems of third parties on which we rely cannot be predicted, such incidents could result in material business disruption, direct financial loss, negative publicity, brand damage, alleged violation of privacy laws, loss of customers, potential regulatory enforcement or private litigation liability and competitive disadvantage. We maintain insurance for cyber incidents; however, due to policy terms, limits and exclusions, such insurance may not apply in all cases, and it may not be adequate to cover all liabilities incurred.</w:t>
      </w:r>
    </w:p>
    <w:p>
      <w:pPr>
        <w:spacing w:after="0" w:line="29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the Company pursues its strategy to grow through acquisitions and to pursue new initiatives that improve our operations and cost structure, the Company is also expanding and improving its information technologies, resulting in a larger technological presence, utilization of “cloud” computing services, and corresponding exposure to cybersecurity risk. Certain new technologies, such as use of autonomous vehicles, remote-controlled equipment, virtual reality, automation and AI, present new and significant cybersecurity safety risks that must be analyzed and addressed before implementation. If we fail to assess and identify cybersecurity risks associated with acquisitions and new initiatives, we may become increasingly vulnerable to such risks.</w:t>
      </w:r>
    </w:p>
    <w:p>
      <w:pPr>
        <w:spacing w:after="0" w:line="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Increased state, federal and international laws and regulations related to cybersecurity protections and disclosures will require additional resources for compliance, and any inability, or perceived inability, to adequately address new requirements could subject us to regulatory enforcement, private litigation, public criticism, disrupt our operations, cause us to lose customers, result in additional costs and legal liability, damage our reputation, and otherwise harm our business.</w:t>
      </w:r>
    </w:p>
    <w:p>
      <w:pPr>
        <w:spacing w:after="0" w:line="68"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regulatory focus on privacy and data protection issues and expanding laws could negatively impact our business, subject us to criticism and expose us to increased liability.</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legislative and regulatory framework for privacy and data protection issues worldwide is rapidly evolving and is likely to remain uncertain for the foreseeable future. We collect, use, share, retain, delete and otherwise process certain personal information and other sensitive information in connection with our operations and providing environmental and other services. We are subject to a variety of laws and regulations, including GDPR and other international data protection laws, and may become subject to additional pending laws and regulations, that govern the collection, use and other processing of information obtained from individuals, businesses and other third parties. These laws and regulations are inconsistent across jurisdictions and are subject to evolving interpretations. Government officials, regulators, privacy advocates and class action attorneys are increasingly scrutinizing how companies collect, process, use, store, share, transmit and destroy personal data. We must continually monitor the development and adoption of, and commit substantial time and resources to comply with, new and emerging laws and regulations and/ or expanded interpretations of existing laws. These laws and regulations provide disclosure and other obligations for businesses that collect personal information,</w:t>
      </w:r>
    </w:p>
    <w:p>
      <w:pPr>
        <w:sectPr>
          <w:pgSz w:w="11900" w:h="16838" w:orient="portrait"/>
          <w:cols w:equalWidth="0" w:num="1">
            <w:col w:w="9019"/>
          </w:cols>
          <w:pgMar w:left="1440" w:top="60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individual rights relating to personal information, collection, use, storage, transmission and other processing requirements, automated decision-making transparency, and potential liability expansion. Any inability, or perceived inability, to adequately address privacy and data protection concerns, even if unfounded, or comply with laws, regulations, policies, industry standards, contractual obligations, or other legal obligations, including at newly acquired companies, could subject us to regulatory enforcement, private litigation, public criticism, business disruption, loss of customers, additional costs and legal liability, reputational damage, and other harm.</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98"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Under applicable environmental laws and regulations, we could be liable if it is alleged that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and for conditions resulting from waste types or compounds previously considered non-hazardous but later determined to present possible threat to public health or the environment. The risks of successor liability and emerging contaminants are of particular concern as we execute our growth strategy, partially through acquisitions, because we may be unsuccessful in identifying and assessing potential liabilities during our due diligence investigations. Further, the counterparties in such transactions may be unable to perform their indemnification obligations owed to us. Any substantial liability for environmental damage could have a material adverse effect on our financial condition, results of operations and cash flows.</w:t>
      </w:r>
    </w:p>
    <w:p>
      <w:pPr>
        <w:spacing w:after="0" w:line="8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 governmental entities, private groups or individuals seek to impose liability on us for alleged environmental damage or violation of statutes or desire to revoke or deny permits required for our operations. 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68"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sustainability growth strategy includes significant planned and ongoing investments in our WM Renewable Energy segment; changes to federal and state renewable fuel policies could affect our financial performance, and such investments may not yield the results anticipated.</w:t>
      </w:r>
    </w:p>
    <w:p>
      <w:pPr>
        <w:spacing w:after="0" w:line="6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primary drivers of renewable fuel development at our landfills are tax policies, such as the recently expanded federal tax credits for RNG production and renewable electricity generation, and federal and state incentive programs, such as the federal Renewable Fuel Standard (“RFS”) program and the California Low Carbon Fuel Standard. At the federal level, oil refiners and importers are required through the RFS program to blend specified volumes of renewable transportation fuels with gasoline or buy credits, referred to as RINs, from renewable fuel producers. The Company has invested, and continues to invest, in facilities that capture and convert landfill gas into RNG, and also works with facilities that capture and convert dairy digester gas into RNG, so that we can participate in the program, and the Company has stated its intention to grow its asset base to notably increase its RNG production by 2026. RINs prices generally respond to regulations enacted by the EPA, as well as fluctuations in supply and demand. The value of the RINs associated with RNG is set through a market established by the program, which market has historically been very volatile.</w:t>
      </w:r>
    </w:p>
    <w:p>
      <w:pPr>
        <w:spacing w:after="0" w:line="8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Prior to 2022, the EPA had promulgated rules on an annual basis establishing refiners’ obligations to purchase RNG and other cellulosic biofuels under the RFS program, which introduced a level of uncertainty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litigation challenging various</w:t>
      </w:r>
    </w:p>
    <w:p>
      <w:pPr>
        <w:sectPr>
          <w:pgSz w:w="11900" w:h="16838" w:orient="portrait"/>
          <w:cols w:equalWidth="0" w:num="1">
            <w:col w:w="9019"/>
          </w:cols>
          <w:pgMar w:left="1440" w:top="60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aspects of the rule, will ultimately reduce volatility in the RINs market or that future rulemakings will be similarly favorable to our business. Additionally, the Company’s sustainability growth strategy is informed by the increased adoption of state and Canadian clean fuel standard programs, utility policies, and voluntary market demand for RNG in transportation and industrial applications. Clean fuel standard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Changes and volatility in the RFS market or other markets, or changes in the structure of the RFS program or other clean fuel standard programs, can and has impacted the financial performance of the facilities constructed to capture and treat the gas. Such changes could impact or alter our projected future investments, and such investments may not yield the results anticipated.</w:t>
      </w:r>
    </w:p>
    <w:p>
      <w:pPr>
        <w:spacing w:after="0" w:line="82"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climate change, and the adoption of climate change legislation or regulations restricting emissions of GHGs, could increase our costs to operate.</w:t>
      </w:r>
    </w:p>
    <w:p>
      <w:pPr>
        <w:spacing w:after="0" w:line="51" w:lineRule="exact"/>
        <w:rPr>
          <w:sz w:val="20"/>
          <w:szCs w:val="20"/>
          <w:color w:val="auto"/>
        </w:rPr>
      </w:pPr>
    </w:p>
    <w:p>
      <w:pPr>
        <w:jc w:val="both"/>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We continue to assess the physical risks, such as sea-level rise, catastrophic storms and other extreme weather conditions and long-term shifts in climate patterns, and transition risks, such as regulatory, market, policy, and technology changes, to our operations from the effects of climate change. These risks are expected to be unpredictable and widespread.</w:t>
      </w:r>
    </w:p>
    <w:p>
      <w:pPr>
        <w:spacing w:after="0" w:line="5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Although we have made investments to mitigate risk associated with severe storm events, damage to our facilities or disruption of service caused by more frequent or more severe storms associated with climate extremes could negatively impact operating results. We have also identified risk to our assets and our employees associated with drought or water scarcity, flooding, extreme heat and rain events, and fire conditions associated with climate change. For example, wildfires influenced by climate change can damage landfill infrastructure such as gas collection systems, flooding in low-lying areas enhanced by sea level rise can result in greater maintenance expenses at our facilities and service disruption, and more frequent or extreme rain events can erode the protective vegetative caps on our landfills and generate increased volumes of leachate to manage. Those areas of the country most prone to these occurrences have protocols in place, or are developing protocols to address these conditions, including employee safety, driver training, and equipment and facility protection protocols. We have incurred and will incur costs to develop and implement these protocols, and these protocols may not be effective in offsetting these risks. Additionally, the actions of others in response to climate change effects, such as rolling power blackouts, can result in service disruptions and increase our costs to operate.</w:t>
      </w:r>
    </w:p>
    <w:p>
      <w:pPr>
        <w:spacing w:after="0" w:line="8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landfill operations emit methane, identified as a GHG. Research efforts have demonstrated that observing landfills utilizing a combination of aerial and surface-based technologies has the potential to advance understanding of methane emissions from our sites. Meanwhile, a number of legislative and regulatory efforts at the state, provincial, regional and federal levels aim to cap and/or curtail the emission of GHGs to ameliorate the effect of climate change, and otherwise to promote adaptation to climate change, support the transition to a low-carbon economy, and require disclosure of climate-related matters. We continue to monitor these efforts and the potential impacts to our operations. Additionally, existing technology presents challenges to our ability to quantify landfill emissions precisely. In 2024, both the EPA and Environment and Climate Change Canada (“ECCC”) are expected to evaluate landfill emissions standards that may require the application of various emerging methane measurement technologies. The EPA has indicated that methane emissions from landfills will be a focus of its expanded National Enforcement and Compliance Initiatives for 2024 through 2027. Both the EPA and the ECCC also plan to develop methods and standards for advanced measurement technologies. Should comprehensive federal climate change legislation be enacted, we expect it could impose operational and compliance costs that might not be offset by the revenue increases associated with our lower-carbon service options, the materiality of which we cannot predict. Climate change laws and regulations could also result in increased operational costs or disruption to the business of our customers, potentially impacting our operations and financial condition. We could also experience damage to our reputation and brand, including as a result of a failure or perceived failure to respond responsibly and effectively to changes in legal and regulatory measures adopted to address climate change.</w:t>
      </w:r>
    </w:p>
    <w:p>
      <w:pPr>
        <w:spacing w:after="0" w:line="81"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6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w:t>
      </w:r>
    </w:p>
    <w:p>
      <w:pPr>
        <w:sectPr>
          <w:pgSz w:w="11900" w:h="16838" w:orient="portrait"/>
          <w:cols w:equalWidth="0" w:num="1">
            <w:col w:w="9019"/>
          </w:cols>
          <w:pgMar w:left="1440" w:top="607"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or if we or our local partners failed to comply with such laws. Additionally, violations of such laws could subject us to significant fines and penalties.</w:t>
      </w:r>
    </w:p>
    <w:p>
      <w:pPr>
        <w:spacing w:after="0" w:line="50" w:lineRule="exact"/>
        <w:rPr>
          <w:sz w:val="20"/>
          <w:szCs w:val="20"/>
          <w:color w:val="auto"/>
        </w:rPr>
      </w:pPr>
    </w:p>
    <w:p>
      <w:pPr>
        <w:ind w:left="1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Currently pending or future litigation or governmental proceedings could result in material adverse consequences, including judgments or settlements.</w:t>
      </w:r>
    </w:p>
    <w:p>
      <w:pPr>
        <w:spacing w:after="0" w:line="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large company with operations across the U.S. and Canada, we are subject to various proceedings, lawsuits, disputes and claims arising in the ordinary course of our business, including governmental proceedings.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18"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environmental contamination, including releases of hazardous materials and odors;</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practices, customer service agreements, prices and fees; and</w:t>
      </w:r>
    </w:p>
    <w:p>
      <w:pPr>
        <w:spacing w:after="0" w:line="3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wage and hour and other laws.</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58" w:lineRule="exact"/>
        <w:rPr>
          <w:sz w:val="20"/>
          <w:szCs w:val="20"/>
          <w:color w:val="auto"/>
        </w:rPr>
      </w:pPr>
    </w:p>
    <w:p>
      <w:pPr>
        <w:ind w:left="1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5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Macroeconomic pressures, including inflation and rising interest rates, and market disruption are continuing. The U.S. government’s decisions regarding its debt ceiling and the possibility that the U.S. could default on its debt obligations may cause further interest rate increases, disrupt access to capital markets and trigger recessionary conditions. Further, our ability to execute our financial strategy and our ability to incur indebtedness is somewhat dependent upon our ability to maintain investment grade credit ratings on our senior debt. The credit rating process is contingent upon our credit profile and several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 We have $2.5 billion of debt as of December 31, 2023 that is exposed to changes in market interest rates within the next 12 months, associated with our commercial paper borrowings and tax-exempt bonds. If interest rates increase, our interest expense would also increase, lowering our net income and decreasing our cash flow.</w:t>
      </w:r>
    </w:p>
    <w:p>
      <w:pPr>
        <w:spacing w:after="0" w:line="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use our $3.5 billion long-term U.S. and Canadian revolving credit facility (“$3.5 billion revolving credit facility”) to meet our cash needs, to the extent available, until maturity in May 2027. As of December 31, 2023, we had no outstanding borrowings under this facility. We had $859 million of outstanding borrowings (net of related discount on issuance) under our commercial paper program and $180 million of letters of credit issued, both supported by this facility, leaving unused and available credit capacity of $2.5 billion as of December 31, 2023. In the event of a default under our $3.5 billion revolving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operate.</w:t>
      </w:r>
    </w:p>
    <w:p>
      <w:pPr>
        <w:spacing w:after="0" w:line="76" w:lineRule="exact"/>
        <w:rPr>
          <w:sz w:val="20"/>
          <w:szCs w:val="20"/>
          <w:color w:val="auto"/>
        </w:rPr>
      </w:pPr>
    </w:p>
    <w:p>
      <w:pPr>
        <w:jc w:val="both"/>
        <w:ind w:left="18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amount of insurance we are required to maintain for environmental liability is governed by statutory requirements. We also carry a broad range of other insurance coverages that are customary for a company our size. To the extent our obligations for claims are more than we estimated, our insurance coverage is inadequate to cover our obligations, or our</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insurers are unable to meet their obligations, the requirement that we pay such obligations could have a material adverse effect on our financial results.</w:t>
      </w:r>
    </w:p>
    <w:p>
      <w:pPr>
        <w:spacing w:after="0" w:line="5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to fulfill our financial assurance obligations with respect to variable-rate tax-exempt debt, and final capping, closure, post-closure and environmental remediation obligations, we generally obtain letters of credit or surety bonds, rely on insurance, including captive insurance, fund trust and escrow accounts or rely upon WMI financial guarantees. Our financial position, which can be negatively affected by asset impairments, our credit profile and general economic factors, may increase the cost of our current financial assurance instruments, and changes in regulations may impose stricter requirements on the types of financial assurance that will be accepted.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required to deposit cash to collateralize certain obligations, which could negatively impact our liquidity.</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record material charges against our earnings due to impairments to our assets.</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Events that have in the past and may in the future lead to an impairment include, but are not limited to, shutting down a facility or operation, abandoning a development project, project cost overruns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have in the past and may in the future be required to incur charges against earnings if such impairment tests indicate that the fair value of a reporting unit is below its carrying amount. Any such charges could have a material adverse effect on our results of operations.</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could face significant liabilities for withdrawal from Multiemployer Pension Plans.</w:t>
      </w:r>
    </w:p>
    <w:p>
      <w:pPr>
        <w:spacing w:after="0" w:line="12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including potential legislative changes, future withdrawals could have a material adverse effect on results of operations or cash flows for a particular reporting period, and our ongoing costs of participation in Multiemployer Pension Plans may increase. See Notes 9 and 10 to the Consolidated Financial Statements for more information related to our participation in Multiemployer Pension Plans.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Strategy, Governance and Risk Management</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Technology Risk Program is designed to proactively identify, monitor, and mitigate technology-related risks across our digital operations and assess cybersecurity risks related to third-party vendors and suppliers. Our Cybersecurity Program and our Technology Risk Program are led by our Chief Information Security Officer (“CISO”) a Certified Information Systems Security Professional with two decades of cybersecurity leadership. The CISO and his team are responsible for leading enterprise-wide cybersecurity strategy, policy, standards, architecture, and processes. The Technology Risk Oversight Committee chaired by our CISO, with members representing leadership throughout our Company, provides oversight and guidance to technology risks, including cybersecurity. Our Company’s Cybersecurity Program is designed to align with the National Institute of Standards and Technology (“NIST”) Cybersecurity Framework and leading industry practices, and our Cybersecurity Program is integrated into our Company’s Enterprise Risk Management framework. Internal and external experts regularly evaluate our Cybersecurity Program, and the results of those reviews are reported to senior management and our Company’s Board of Directors. Our Incident Response Committee, which is comprised of leaders in the areas of information security, digital, legal, finance, privacy, compliance and ethics, corporate security and communications, is responsible for leading our Company’s response to cyber incidents. Our Cybersecurity Incident Response Plan outlines the processes by which management is informed about and monitors detection and mediation of cyber incidents. We actively engage with key vendors, industry participants, and intelligence and law enforcement communities as part of our continuing efforts to evaluate and enhance the effectiveness of our information security policies and procedures.</w:t>
      </w:r>
    </w:p>
    <w:p>
      <w:pPr>
        <w:spacing w:after="0" w:line="12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Risks from cybersecurity threats, including as a result of previous cybersecurity incidents encountered by the Company and known incidents encountered by third parties with a connection to the Company, have not materially affected, and are not currently viewed as reasonably likely to materially affect our Company, including our business strategy, results of operations or financial condition. However, we are regularly the target of attempted cyber intrusions, and we anticipate continuing to be subject to such attempts. Our security programs and measures do not prevent all intrusions. Cyber intrusions require a significant amount of time and effort to assess and remedy, and our incident response efforts may not be effective in all cases. Although we believe that the probability of occurrence of a significant cybersecurity incident is less than likely, if such an incident were to occur, the impact on the Company could be substantial.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Significant cybersecurity incidents negatively impact our business and our relationships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vendors and employees and expose us to increased liability </w:t>
      </w:r>
      <w:r>
        <w:rPr>
          <w:rFonts w:ascii="Times New Roman" w:cs="Times New Roman" w:eastAsia="Times New Roman" w:hAnsi="Times New Roman"/>
          <w:sz w:val="18"/>
          <w:szCs w:val="18"/>
          <w:color w:val="auto"/>
        </w:rPr>
        <w:t>for additional discussion.</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Management has primary responsibility for risk management within our Company. The Company’s Board of Directors, with the support of its committees, oversees risk management to ensure that the processes designed, implemented and maintained by our executives are functioning as intended and adapted when necessary to respond to changes in our Company’s strategy as well as emerging risks. The Audit Committee of the Company’s Board of Directors has responsibility for oversight of information and cybersecurity risks and assessment of cyber threats and defenses. The Audit Committee receives reports on these matters from our most senior executives in the digital organization, including our Chief Information Officer and CISO, and the Company’s executive officers, at least twice a year. Topics historically covered in such reports include third-party evaluation of our technology infrastructure and information security against the NIST cybersecurity framework;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and consideration of applicable laws and regulations, including those related to privacy. The Company’s Cybersecurity Incident Response Plan includes a section on Board escalation that specifies the process for notification of the Chair of the Audit Committee and the Chair of the Board of the Directors upon certain triggering events, and that group then determines the appropriate form and frequency of communication with the full Audit Committee or Board of Directors, depending on the unique characteristics of the incident.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in Houston, Texas where we lease approximately 285,000 square feet under a lease expiring in 2035. We also have administrative offices in Arizona, Connecticut, Illinois and India. We own or lease real property in most locations where we have operations or administrative functions. We have operations (i) in all 50 states except Montana; (ii) in the District of Columbia and (iii) throughout Canada.</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principal property and equipment consist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the replacement of aging assets and investment in assets that support our strategy of continuous improvement through efficiency and innovation. In addition, we continue to make progress on our planned investments to expand our Recycling Processing and Sales and WM Renewable Energy segments. 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 quality RNG and then sold to natural gas suppliers. For more information, see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included within this report.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various operations as of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Landfills owned or operated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Transfer stations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facilities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10 to the Consolidated Financial Statements included within this report.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80" w:right="59" w:hanging="12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“WM.” The number of holders of record of our common stock on February 8, 2024 was 7,489.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54980" cy="3437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6"/>
              </w:rPr>
              <w:t>12/31/19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6"/>
              </w:rPr>
              <w:t>12/31/22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12/31/23</w:t>
            </w: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Waste Management,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Waste &amp; Disposal Services Index</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30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During 2023, we allocated an aggregate of $1.3 billion to repurchase our common stock under accelerated share repurchase (“ASR”) agreements and open market transactions. As of December 31, 2023, we had received 7.8 million shares with a weighted average price per share of $158.47, exclusive of per-share commissions. In February 2024, we completed our ASR agreement executed in October 2023, at which time we received 0.2 million shares. See Note 13 to the Consolidated Financial Statements for additional information. We announced in December 2023 that the Board of Directors has authorized up to $1.5 billion in future share repurchases, excluding the 1% excise tax discussed further below. This new authorization supersedes and replaces remaining authority under the prior Board of Directors’ authorization for share repurchases announced in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common stock repurchases made during the fourth quarter of 2023 (shares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Approximate Maximum</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80" w:type="dxa"/>
            <w:vAlign w:val="bottom"/>
          </w:tcPr>
          <w:p>
            <w:pPr>
              <w:spacing w:after="0"/>
              <w:rPr>
                <w:sz w:val="16"/>
                <w:szCs w:val="16"/>
                <w:color w:val="auto"/>
              </w:rPr>
            </w:pPr>
          </w:p>
        </w:tc>
        <w:tc>
          <w:tcPr>
            <w:tcW w:w="1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280"/>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Share(a)</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the Plans or Programs(a)</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(b)</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 million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257.5 million</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billion</w:t>
            </w:r>
          </w:p>
        </w:tc>
        <w:tc>
          <w:tcPr>
            <w:tcW w:w="0" w:type="dxa"/>
            <w:vAlign w:val="bottom"/>
          </w:tcPr>
          <w:p>
            <w:pPr>
              <w:spacing w:after="0"/>
              <w:rPr>
                <w:sz w:val="1"/>
                <w:szCs w:val="1"/>
                <w:color w:val="auto"/>
              </w:rPr>
            </w:pPr>
          </w:p>
        </w:tc>
      </w:tr>
      <w:tr>
        <w:trPr>
          <w:trHeight w:val="209"/>
        </w:trPr>
        <w:tc>
          <w:tcPr>
            <w:tcW w:w="3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which was enacted into law on August 16, 2022, imposed a nondeductible 1% excise tax on the net value of certain stock repurchases made after December 31, 2022. We reflected the applicable excise tax in treasury stock as part of the cost basis of the stock repurchased. In the table above and footnotes below, the average price paid per share, total repurchase costs and approximate maximum dollar value of shares that may yet be purchased under the plans or programs exclude the 1% excise tax.</w:t>
      </w:r>
    </w:p>
    <w:p>
      <w:pPr>
        <w:spacing w:after="0" w:line="75"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repurchased 70,350 shares of our common stock in open market transactions in compliance with Rule 10b5-1 and Rule 10b-18 of the Exchange Act for $11 million, inclusive of per share commissions, at a weighted average price of $156.35. Additionally, we repurchased $300 million of our common stock pursuant to an ASR agreement. At the beginning of the repurchase period, we delivered $300 million cash and received 1.5 million shares based on a stock price of $161.38. The ASR agreement completed in February 2024, at which time we received 0.2 million additional shares based on a final weighted average price of $175.29.</w:t>
      </w:r>
    </w:p>
    <w:p>
      <w:pPr>
        <w:spacing w:after="0" w:line="7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This section includes a discussion of our results of operations for the three years ended December 31, 2023. This discussion may contain forward-looking statements. See “Cautionary Statement about Forward-Looking Statements” in Part I of this Annual Report on Form 10-K for more information. Forward-looking statements are subject to certain risks and uncertainties that could cause actual results to differ materially from our historical experience and our present expectations or anticipated results. These risks and uncertainties include, but are not limited to,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and may also be described from time to time in our future reports filed with the U.S. Securities and Exchange Commission (“SEC”).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w:t>
      </w:r>
    </w:p>
    <w:p>
      <w:pPr>
        <w:sectPr>
          <w:pgSz w:w="11900" w:h="16838" w:orient="portrait"/>
          <w:cols w:equalWidth="0" w:num="1">
            <w:col w:w="9019"/>
          </w:cols>
          <w:pgMar w:left="1440" w:top="607"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fuel that we allocate to our natural gas fleet. Additionally, we are a leading recycler in the U.S. and Canada, handling materials that include paper, cardboard, glass, plastic and metal.</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and WM Renewable Energy businesses, beginning in the fourth quarter of 2023, our senior management revised its segment reporting to (i) reflect the financial results of our collection, transfer, disposal and resource recovery service businesses independently; (ii) combine the results of all recycling facilities from our East and West Tier segments with our recycling brokerage and sales activities to form a newly created Recycling Processing and Sales reportable segment and (iii) include our WM Renewable Energy business as a reportable segment. Accordingly, our senior management now evaluates, oversees and manages the financial performance of our business through four reportable segments, referred to as (i) Collection and Disposal East Tier (“East Tier”); (ii) Collection and Disposal - West Tier (“West Tier”); (iii) Recycling Processing and Sales and (iv) WM Renewable Energy. Our East and West Tiers along with certain ancillary services not managed through our Tier segments, but that support our collection and disposal operations, form our “Collection and Disposal” businesses.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certain ancillary services (“Other Ancillary”) that are not managed through the Tier segments but that support our collection and disposal operations. 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Collection and Disposal businesses’ operating revenues are primarily generated from fees charged for our collection, transfer, disposal and resource recovery services.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21 third-party power generating facilities converting our landfill gas to fuel electricity generators; (ii) 14 third-party renewable natural gas (“RNG”) facilities processing landfill gas to be sold to natural gas suppliers and (iii) two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renewable identification numbers (“RINs”), electricity and capacity, Renewable Energy Credits (“RECs”) and related environmental attributes from the 83 landfill beneficial use renewable energy projects owned by WM Renewable Energy on our active landfills, which is eliminated in consolidation.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w:t>
      </w:r>
    </w:p>
    <w:p>
      <w:pPr>
        <w:sectPr>
          <w:pgSz w:w="11900" w:h="16838" w:orient="portrait"/>
          <w:cols w:equalWidth="0" w:num="1">
            <w:col w:w="9019"/>
          </w:cols>
          <w:pgMar w:left="1440" w:top="607"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Recycling Processing and Sales revenues generally consist of tipping fees and the sale of recycling commodities to and/or on behalf of third parties. Our Recycling Processing and Sales segment excludes the collection of recycled materials from our residential, commercial, and industrial customers which is included within our Collection and Disposal businesses.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WM Renewable Energy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to be sold which include RNG, electricity and capacity, heat and/or steam. WM Renewable Energy also generates and sells (i) RINs under the Renewable Fuel Standard (“RFS”) program; (ii) other credits under a variety of state programs associated with the use of RNG in our compressed natural gas fleet and (iii)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Environmental Protection Agency (“EPA”) or other regulatory bodies, as well as changes in supply and demand.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 quality RNG and then sold to natural gas suppliers.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12 third-party landfill beneficial gas use projects in return for service revenue. Our Collection and Disposal and Corporate and Other businesses benefit from these projects as well as 32 additional third-party landfill beneficial gas use projects in the form of royalties.</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are closed sites that include (i) five third-party power generating facilities converting our landfill gas to fuel electricity generators; (ii) one third-party project delivering our landfill gas by pipeline to industrial customers as a direct substitute for fossil fuels in industrial processes and (iii) one third-party RNG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nine landfill beneficial use renewable energy projects owned by WM Renewable Energy on our closed sites, which is eliminated in consolidation.</w:t>
      </w:r>
    </w:p>
    <w:p>
      <w:pPr>
        <w:spacing w:after="0" w:line="19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Included in the fees we charge for our services is our energy surcharge and other charges that are intended to pass through costs to customers.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2023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https://sustainability.wm.com but it does not constitute a part of, and is not incorporated by reference into, this Annual Report on Form 10-K. For further discussion see Item1. </w:t>
      </w:r>
      <w:r>
        <w:rPr>
          <w:rFonts w:ascii="Times New Roman" w:cs="Times New Roman" w:eastAsia="Times New Roman" w:hAnsi="Times New Roman"/>
          <w:sz w:val="18"/>
          <w:szCs w:val="18"/>
          <w:i w:val="1"/>
          <w:iCs w:val="1"/>
          <w:color w:val="auto"/>
        </w:rPr>
        <w:t>Business – Regulation – Recent Developments and Focus Areas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Policy and Regulation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In late 2021, we began to execute this technology enablement strategy to automate and optimize certain elements of our service delivery model. The key benefits are to reduce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 Additionally, in 2022, we implemented a new general ledger accounting system, complementary finance enterprise resource planning system and a human capital management system, which will continue to drive operational and service excellence by empowering our people through a modern, simplified and connected employee experience.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Macroeconomic pressures, including inflation and rising interest rates, and market disruption resulting in labor, supply chain and transportation constraints have impacted our results; however, we began to see moderate improvements during the second half of 2023.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With the significant decline in commodity prices that started in the second half of 2022 and has continued into 2023, we are currently experiencing margin pressures from our commodity-driven businesses, specifically within our Recycling Processing and Sales and WM Renewable Energy segments. While still below prices seen at the beginning of 2022, recycling commodity prices began to improve in the fourth quarter of 2023 and while there may be short-term fluctuations in our commodity-driven businesses as prices change, we continue to focus on adjusting our business models</w:t>
      </w:r>
    </w:p>
    <w:p>
      <w:pPr>
        <w:sectPr>
          <w:pgSz w:w="11900" w:h="16838" w:orient="portrait"/>
          <w:cols w:equalWidth="0" w:num="1">
            <w:col w:w="9019"/>
          </w:cols>
          <w:pgMar w:left="1440" w:top="607"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protect against the down-side risk by spreading the inherent risk of changes in commodity prices across the vertically integrated value chain. The extent and duration of the impact of labor, supply chain, transportation and commodity 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geopolitical conflicts and responses and supply and demand for commodities. As we experience inflationary cost pressures, we focus on our pricing efforts, as well as operating efficiencies and cost controls, to maintain our earnings and cash flow and facilitate growth. With these macroeconomic pressures,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Year Financial Results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2023, we continued to focus on our priorities to advance our strategy—enhancing employee engagement, permanently reducing our cost to serve through the use of technology and automation, and investing in growth through our Recycling Processing and Sales and WM Renewable Energy segments. This strategic focus, combined with strong operational execution, resulted in increased revenue, income from operations and income from operations margin. We remain diligent in offering a competitive and differentiated service that meets the needs of our customers, and we are focused on driving operating efficiencies and reducing discretionary spend. We continue to invest in our people through paying a competitive market wage, investments in our digital platform and training for our team members. We also continue to make investments in automation and optimization to enhance our operational efficiency and improve labor productivity for all lines of business. During 2023, the Company allocated $2,895 million of available cash to capital expenditures. We also allocated $2,438 million of available cash to our shareholders during 2023 through dividends and common stock repurchases.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2023 financial results include:</w:t>
      </w:r>
    </w:p>
    <w:p>
      <w:pPr>
        <w:spacing w:after="0" w:line="117" w:lineRule="exact"/>
        <w:rPr>
          <w:sz w:val="20"/>
          <w:szCs w:val="20"/>
          <w:color w:val="auto"/>
        </w:rPr>
      </w:pPr>
    </w:p>
    <w:p>
      <w:pPr>
        <w:jc w:val="both"/>
        <w:ind w:left="720" w:right="7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$20,426 million for 2023 compared with $19,698 million in 2022, an increase of $728 million, or 3.7%. The increase is primarily attributable to (i) higher yield in our Collection and Disposal businesses;</w:t>
      </w:r>
    </w:p>
    <w:p>
      <w:pPr>
        <w:jc w:val="both"/>
        <w:ind w:left="720" w:right="79" w:firstLine="5"/>
        <w:spacing w:after="0" w:line="253" w:lineRule="auto"/>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net of divestitures and (iii) increased volumes. These increases were partially offset by commodity price declines in our Recycling Processing and Sales and WM Renewable Energy segments and decreased revenue from our energy surcharge program as a result of a decline in the price of fuel, particularly diesel;</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$12,606 million in 2023, or 61.7% of revenues, compared with $12,294 million, or 62.4% of revenues, in 2022. The $312 million increase is primarily attributable to (i) inflationary cost pressures, particularly for maintenance and repairs and subcontractor costs and (ii) labor cost pressure from wage increases. These increases were offset, in part, by commodity driven business impacts from lower recycling rebates reflected in costs of goods sold and lower fuel prices;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$1,926 million in 2023, or 9.4% of revenues, compared with $1,938 million, or 9.8% of revenues, in 2022. The $12 million decrease was primarily due to (i) reduced professional fees in connection with investments in our digital platform, as certain digital projects have moved from higher cost development activities to implementation activities and (ii) lower annual incentive compensation costs;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$3,575 million, or 17.5% of revenues, in 2023 compared with $3,365 million, or 17.1% of revenues, in 2022. The increase in the current year earnings was primarily driven by revenue growth within our Collection and Disposal businesses partially offset by (i) impairments within our Recycling Processing and Sales segment as well as certain investments in our Corporate and Other operations;</w:t>
      </w:r>
    </w:p>
    <w:p>
      <w:pPr>
        <w:spacing w:after="0" w:line="2" w:lineRule="exact"/>
        <w:rPr>
          <w:rFonts w:ascii="Times New Roman" w:cs="Times New Roman" w:eastAsia="Times New Roman" w:hAnsi="Times New Roman"/>
          <w:sz w:val="18"/>
          <w:szCs w:val="18"/>
          <w:color w:val="auto"/>
        </w:rPr>
      </w:pPr>
    </w:p>
    <w:p>
      <w:pPr>
        <w:ind w:left="720" w:right="79" w:firstLine="5"/>
        <w:spacing w:after="0" w:line="260" w:lineRule="auto"/>
        <w:tabs>
          <w:tab w:leader="none" w:pos="9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market values for RINs and (iii) the decline in recycling commodity prices affecting profitability in our Recycling Processing and Sales segment;</w:t>
      </w:r>
    </w:p>
    <w:p>
      <w:pPr>
        <w:spacing w:after="0" w:line="7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$2,304 million, or $5.66 per diluted share, compared with $2,238 million, or $5.39 per diluted share, in 2022. The increase in income from operations discussed above was partially offset by higher interest and income tax expense;</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$4,719 million in 2023, compared with $4,536 million in 2022. The increase in net cash provided by operating activities was driven by higher earnings attributable to our Collection and Disposal businesses and lower income tax payments. This increase was partially offset by (i) unfavorable changes in working capital, net of effects of acquisitions and divestitures; (ii) higher interest payments and (iii) higher incentive compensation payments during 2023; and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cash flow was $1,902 million in 2023, compared with $1,976 million in 2022. The decrease in free cash flow is primarily attributable to the increase in capital spending, primarily driven by our planned and ongoing investments in our Recycling Processing and Sales and WM Renewable Energy segments and higher capital asset purchases in the current year to support our Collection and Disposal businesses. The decrease was partially offset by the increase in net cash provided by operating activities discussed above and higher proceeds from divestitures of businesses and other assets. Free cash flow is a non-GAAP measure of liquidity. Refer to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mix of operating revenues for the year ended December 31 are as follows (in millions):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60" w:type="dxa"/>
            <w:vAlign w:val="bottom"/>
          </w:tcPr>
          <w:p>
            <w:pPr>
              <w:spacing w:after="0"/>
              <w:rPr>
                <w:sz w:val="13"/>
                <w:szCs w:val="13"/>
                <w:color w:val="auto"/>
              </w:rPr>
            </w:pPr>
          </w:p>
        </w:tc>
        <w:tc>
          <w:tcPr>
            <w:tcW w:w="120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2"/>
                <w:szCs w:val="12"/>
                <w:color w:val="auto"/>
              </w:rPr>
            </w:pPr>
          </w:p>
        </w:tc>
        <w:tc>
          <w:tcPr>
            <w:tcW w:w="1200" w:type="dxa"/>
            <w:vAlign w:val="bottom"/>
          </w:tcPr>
          <w:p>
            <w:pPr>
              <w:jc w:val="center"/>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3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15"/>
                <w:szCs w:val="15"/>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5"/>
                <w:szCs w:val="15"/>
                <w:color w:val="auto"/>
              </w:rPr>
            </w:pPr>
          </w:p>
        </w:tc>
        <w:tc>
          <w:tcPr>
            <w:tcW w:w="1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60" w:type="dxa"/>
            <w:vAlign w:val="bottom"/>
          </w:tcPr>
          <w:p>
            <w:pPr>
              <w:spacing w:after="0"/>
              <w:rPr>
                <w:sz w:val="15"/>
                <w:szCs w:val="15"/>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3880" w:type="dxa"/>
            <w:vAlign w:val="bottom"/>
            <w:gridSpan w:val="4"/>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3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for the year ended December 31 (dollars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7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7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9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720" w:type="dxa"/>
            <w:vAlign w:val="bottom"/>
            <w:gridSpan w:val="3"/>
            <w:vMerge w:val="continue"/>
          </w:tcPr>
          <w:p>
            <w:pPr>
              <w:spacing w:after="0"/>
              <w:rPr>
                <w:sz w:val="15"/>
                <w:szCs w:val="15"/>
                <w:color w:val="auto"/>
              </w:rPr>
            </w:pPr>
          </w:p>
        </w:tc>
        <w:tc>
          <w:tcPr>
            <w:tcW w:w="108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740" w:type="dxa"/>
            <w:vAlign w:val="bottom"/>
            <w:gridSpan w:val="2"/>
            <w:vMerge w:val="continue"/>
          </w:tcPr>
          <w:p>
            <w:pPr>
              <w:spacing w:after="0"/>
              <w:rPr>
                <w:sz w:val="15"/>
                <w:szCs w:val="15"/>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$ 1,025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WM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Renewable Energy (c)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tcPr>
          <w:p>
            <w:pPr>
              <w:spacing w:after="0"/>
              <w:rPr>
                <w:sz w:val="20"/>
                <w:szCs w:val="20"/>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surcharge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mandated fees (d)(e)</w:t>
            </w:r>
          </w:p>
        </w:tc>
        <w:tc>
          <w:tcPr>
            <w:tcW w:w="1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average yield (f)</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$ 1,518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Volume (g)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Internal revenue growth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2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$ 1,767</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related business revenue adjusted to exclude the impacts of divestitures for the current year.</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total Company revenue adjusted to exclude the impacts of divestitures for the current year.</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2023, the results include changes in our revenue attributable to our WM Renewable Energy segment. Previously these changes in revenue were included in energy surcharges and mandated fees. We have revised our prior year results to conform with the current year presentation.</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energy surcharge was revised in the second quarter of 2023 to incorporate market prices for both diesel and compressed natural gas (“CNG”).</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225" w:lineRule="exact"/>
        <w:rPr>
          <w:rFonts w:ascii="Times New Roman" w:cs="Times New Roman" w:eastAsia="Times New Roman" w:hAnsi="Times New Roman"/>
          <w:sz w:val="18"/>
          <w:szCs w:val="18"/>
          <w:color w:val="auto"/>
        </w:rPr>
      </w:pPr>
    </w:p>
    <w:p>
      <w:pPr>
        <w:ind w:left="380" w:right="2479"/>
        <w:spacing w:after="0" w:line="4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provides further details about our period-to-period change in revenues: </w:t>
      </w:r>
      <w:r>
        <w:rPr>
          <w:rFonts w:ascii="Times New Roman" w:cs="Times New Roman" w:eastAsia="Times New Roman" w:hAnsi="Times New Roman"/>
          <w:sz w:val="18"/>
          <w:szCs w:val="18"/>
          <w:i w:val="1"/>
          <w:iCs w:val="1"/>
          <w:color w:val="auto"/>
        </w:rPr>
        <w:t>Average Yield</w:t>
      </w:r>
    </w:p>
    <w:p>
      <w:pPr>
        <w:spacing w:after="0" w:line="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80" w:hanging="230"/>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average price changes related to the overall mix of services, which are due to the types of services provided;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price from new and lost business and (iii) price decreases to retain customers.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for the year ended December 31 are as follows (dollars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3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6"/>
        </w:trPr>
        <w:tc>
          <w:tcPr>
            <w:tcW w:w="3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3"/>
        </w:trPr>
        <w:tc>
          <w:tcPr>
            <w:tcW w:w="384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w:t>
            </w:r>
          </w:p>
        </w:tc>
        <w:tc>
          <w:tcPr>
            <w:tcW w:w="1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09"/>
        </w:trPr>
        <w:tc>
          <w:tcPr>
            <w:tcW w:w="3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are continuing to see growth in our landfill business with our municipal solid waste experiencing average yield of 4.9% in 2023.</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 </w:t>
      </w:r>
      <w:r>
        <w:rPr>
          <w:rFonts w:ascii="Times New Roman" w:cs="Times New Roman" w:eastAsia="Times New Roman" w:hAnsi="Times New Roman"/>
          <w:sz w:val="18"/>
          <w:szCs w:val="18"/>
          <w:color w:val="auto"/>
        </w:rPr>
        <w:t>Recycling Processing and Sales revenues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yield decreased $308 million in 2023 and increased $19 million in 2022, respectively, as compared with the prior year periods. With the significant decline in commodity prices that started in the second half of 2022 and has continued into 2023, we are currently experiencing margin pressures from our commodity-driven businesses, specifically within our Recycling Processing and Sales and WM Renewable Energy segments. While still below prices seen at the beginning of 2022, recycling commodity prices began to improve in the fourth quarter of 2023 and while there may be short-term fluctuations in our commodity-driven businesses as prices change, we continue to focus on adjusting our business models to protect against the down-side risk by spreading the inherent risk of changes in commodity prices across the vertically integrated value chain. Average market prices for single-stream recycled commodities were down 40% and 10% in 2023 and 2022, respectively, as compared with the prior year periods. During 2023, the revenue decline from lower commodity pricing that started in 2022 was partially offset by higher pricing in our recycling brokerage business as well as our continued focus on a fee-based pricing model. Additionally, revenue in our WM Renewable Energy segment decreased $73 million and increased $48 million in 2023 and 2022, respectively, as compared with the prior year periods, primarily driven by the fluctuations in energy prices and the value of RINs.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decreased $104 million in 2023 and increased $426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with the prior year periods. Beginning in the second quarter of 2023, our energy surcharge was revised to incorporate market prices for both diesel and CNG. The decrease in energy surcharge revenues in 2023 is primarily due to a decline of approximately 15% in market prices for diesel fuel as compared to the prior year period. The increase in energy surcharge revenues in 2022 was driven by a 50% increase in diesel fuel in 2022, as compared with the prior year period. The mandated fees are primarily related to fees and taxes assessed by various state, county and municipal government agencies at our landfills and transfer stations. These amounts have not significantly impacted the change in revenue for the periods presented.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$150 million, or 0.8%, and $233 million, or 1.3%, in 2023 and 2022, respectively, as compared with the prior year periods. Our Collection and Disposal businesses volume grew 0.7% and 1.8% in 2023 and 2022, respectively.</w:t>
      </w:r>
    </w:p>
    <w:p>
      <w:pPr>
        <w:spacing w:after="0" w:line="176" w:lineRule="exact"/>
        <w:rPr>
          <w:sz w:val="20"/>
          <w:szCs w:val="20"/>
          <w:color w:val="auto"/>
        </w:rPr>
      </w:pPr>
    </w:p>
    <w:p>
      <w:pPr>
        <w:jc w:val="both"/>
        <w:ind w:left="60" w:right="59" w:firstLine="259"/>
        <w:spacing w:after="0" w:line="261" w:lineRule="auto"/>
        <w:rPr>
          <w:sz w:val="20"/>
          <w:szCs w:val="20"/>
          <w:color w:val="auto"/>
        </w:rPr>
      </w:pPr>
      <w:r>
        <w:rPr>
          <w:rFonts w:ascii="Times New Roman" w:cs="Times New Roman" w:eastAsia="Times New Roman" w:hAnsi="Times New Roman"/>
          <w:sz w:val="18"/>
          <w:szCs w:val="18"/>
          <w:color w:val="auto"/>
        </w:rPr>
        <w:t>Our 2023 volume growth has moderated when compared to 2022. Special waste volumes at our landfills continue to be a significant driver, primarily due to an increase in event-driven projects. In addition, we saw an increase in our WMSBS volumes. These increases were partially offset by a decrease in temporary industrial collection volumes and the intentional shedding of low-margin residential collection business.</w:t>
      </w:r>
    </w:p>
    <w:p>
      <w:pPr>
        <w:sectPr>
          <w:pgSz w:w="11900" w:h="16838" w:orient="portrait"/>
          <w:cols w:equalWidth="0" w:num="1">
            <w:col w:w="9019"/>
          </w:cols>
          <w:pgMar w:left="1440" w:top="607"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ind w:left="60" w:right="59" w:firstLine="259"/>
        <w:spacing w:after="0" w:line="266" w:lineRule="auto"/>
        <w:rPr>
          <w:sz w:val="20"/>
          <w:szCs w:val="20"/>
          <w:color w:val="auto"/>
        </w:rPr>
      </w:pPr>
      <w:r>
        <w:rPr>
          <w:rFonts w:ascii="Times New Roman" w:cs="Times New Roman" w:eastAsia="Times New Roman" w:hAnsi="Times New Roman"/>
          <w:sz w:val="18"/>
          <w:szCs w:val="18"/>
          <w:color w:val="auto"/>
        </w:rPr>
        <w:t>Acquisitions and divestitures, primarily in our Collection and Disposal businesses, resulted in a net increase in revenues of $181 million, or 0.9%, and $47 million, or 0.3%, in 2023 and 2022, respectively, as compared with the prior year periods.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Processing and Sales segment, including certain rebates paid to suppliers; (vi) fuel costs, net of tax credits for alternative fuel, which represent the costs of fuel to operate our truck fleet and landfill operating equipment; (vii) disposal and franchise fees and taxes, which include landfill taxes, municipal franchise fees, host community fees, contingent landfill lease payments and royalties;</w:t>
      </w:r>
    </w:p>
    <w:p>
      <w:pPr>
        <w:spacing w:after="0" w:line="5" w:lineRule="exact"/>
        <w:rPr>
          <w:sz w:val="20"/>
          <w:szCs w:val="20"/>
          <w:color w:val="auto"/>
        </w:rPr>
      </w:pPr>
    </w:p>
    <w:p>
      <w:pPr>
        <w:jc w:val="both"/>
        <w:ind w:left="60" w:right="59" w:hanging="10"/>
        <w:spacing w:after="0" w:line="252" w:lineRule="auto"/>
        <w:tabs>
          <w:tab w:leader="none" w:pos="4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landfill operating costs, which include interest accretion on landfill liabilities, interest accretion on and discount rate adjustments to environmental remediation liabilities, leachate and methane collection and treatment, landfill remediation costs and other landfill site costs; (ix) risk management costs, which include general liability, automobile liability and workers’ compensation claims programs costs and (x) other operating costs, which include gains and losses on sale of assets, telecommunications, equipment and facility lease expenses, property taxes, utilities and supplies. Variations in volumes year-over-year, as discussed above in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in addition to cost inflation, affect the comparability of the components of our operating expenses.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2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for</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the  year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ended</w:t>
            </w:r>
          </w:p>
        </w:tc>
      </w:tr>
      <w:tr>
        <w:trPr>
          <w:trHeight w:val="234"/>
        </w:trPr>
        <w:tc>
          <w:tcPr>
            <w:tcW w:w="5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(dollars in millions and as a percentage of revenues):</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8"/>
        </w:trPr>
        <w:tc>
          <w:tcPr>
            <w:tcW w:w="35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tcPr>
          <w:p>
            <w:pPr>
              <w:spacing w:after="0"/>
              <w:rPr>
                <w:sz w:val="18"/>
                <w:szCs w:val="18"/>
                <w:color w:val="auto"/>
              </w:rPr>
            </w:pPr>
          </w:p>
        </w:tc>
      </w:tr>
      <w:tr>
        <w:trPr>
          <w:trHeight w:val="209"/>
        </w:trPr>
        <w:tc>
          <w:tcPr>
            <w:tcW w:w="3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w:t>
            </w:r>
            <w:r>
              <w:rPr>
                <w:rFonts w:ascii="Times New Roman" w:cs="Times New Roman" w:eastAsia="Times New Roman" w:hAnsi="Times New Roman"/>
                <w:sz w:val="18"/>
                <w:szCs w:val="18"/>
                <w:u w:val="single" w:color="auto"/>
                <w:color w:val="auto"/>
                <w:w w:val="95"/>
              </w:rPr>
              <w:t>4</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w:t>
            </w:r>
            <w:r>
              <w:rPr>
                <w:rFonts w:ascii="Times New Roman" w:cs="Times New Roman" w:eastAsia="Times New Roman" w:hAnsi="Times New Roman"/>
                <w:sz w:val="18"/>
                <w:szCs w:val="18"/>
                <w:u w:val="single" w:color="auto"/>
                <w:color w:val="auto"/>
                <w:w w:val="95"/>
              </w:rPr>
              <w:t>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operating expenses increased in 2023, as compared with 2022, primarily due to (i) inflationary cost pressures, particularly for maintenance and repairs and subcontractor costs and (ii) labor cost pressure from frontline employee market wage adjustments. These increases were offset, in part, by commodity-driven business impacts, particularly from lower recycling rebates reflected in costs of goods sold and lower fuel prices. We continue to focus on operating efficiency and efforts to control our costs, which along with revenue growth, enabled us to improve operating costs as a percent of revenues in 2023 as compared with 2022.</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increased in 2022, as compared with 2021, primarily due to (i) inflationary cost pressures, particularly for maintenance and repairs and subcontractor costs; (ii) commodity-driven business impacts from higher fuel and recycling prices and (iii) labor cost pressure from frontline employee wage adjustments. These impacts were partially offset by our continued focus on operating efficiency and efforts to control costs as volumes grow.</w:t>
      </w:r>
    </w:p>
    <w:p>
      <w:pPr>
        <w:sectPr>
          <w:pgSz w:w="11900" w:h="16838" w:orient="portrait"/>
          <w:cols w:equalWidth="0" w:num="1">
            <w:col w:w="9019"/>
          </w:cols>
          <w:pgMar w:left="1440" w:top="607"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between reported periods include:</w:t>
      </w:r>
    </w:p>
    <w:p>
      <w:pPr>
        <w:spacing w:after="0" w:line="223" w:lineRule="exact"/>
        <w:rPr>
          <w:sz w:val="20"/>
          <w:szCs w:val="20"/>
          <w:color w:val="auto"/>
        </w:rPr>
      </w:pPr>
    </w:p>
    <w:p>
      <w:pPr>
        <w:ind w:left="60" w:right="59"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in 2023, as compared with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 employee market wage adjustments; (ii) increased headcount primarily from acquisitions and</w:t>
      </w:r>
    </w:p>
    <w:p>
      <w:pPr>
        <w:jc w:val="both"/>
        <w:ind w:left="60" w:right="59" w:hanging="10"/>
        <w:spacing w:after="0" w:line="253" w:lineRule="auto"/>
        <w:tabs>
          <w:tab w:leader="none" w:pos="3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and welfare costs and in medical care activity. These increases were offset, in part, by lower annual incentive compensation. The increase in labor and related benefits costs in 2022, as compared with 2021, was largely driven by (i) proactive market wage adjustments to hire and retain talent; (ii) annual merit and annual incentive compensation cost increases and (iii) increases in health and welfare costs attributable to our investment in delivering a leading benefits program for our employees and increases in medical care activity.</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in 2023, as compared with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inflationary cost increases, which includes increased disposal fees at third-party sites and higher rates from our third-party haulers, offset, in part, by a decrease in collection volumes. The increase in transfer and disposal costs in 2022, as compared with 2021, was largely driven by inflationary cost increases, which includes increased disposal fees at third-party sites and higher fuel from our third-party haulers, offset, in part, by decreases in residential collection and transfer volume.</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in 2023, as compared with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 continued inflationary cost increases for parts, supplies and third-party services, although the impact of such inflationary cost increases moderated throughout the year and (ii) labor cost increases for our technicians, including additional headcount. The increase in maintenance and repairs costs in 2022, as compared with 2021, was largely driven by</w:t>
      </w:r>
    </w:p>
    <w:p>
      <w:pPr>
        <w:spacing w:after="0" w:line="1" w:lineRule="exact"/>
        <w:rPr>
          <w:sz w:val="20"/>
          <w:szCs w:val="20"/>
          <w:color w:val="auto"/>
        </w:rPr>
      </w:pPr>
    </w:p>
    <w:p>
      <w:pPr>
        <w:jc w:val="both"/>
        <w:ind w:left="60" w:right="59" w:hanging="10"/>
        <w:spacing w:after="0" w:line="253"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for parts, supplies and third-party services; (ii) additional fleet maintenance driven by supply chain constraints, which have delayed deliveries of new trucks; (iii) labor cost increases for our technicians, including higher overtime; (iv) increased building maintenance costs including improvements to facilities and (v) an increase in container repairs driven by delays in delivery of steel containers due to supply chain constraints.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in 2023, as compared with 2022,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 an increase in volumes in our WMSBS and SES businesses, which rely more extensively on subcontracted hauling and services than other parts of our Collection and Disposal businesses and (ii) continued inflationary cost increases, particularly labor and other costs from third-party haulers. The increase in subcontractor costs in 2022, as compared with 2021, was largely driven by (i) inflationary cost increases, particularly for fuel and labor costs from third-party haulers and</w:t>
      </w:r>
    </w:p>
    <w:p>
      <w:pPr>
        <w:spacing w:after="0" w:line="1" w:lineRule="exact"/>
        <w:rPr>
          <w:sz w:val="20"/>
          <w:szCs w:val="20"/>
          <w:color w:val="auto"/>
        </w:rPr>
      </w:pPr>
    </w:p>
    <w:p>
      <w:pPr>
        <w:ind w:left="60" w:right="59" w:hanging="10"/>
        <w:spacing w:after="0" w:line="260" w:lineRule="auto"/>
        <w:tabs>
          <w:tab w:leader="none" w:pos="3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volumes in our WMSBS business, which relies more extensively on subcontracted hauling than other parts of our Collection and Disposal businesses.</w:t>
      </w:r>
    </w:p>
    <w:p>
      <w:pPr>
        <w:spacing w:after="0" w:line="17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 </w:t>
      </w:r>
      <w:r>
        <w:rPr>
          <w:rFonts w:ascii="Times New Roman" w:cs="Times New Roman" w:eastAsia="Times New Roman" w:hAnsi="Times New Roman"/>
          <w:sz w:val="18"/>
          <w:szCs w:val="18"/>
          <w:color w:val="auto"/>
        </w:rPr>
        <w:t>The decrease in cost of goods sold in 2023, as compared with 2022, was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40% decrease in average single-stream recycling commodity prices. The increase in cost of goods sold in 2022, as compared with 2021, was primarily driven by all-time high recycling commodity pricing in the first half of the year offset, in part, by the historically low pricing through the second half of the year that persisted into 2023.</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 </w:t>
      </w:r>
      <w:r>
        <w:rPr>
          <w:rFonts w:ascii="Times New Roman" w:cs="Times New Roman" w:eastAsia="Times New Roman" w:hAnsi="Times New Roman"/>
          <w:sz w:val="18"/>
          <w:szCs w:val="18"/>
          <w:color w:val="auto"/>
        </w:rPr>
        <w:t>The decrease in fuel costs in 2023, as compared with 2022, was primarily due to a decrease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in average market prices for diesel fuel. The approximate 50% increase in fuel costs in 2022, as compared with 2021, was primarily due to increases in market diesel and natural gas fuel prices as compared to the prior year.</w:t>
      </w:r>
    </w:p>
    <w:p>
      <w:pPr>
        <w:spacing w:after="0" w:line="17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 </w:t>
      </w:r>
      <w:r>
        <w:rPr>
          <w:rFonts w:ascii="Times New Roman" w:cs="Times New Roman" w:eastAsia="Times New Roman" w:hAnsi="Times New Roman"/>
          <w:sz w:val="18"/>
          <w:szCs w:val="18"/>
          <w:color w:val="auto"/>
        </w:rPr>
        <w:t>The increase in disposal and franchise fees and taxes in 2023,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2022, was primarily driven by an overall rate increase in fees and taxes paid to municipalities on our disposal volumes. The increase in disposal and franchise fees and taxes in 2022, as compared with 2021, was primarily driven by higher franchise fees, driven by an increase in landfill volumes, paid to certain municipalities where we operate and overall rate increases in our fees and taxes paid on our disposal volumes.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Times New Roman" w:cs="Times New Roman" w:eastAsia="Times New Roman" w:hAnsi="Times New Roman"/>
          <w:sz w:val="18"/>
          <w:szCs w:val="18"/>
          <w:color w:val="auto"/>
        </w:rPr>
        <w:t>The increase in landfill operating costs in 2023, as compared with 2022,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 higher expenses for interest accretion on landfill and environmental remediation liabilities and (ii) an increase in remediation expense due to changes in measurement of certain environmental remediation obligations. Our measurement of these balances includes application of a risk-free discount rate, which is based on the rate for U.S. Treasury bonds. In 2023, the U.S Treasury bond rate remained flat versus a significant increase in 2022, which decreased our remediation</w:t>
      </w:r>
    </w:p>
    <w:p>
      <w:pPr>
        <w:sectPr>
          <w:pgSz w:w="11900" w:h="16838" w:orient="portrait"/>
          <w:cols w:equalWidth="0" w:num="1">
            <w:col w:w="9019"/>
          </w:cols>
          <w:pgMar w:left="1440" w:top="60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expense in 2022. Our landfill operating costs increased in 2022, as compared with 2021, primarily due to increases in methane and leachate management costs.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The decrease in risk management in 2023, as compared with 2022,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of large loss claims. Risk management costs increased slightly in 2022, as compared with 2021, primarily due to inflation in premiums and a stable level of large loss claims.</w:t>
      </w:r>
    </w:p>
    <w:p>
      <w:pPr>
        <w:spacing w:after="0" w:line="17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costs decreased in 2023, as compared with 2022, primarily due to (i) supply chain rebates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(ii) a favorable litigation settlement, which were offset, in part, by (i) inflationary cost pressures, although the impact of such continued inflationary cost increases moderated throughout the year; (ii) higher utility costs at our facilities;</w:t>
      </w:r>
    </w:p>
    <w:p>
      <w:pPr>
        <w:spacing w:after="0" w:line="1" w:lineRule="exact"/>
        <w:rPr>
          <w:sz w:val="20"/>
          <w:szCs w:val="20"/>
          <w:color w:val="auto"/>
        </w:rPr>
      </w:pPr>
    </w:p>
    <w:p>
      <w:pPr>
        <w:jc w:val="both"/>
        <w:ind w:left="60" w:right="59" w:hanging="10"/>
        <w:spacing w:after="0" w:line="253" w:lineRule="auto"/>
        <w:tabs>
          <w:tab w:leader="none" w:pos="4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business travel and (iv) higher equipment rental costs. Other operating cost increases in 2022, as compared with 2021, were primarily due to (i) inflationary cost pressures; (ii) higher equipment rental costs attributable, in part, to supply chain constraints slowing normal course fleet and equipment orders; (iii) higher utility costs at our facilities and (iv) an increase in business travel in 2022. Additionally, a favorable litigation settlement in 2021 impacted the comparison. Net gains on sales of certain assets during each year also impacted the comparability of the reported periods.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reserves generally are included in our “Other” selling, general and administrative expenses.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year ended December 31 (dollars in millions and as a percentage of revenues):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$ 1,205</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$ 1,195</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$ 1,215</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8"/>
                <w:szCs w:val="18"/>
                <w:color w:val="auto"/>
              </w:rPr>
            </w:pPr>
          </w:p>
        </w:tc>
      </w:tr>
      <w:tr>
        <w:trPr>
          <w:trHeight w:val="425"/>
        </w:trPr>
        <w:tc>
          <w:tcPr>
            <w:tcW w:w="33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$ 1,926</w:t>
            </w:r>
          </w:p>
        </w:tc>
        <w:tc>
          <w:tcPr>
            <w:tcW w:w="1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$ 1,938</w:t>
            </w:r>
          </w:p>
        </w:tc>
        <w:tc>
          <w:tcPr>
            <w:tcW w:w="1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9.8 %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$ 1,864</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 2023, as compared with 2022, decreased primarily due to (i) reduced professional fees in connection with investments in our digital platform, as certain digital projects have moved from higher cost development activities to implementation activities, and (ii) lower annual incentive compensation costs. These decreases were partially offset by annual wage increases and increased litigation costs.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 2022, as compared with 2021, increased primarily due to (i) strategic investments in our digital platform, including those that support our ongoing sustainability initiatives; (ii) higher annual incentive compensation costs and merit increases for our employees; (iii) increased business travel and entertainment expense and (iv) an increase in provision for bad debts, partially offset by (i) lower long-term incentive compensation costs; (ii) market adjustments for deferred compensation plans related to investment performance and (iii) lower litigation costs.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effective management of our costs resulted in a significant reduction in our selling, general and administrative expenses as a percentage of revenues when compared with each of the prior year periods. Partially offsetting these reductions are annual merit increases and increased litigation costs.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between reported periods include:</w:t>
      </w:r>
    </w:p>
    <w:p>
      <w:pPr>
        <w:spacing w:after="0" w:line="16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in 2023, as compared with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 annual wage increases for our employees; (ii) market adjustments for deferred compensation plans related to investment performance and (iii) higher long-term incentive compensation costs, partially offset by lower annual incentive compensation costs and lower contract labor expenses. The decrease in labor and related benefits costs in 2022, as compared with 2021, was primarily due to (i) lower long-term incentive compensation costs; (ii) reductions in contract labor and (iii) market adjustments for deferred compensation plans related to investment performance, partially offset by higher annual incentive compensation and annual merit increases for our employees.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decrease in professional fees in 2023, as compared with 2022,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reduced expenses in connection with investments in our digital platform, as certain digital projects have moved from higher cost development activities to implementation activities. The increase in professional fees in 2022, as compared with 2021, was primarily driven by strategic investments in our digital platform, including those that support our ongoing sustainability initiatives, partially offset by lower acquisition and integration costs.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provision for bad debts in 2023, as compared with 2022,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an increase in revenue and customer-specific provisions required for bankruptcies of two of our WMSBS customers. The increase in provision for bad debts in 2022, as compared with 2021, was primarily related to (i) increased revenue; (ii) increased collection risk with certain customers and (iii) favorable adjustments to our reserves taken in 2021 as a result of improvement in customer account collections.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increase in other expenses in 2023, as compared with 2022, was primarily related to (i)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costs; (ii) increased bank charges and (iii) higher advertising spend, which were partially offset by lower travel expenses and lower telecommunication costs. The increase in other expenses in 2022, as compared with 2021, was primarily driven by costs associated with technology infrastructure to support our strategic investments in our digital platform and an increase in business travel and entertainment expense, partially offset by lower litigation costs.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for the year ended December 31 (dollars in millions and as a percentage of revenues):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$ 1,197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$ 1,125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$ 2,071</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$ 2,038</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$ 1,999</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w:t>
            </w:r>
            <w:r>
              <w:rPr>
                <w:rFonts w:ascii="Times New Roman" w:cs="Times New Roman" w:eastAsia="Times New Roman" w:hAnsi="Times New Roman"/>
                <w:sz w:val="18"/>
                <w:szCs w:val="18"/>
                <w:u w:val="single" w:color="auto"/>
                <w:color w:val="auto"/>
                <w:w w:val="95"/>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in 2023, as compared with 2022, was mainly influenced by strategic investments in our digital platform and investments in capital assets to service our customers, such as machinery and containers. The decrease in depletion of landfill airspace in 2023, as compared with 2022, was primarily driven by reductions in volume partially offset by the reopening of a previously closed site in our East Tier.</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in 2022, as compared with 2021, was primarily driven by investments in capital assets, including containers to service our customers and strategic investments in our digital platform. The increase in depletion of landfill airspace in 2022, as compared with 2021, was primarily driven by changes in depletion rates from revisions in landfill cost estimates and increased volumes at our landfills, partially offset by a prior year charge due to management’s decision to close a landfill in our West Tier earlier than expected, resulting in the acceleration of the timing of capping, closure, and post-closure activities. The decrease in amortization of intangible assets in 2022, as compared with 2021, was primarily driven by the amortization of acquired intangible assets from the acquisition of Advanced Disposal Services, Inc.</w:t>
      </w:r>
    </w:p>
    <w:p>
      <w:pPr>
        <w:sectPr>
          <w:pgSz w:w="11900" w:h="16838" w:orient="portrait"/>
          <w:cols w:equalWidth="0" w:num="1">
            <w:col w:w="9019"/>
          </w:cols>
          <w:pgMar w:left="1440" w:top="60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(gain) loss from divestitures, asset impairments and unusual items, net for the year ended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60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wholly-owned subsidiary’s estimated potential share of the liability for a proposed environmental remediation plan at a closed site. Refer to Notes 5 and 10 to the Consolidated Financial Statements for further information.</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we recognized $62 million of net charges consisting of (i) $50 million of asset impairment charges primarily related to management’s decision to close two landfills within our East Tier and (ii) a $17 million charge pertaining to reserves for loss contingencies within Corporate and Other to adjust an indirect wholly-owned subsidiary’s estimated potential share of the liability for a proposed environmental remediation plan at a closed site, as discussed in Note 10 to the Consolidated Financial Statements. These losses were partially offset by a $5 million gain from the divestiture of a collection and disposal operation in our West Tier.</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recognized net gains of $16 million primarily consisting of (i) a $35 million pre-tax gain from the recognition of cumulative translation adjustments on the divestiture of certain non-strategic Canadian operations in our East Tier and (ii) an $8 million gain from divestitures of certain ancillary operations within our Collection and Disposal businesses. These gains were partially offset by (i) a $20 million charge pertaining to reserves for loss contingencies within Corporate and Other and (ii) $8 million of asset impairment charges primarily related to our WM Renewable Energy segment.</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See Note 2 to the Consolidated Financial Statements for additional information related to the accounting policy and analysis involved in identifying and calculating impairments. See Note 19 to the Consolidated Financial Statements for additional information related to the impact of impairments on the results of operations of our reportable segments.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the year ended December 31 (dollars in millions):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4"/>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left="175"/>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560" w:type="dxa"/>
            <w:vAlign w:val="bottom"/>
            <w:gridSpan w:val="4"/>
          </w:tcPr>
          <w:p>
            <w:pPr>
              <w:jc w:val="center"/>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5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$ 223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(1,255)</w:t>
            </w: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(1,236)</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$ 400</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revenues</w:t>
            </w: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27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1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Percentage change does not provide a meaningful comparison.</w:t>
      </w:r>
    </w:p>
    <w:p>
      <w:pPr>
        <w:spacing w:after="0" w:line="117" w:lineRule="exact"/>
        <w:rPr>
          <w:sz w:val="20"/>
          <w:szCs w:val="20"/>
          <w:color w:val="auto"/>
        </w:rPr>
      </w:pPr>
    </w:p>
    <w:p>
      <w:pPr>
        <w:ind w:left="380" w:right="7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operating results of our reportable segments are significantly affected by certain transactions or events that management believes are not indicative or representative of our results.</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Collection and Disposal — </w:t>
      </w:r>
      <w:r>
        <w:rPr>
          <w:rFonts w:ascii="Times New Roman" w:cs="Times New Roman" w:eastAsia="Times New Roman" w:hAnsi="Times New Roman"/>
          <w:sz w:val="18"/>
          <w:szCs w:val="18"/>
          <w:color w:val="auto"/>
        </w:rPr>
        <w:t>The most significant items affecting the results of operations of our Collection and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Disposal businesses during the three years ended December 31, 2023 are summarized below:</w:t>
      </w:r>
    </w:p>
    <w:p>
      <w:pPr>
        <w:spacing w:after="0" w:line="99" w:lineRule="exact"/>
        <w:rPr>
          <w:sz w:val="20"/>
          <w:szCs w:val="20"/>
          <w:color w:val="auto"/>
        </w:rPr>
      </w:pPr>
    </w:p>
    <w:p>
      <w:pPr>
        <w:jc w:val="both"/>
        <w:ind w:left="720" w:right="7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 our Collection and Disposal businesses increased in 2023, as compared with 2022, primarily due to revenue growth in our collection and disposal operations driven by both yield and volume. This increase was partially offset by (i) inflationary cost pressures, particularly for maintenance and repairs and subcontractor costs and (ii) labor cost pressure from frontline employee market wage adjustments.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from operations in our Collection and Disposal businesses increased in 2022, as compared with 2021, primarily due to revenue growth in our collection and disposal operations driven by both yield and volume. This increase was partially offset by (i) inflationary cost pressures; (ii) labor cost increases from frontline employee wage adjustments and (iii) divestitures, asset impairments and unusual items discussed below in </w:t>
      </w:r>
      <w:r>
        <w:rPr>
          <w:rFonts w:ascii="Times New Roman" w:cs="Times New Roman" w:eastAsia="Times New Roman" w:hAnsi="Times New Roman"/>
          <w:sz w:val="18"/>
          <w:szCs w:val="18"/>
          <w:i w:val="1"/>
          <w:iCs w:val="1"/>
          <w:color w:val="auto"/>
        </w:rPr>
        <w:t>(Gain) Loss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Divestitures, Asset Impairments and Unusual Items, Net</w:t>
      </w:r>
      <w:r>
        <w:rPr>
          <w:rFonts w:ascii="Times New Roman" w:cs="Times New Roman" w:eastAsia="Times New Roman" w:hAnsi="Times New Roman"/>
          <w:sz w:val="18"/>
          <w:szCs w:val="18"/>
          <w:color w:val="auto"/>
        </w:rPr>
        <w:t>, that impacted our East Tier results.</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Income from operations in our Recycling Processing and Sales segment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2023, as compared with 2022, primarily due to (i) a $168 million goodwill impairment charge, with $22 million attributable to noncontrolling interests, which was partially offset by the recognition of $46 million of income related to the reversal of contingent consideration, as discussed above in </w:t>
      </w:r>
      <w:r>
        <w:rPr>
          <w:rFonts w:ascii="Times New Roman" w:cs="Times New Roman" w:eastAsia="Times New Roman" w:hAnsi="Times New Roman"/>
          <w:sz w:val="18"/>
          <w:szCs w:val="18"/>
          <w:i w:val="1"/>
          <w:iCs w:val="1"/>
          <w:color w:val="auto"/>
        </w:rPr>
        <w:t>(Gain) Loss from Divestitures, Asset Impairments and Unusual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Items, Net</w:t>
      </w:r>
      <w:r>
        <w:rPr>
          <w:rFonts w:ascii="Times New Roman" w:cs="Times New Roman" w:eastAsia="Times New Roman" w:hAnsi="Times New Roman"/>
          <w:sz w:val="18"/>
          <w:szCs w:val="18"/>
          <w:color w:val="auto"/>
        </w:rPr>
        <w:t>; (ii) a decline in recycling commodity prices; (iii) lower revenue resulting from the temporary shutdown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for technology upgrades combined with increased costs associated with the transportation and third-party tip fees for processing recyclables and (iv) startup costs linked to the establishment of a new processing facility. Income from operations in our Recycling Processing and Sales segment decreased in 2022, as compared with 2021, primarily due to the decline in recycling commodity prices.</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WM Renewable Energy </w:t>
      </w:r>
      <w:r>
        <w:rPr>
          <w:rFonts w:ascii="Times New Roman" w:cs="Times New Roman" w:eastAsia="Times New Roman" w:hAnsi="Times New Roman"/>
          <w:sz w:val="18"/>
          <w:szCs w:val="18"/>
          <w:color w:val="auto"/>
        </w:rPr>
        <w:t>— Income from operations in our WM Renewable Energy segment decreased in 2023,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2022, primarily due to (i) lower energy prices and the value of RINs and (ii) increased operating and selling, general and administrative costs associated with the construction of new projects to increase the beneficial use of landfill gas. These decreases were partially offset by an increase in volume of RFS credits, electricity and natural gas. Income from operations in our WM Renewable Energy segment increased in 2022, as compared with 2021, primarily due to higher market values for RINs credits.</w:t>
      </w:r>
    </w:p>
    <w:p>
      <w:pPr>
        <w:spacing w:after="0" w:line="182"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Income from operations in Corporate and Other decreased in 2023, as compared with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due to non-cash impairment charges for certain investments as discussed above in </w:t>
      </w:r>
      <w:r>
        <w:rPr>
          <w:rFonts w:ascii="Times New Roman" w:cs="Times New Roman" w:eastAsia="Times New Roman" w:hAnsi="Times New Roman"/>
          <w:sz w:val="18"/>
          <w:szCs w:val="18"/>
          <w:i w:val="1"/>
          <w:iCs w:val="1"/>
          <w:color w:val="auto"/>
        </w:rPr>
        <w:t>(Gain) Loss from Divestitures,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Impairments and Unusual Items, Net</w:t>
      </w:r>
      <w:r>
        <w:rPr>
          <w:rFonts w:ascii="Times New Roman" w:cs="Times New Roman" w:eastAsia="Times New Roman" w:hAnsi="Times New Roman"/>
          <w:sz w:val="18"/>
          <w:szCs w:val="18"/>
          <w:color w:val="auto"/>
        </w:rPr>
        <w:t>. Income from operations in Corporate and Other decreased in 2022, as</w:t>
      </w:r>
    </w:p>
    <w:p>
      <w:pPr>
        <w:sectPr>
          <w:pgSz w:w="11900" w:h="16838" w:orient="portrait"/>
          <w:cols w:equalWidth="0" w:num="1">
            <w:col w:w="9019"/>
          </w:cols>
          <w:pgMar w:left="1440" w:top="607"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compared with 2021, primarily due to strategic investments in our digital platform and sustainability initiatives, partially offset by lower acquisition and integration related costs.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interest expense, net was $500 million, $378 million and $365 million in 2023, 2022 and 2021, respectively. The increase in interest expense, net for 2023 is primarily related to an increase in our weighted average borrowing rate of approximately 80 basis points due to increased rates on floating-rate debt and higher fixed rates on refinancing as well as an increase in average debt balances to fund growth. To mitigate the impact of increasing interest rates and to provide certainty in cost, we elected to replace certain floating-rate debt, specifically our $1.0 billion two-year, U.S. term credit agreement (“Term Loan”) and commercial paper borrowings, with longer-term, fixed-rate debt through our senior notes issuances as discussed within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below. The increase in interest expense, net for 2022 was primarily related to borrowings incurred under our Term Loan and increases in interest rates on our floating-rate debt, including commercial paper and variable-rate tax-exempt bonds. Partially offsetting these increases in 2023 and 2022 were benefits from higher capitalized interest and increases in interest income as a result of higher cash and cash equivalent balances as well as higher investment rates. See Note 6 to the Consolidated Financial Statements for more information related to our debt balances.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 Net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May 2021, WMI issued $950 million of senior notes and used the net proceeds of $942 million as well as available cash on hand to retire $1.3 billion of certain high-coupon senior notes. The loss on early extinguishment of debt for 2021 includes $220 million of charges related to this tender offer, including cash paid of $211 million related to premiums and other third-party costs, and $9 million primarily related to unamortized discounts and debt issuance costs.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recognized equity in net losses of unconsolidated entities of $60 million, $67 million and $36 million in 2023, 2022 and 2021, respectively. The losses for each period were primarily related to our noncontrolling interests in entities established to invest in and manage low-income housing properties. We generate tax benefits, including tax credits, from the losses incurred from these investments. The losses are more than offset by the tax benefits generated by these investments as further discussed in Notes 8 and 18 to the Consolidated Financial Statements.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$745 million, $678 million and $532 million in 2023, 2022 and 2021, respectively, resulting in effective income tax rates of 24.7%, 23.2% and 22.6% for the years ended December 31, 2023, 2022 and 2021, respectively. The comparability of our income tax expense for the reported periods has been primarily affected by the following:</w:t>
      </w:r>
    </w:p>
    <w:p>
      <w:pPr>
        <w:spacing w:after="0" w:line="178" w:lineRule="exact"/>
        <w:rPr>
          <w:sz w:val="20"/>
          <w:szCs w:val="20"/>
          <w:color w:val="auto"/>
        </w:rPr>
      </w:pPr>
    </w:p>
    <w:p>
      <w:pPr>
        <w:jc w:val="both"/>
        <w:ind w:left="720" w:right="79" w:hanging="319"/>
        <w:spacing w:after="0" w:line="258"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Qualifying for Federal Tax Credits </w:t>
      </w:r>
      <w:r>
        <w:rPr>
          <w:rFonts w:ascii="Times New Roman" w:cs="Times New Roman" w:eastAsia="Times New Roman" w:hAnsi="Times New Roman"/>
          <w:sz w:val="18"/>
          <w:szCs w:val="18"/>
          <w:color w:val="auto"/>
        </w:rPr>
        <w:t>— Our low-income housing properties investments reduced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by $108 million, $99 million and $74 million, primarily due to tax credits realized from these investments as well as the tax benefits from pre-tax losses for the years ended December 31, 2023, 2022 and 2021, respectively. See Note 18 to the Consolidated Financial Statements for additional information related to these unconsolidated variable interest entities;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Implications of Impairments </w:t>
      </w:r>
      <w:r>
        <w:rPr>
          <w:rFonts w:ascii="Times New Roman" w:cs="Times New Roman" w:eastAsia="Times New Roman" w:hAnsi="Times New Roman"/>
          <w:sz w:val="18"/>
          <w:szCs w:val="18"/>
          <w:color w:val="auto"/>
        </w:rPr>
        <w:t>— The non-cash impairment charges recognized during 2023 are not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deductible for tax purposes. The impact of these non-deductible charges would have resulted in a decrease to income tax expense of $50 million. The non-cash impairment charges recognized during 2022 and 2021 were deductible for tax purposes. See Note 11 to the Consolidated Financial Statements for more information related to our impairment charges;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Permanent Differences </w:t>
      </w:r>
      <w:r>
        <w:rPr>
          <w:rFonts w:ascii="Times New Roman" w:cs="Times New Roman" w:eastAsia="Times New Roman" w:hAnsi="Times New Roman"/>
          <w:sz w:val="18"/>
          <w:szCs w:val="18"/>
          <w:color w:val="auto"/>
        </w:rPr>
        <w:t>— During 2023, 2022 and 2021 we recognized additional income tax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 million, $14 million and $2 million, respectively, related to permanent differences between taxable income and accounting income. This increase is largely due to an increase in taxable interest income associated with the</w:t>
      </w:r>
    </w:p>
    <w:p>
      <w:pPr>
        <w:sectPr>
          <w:pgSz w:w="11900" w:h="16838" w:orient="portrait"/>
          <w:cols w:equalWidth="0" w:num="1">
            <w:col w:w="9019"/>
          </w:cols>
          <w:pgMar w:left="1440" w:top="607"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Company’s election to deduct landfill closure and post-closure costs for income tax purposes when incurred and accrued. The increase in taxable interest income is due to the increase in the applicable federal rate published by the IRS;</w:t>
      </w:r>
    </w:p>
    <w:p>
      <w:pPr>
        <w:spacing w:after="0" w:line="66" w:lineRule="exact"/>
        <w:rPr>
          <w:sz w:val="20"/>
          <w:szCs w:val="20"/>
          <w:color w:val="auto"/>
        </w:rPr>
      </w:pPr>
    </w:p>
    <w:p>
      <w:pPr>
        <w:jc w:val="both"/>
        <w:ind w:left="720" w:right="79" w:hanging="319"/>
        <w:spacing w:after="0" w:line="267"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 Net Operating Losses and Credits </w:t>
      </w:r>
      <w:r>
        <w:rPr>
          <w:rFonts w:ascii="Times New Roman" w:cs="Times New Roman" w:eastAsia="Times New Roman" w:hAnsi="Times New Roman"/>
          <w:sz w:val="18"/>
          <w:szCs w:val="18"/>
          <w:color w:val="auto"/>
        </w:rPr>
        <w:t>— During 2023, 2022 and 2021, we recognized state net operating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credits resulting in a reduction in our income tax expense of $20 million, $8 million and $15 million, respectively;</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During 2023, 2022 and 2021, we recognized a reduction in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$14 million, $17 million and $18 million, respectively, for excess tax benefits related to the vesting or exercise of equity-based compensation awards;</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Audit Settlements — </w:t>
      </w:r>
      <w:r>
        <w:rPr>
          <w:rFonts w:ascii="Times New Roman" w:cs="Times New Roman" w:eastAsia="Times New Roman" w:hAnsi="Times New Roman"/>
          <w:sz w:val="18"/>
          <w:szCs w:val="18"/>
          <w:color w:val="auto"/>
        </w:rPr>
        <w:t>We file income tax returns in the U.S. and Canada, as well as other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We are currently under audit by various taxing authorities and our audits are in various stages of completion. During the reported periods, we settled various tax audits which resulted in a reduction in our income tax expense of $5 million, $6 million and $13 million for the years ended December 31, 2023, 2022 and 2021, respectively; and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was signed into law by President Biden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16, 2022 and contains several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$55 million of annual pre-tax benefit (recorded as a reduction in our operating expense) for tax credits in 2022, 2023 and 2024.</w:t>
      </w:r>
    </w:p>
    <w:p>
      <w:pPr>
        <w:spacing w:after="0" w:line="79" w:lineRule="exact"/>
        <w:rPr>
          <w:sz w:val="20"/>
          <w:szCs w:val="20"/>
          <w:color w:val="auto"/>
        </w:rPr>
      </w:pPr>
    </w:p>
    <w:p>
      <w:pPr>
        <w:jc w:val="both"/>
        <w:ind w:left="700" w:right="59"/>
        <w:spacing w:after="0" w:line="252" w:lineRule="auto"/>
        <w:rPr>
          <w:sz w:val="20"/>
          <w:szCs w:val="20"/>
          <w:color w:val="auto"/>
        </w:rPr>
      </w:pPr>
      <w:r>
        <w:rPr>
          <w:rFonts w:ascii="Times New Roman" w:cs="Times New Roman" w:eastAsia="Times New Roman" w:hAnsi="Times New Roman"/>
          <w:sz w:val="18"/>
          <w:szCs w:val="18"/>
          <w:color w:val="auto"/>
        </w:rPr>
        <w:t>With respect to the investment tax credit, as expanded by the IRA, we expect the cumulative benefit to be between $250 million and $350 million, a large portion of which is anticipated to be realized in 2024 through 2026. Recently, however, the IRS issued proposed regulations applicable to the investment tax credits that could call into question our ability to realize some, or all, of this tax benefit, which would negatively impact financial expectations in connection with our significant planned and ongoing investments in sustainability growth projects in our WM Renewable Energy segment. The proposed regulations provide a public comment period, culminating in public hearings before the Treasury Department, to allow taxpayers to provide input prior to the issuance of final regulations. In coordination with other members of the RNG industry, we are actively using this public comment period to work with external advisors, the U.S. Congress, the current federal administration, and other biogas sector stakeholders to encourage the Treasury Department to further refine its analysis prior to publication of final regulations that more accurately reflect the express language and legislative intent of the statute with respect to the investment tax credit. However, there is no guarantee that such efforts will be successful. We expect that the production tax credit incentives for investments in renewable energy and carbon capture, as expanded by the IRA, will likely result in an incremental benefit to the Company, although at this time, the anticipated amount of such benefit has not been quantified.</w:t>
      </w:r>
    </w:p>
    <w:p>
      <w:pPr>
        <w:spacing w:after="0" w:line="88" w:lineRule="exact"/>
        <w:rPr>
          <w:sz w:val="20"/>
          <w:szCs w:val="20"/>
          <w:color w:val="auto"/>
        </w:rPr>
      </w:pPr>
    </w:p>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Our current expectation is that the IRA’s minimum corporate tax will not have an impact on the Company. Finally, in accordance with the IRA, we incurred a nondeductible excise tax of 1% on the net value of certain stock repurchases in 2023, which is reflected in the cost of purchasing the underlying shares as a component of treasury stock in our Consolidated Balance Sheet.</w:t>
      </w:r>
    </w:p>
    <w:p>
      <w:pPr>
        <w:spacing w:after="0" w:line="72" w:lineRule="exact"/>
        <w:rPr>
          <w:sz w:val="20"/>
          <w:szCs w:val="20"/>
          <w:color w:val="auto"/>
        </w:rPr>
      </w:pPr>
    </w:p>
    <w:p>
      <w:pPr>
        <w:jc w:val="both"/>
        <w:ind w:left="700" w:right="59"/>
        <w:spacing w:after="0" w:line="256" w:lineRule="auto"/>
        <w:rPr>
          <w:sz w:val="20"/>
          <w:szCs w:val="20"/>
          <w:color w:val="auto"/>
        </w:rPr>
      </w:pPr>
      <w:r>
        <w:rPr>
          <w:rFonts w:ascii="Times New Roman" w:cs="Times New Roman" w:eastAsia="Times New Roman" w:hAnsi="Times New Roman"/>
          <w:sz w:val="18"/>
          <w:szCs w:val="18"/>
          <w:color w:val="auto"/>
        </w:rPr>
        <w:t>Additionally, numerous countries have agreed to a statement in support of the Organization for Economic Co-operation and Development (“OECD”) model rules that propose a global minimum tax rate of 15%. The Company operates in countries that have agreed to implement the global minimum tax, and the OECD continues to refine technical guidance for such. At this time, we do not expect the 15% global minimum tax to have a material, if any, impact to our income taxes, and we will continue to monitor and evaluate the potential impact on our business in future periods.</w:t>
      </w:r>
    </w:p>
    <w:p>
      <w:pPr>
        <w:spacing w:after="0" w:line="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more information related to income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Landfill and Environmental Remediation Discussion and Analysis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Times New Roman" w:cs="Times New Roman" w:eastAsia="Times New Roman" w:hAnsi="Times New Roman"/>
          <w:sz w:val="17"/>
          <w:szCs w:val="17"/>
          <w:color w:val="auto"/>
        </w:rPr>
        <w:t>We owned or operated 258 solid waste landfills and five secure hazardous waste landfills as of December 31, 2023 and December 31, 2022. For these landfills, the following table reflects changes in capacity, as measured in tons of waste, for the year ended December 31 and remaining airspace, measured in cubic yards of waste, as of December 31 (in millions):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80" w:type="dxa"/>
            <w:vAlign w:val="bottom"/>
            <w:gridSpan w:val="3"/>
          </w:tcPr>
          <w:p>
            <w:pPr>
              <w:jc w:val="center"/>
              <w:ind w:left="155"/>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5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7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7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year (in tons)</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Acquisitions, divestitures, newly permitted landfills and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closures</w:t>
            </w:r>
          </w:p>
        </w:tc>
        <w:tc>
          <w:tcPr>
            <w:tcW w:w="3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expansions pursued (a)</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Expansion permits granted (b)</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Depletable tons received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engineering estimates and other (c) (d)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year (in tons) (e)</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 end of year (in cubic yards) (e)</w:t>
            </w:r>
          </w:p>
        </w:tc>
        <w:tc>
          <w:tcPr>
            <w:tcW w:w="3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3"/>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5,095</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5,255</w:t>
            </w:r>
          </w:p>
        </w:tc>
        <w:tc>
          <w:tcPr>
            <w:tcW w:w="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5,079</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expansion permits at 13 of our landfills during 2023 and 12 of our landfills during 2022, demonstrating our continued success in working with municipalities and regulatory agencies to expand the disposal airspace of our existing landfills.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engineering estimates can result in changes to the estimated available remaining airspace of a landfill or changes in the utilization of such landfill airspace,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80"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a change in accounting estimate resulted in an increase of 190 million tons across certain landfills.</w:t>
      </w:r>
    </w:p>
    <w:p>
      <w:pPr>
        <w:spacing w:after="0" w:line="11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the Consolidated Financial Statements for discussion of converting remaining cubic yards of airspace to tons of capacity.</w:t>
      </w:r>
    </w:p>
    <w:p>
      <w:pPr>
        <w:spacing w:after="0" w:line="16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depletable tons received at our landfills for the year ended December 31 are shown below (tons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Depletable</w:t>
            </w:r>
          </w:p>
        </w:tc>
        <w:tc>
          <w:tcPr>
            <w:tcW w:w="16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Tons per</w:t>
            </w:r>
          </w:p>
        </w:tc>
        <w:tc>
          <w:tcPr>
            <w:tcW w:w="160" w:type="dxa"/>
            <w:vAlign w:val="bottom"/>
          </w:tcPr>
          <w:p>
            <w:pPr>
              <w:spacing w:after="0"/>
              <w:rPr>
                <w:sz w:val="10"/>
                <w:szCs w:val="10"/>
                <w:color w:val="auto"/>
              </w:rPr>
            </w:pPr>
          </w:p>
        </w:tc>
        <w:tc>
          <w:tcPr>
            <w:tcW w:w="5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Depletable</w:t>
            </w:r>
          </w:p>
        </w:tc>
        <w:tc>
          <w:tcPr>
            <w:tcW w:w="2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Tons 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Sites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Tons</w:t>
            </w:r>
          </w:p>
        </w:tc>
        <w:tc>
          <w:tcPr>
            <w:tcW w:w="160" w:type="dxa"/>
            <w:vAlign w:val="bottom"/>
          </w:tcPr>
          <w:p>
            <w:pPr>
              <w:spacing w:after="0"/>
              <w:rPr>
                <w:sz w:val="15"/>
                <w:szCs w:val="15"/>
                <w:color w:val="auto"/>
              </w:rPr>
            </w:pP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Day</w:t>
            </w:r>
          </w:p>
        </w:tc>
        <w:tc>
          <w:tcPr>
            <w:tcW w:w="16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Sites</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Tons</w:t>
            </w:r>
          </w:p>
        </w:tc>
        <w:tc>
          <w:tcPr>
            <w:tcW w:w="200" w:type="dxa"/>
            <w:vAlign w:val="bottom"/>
          </w:tcPr>
          <w:p>
            <w:pPr>
              <w:spacing w:after="0"/>
              <w:rPr>
                <w:sz w:val="15"/>
                <w:szCs w:val="15"/>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Day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 landfills (a)</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waste landfills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Solid waste landfills closed, divested or lease or other</w:t>
            </w: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6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contractual agreement expired during related year</w:t>
            </w:r>
          </w:p>
        </w:tc>
        <w:tc>
          <w:tcPr>
            <w:tcW w:w="6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122,799</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As of December 31, 2023 and 2022, we had 17 landfills which were not accepting waste.</w:t>
      </w:r>
    </w:p>
    <w:p>
      <w:pPr>
        <w:sectPr>
          <w:pgSz w:w="11900" w:h="16838" w:orient="portrait"/>
          <w:cols w:equalWidth="0" w:num="1">
            <w:col w:w="9019"/>
          </w:cols>
          <w:pgMar w:left="1440" w:top="607"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owned or controlled the management of 237 sites with remedial activities, are in closure or have received a certification of closure or post-closure from the applicable regulatory agency.</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Based on remaining permitted airspace as of December 31, 2023 and projected annual disposal volume, the weighted average remaining landfill life for all of our owned or operated landfills is approximately 38 years. Many of our landfills have the potential for expanded airspace beyond what is currently permitted. We monitor the availability of permitted airspace at each of our landfills and evaluate whether to pursue an expansion at a given landfill based on estimated future disposal volume, disposal prices, construction and operating costs, remaining airspace and likelihood of obtaining an expansion permit. We are seeking expansion permits at 16 of our landfills that meet the expansion criteria outlined in the </w:t>
      </w:r>
      <w:r>
        <w:rPr>
          <w:rFonts w:ascii="Times New Roman" w:cs="Times New Roman" w:eastAsia="Times New Roman" w:hAnsi="Times New Roman"/>
          <w:sz w:val="18"/>
          <w:szCs w:val="18"/>
          <w:i w:val="1"/>
          <w:iCs w:val="1"/>
          <w:color w:val="auto"/>
        </w:rPr>
        <w:t xml:space="preserve">Critical Accounting Estimates and Assumptions — Landfills </w:t>
      </w:r>
      <w:r>
        <w:rPr>
          <w:rFonts w:ascii="Times New Roman" w:cs="Times New Roman" w:eastAsia="Times New Roman" w:hAnsi="Times New Roman"/>
          <w:sz w:val="18"/>
          <w:szCs w:val="18"/>
          <w:color w:val="auto"/>
        </w:rPr>
        <w:t>section below. Although no assurances can be made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expansions will be permitted or permitted as designed, the weighted average remaining landfill life for all owned or operated landfills is approximately 39 years when considering remaining permitted airspace, expansion airspace and projected annual disposal volume.</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number of landfills owned or operated as of December 31, 2023, segregated by their estimated operating lives based on remaining permitted and expansion airspace and projected annual disposal volume, was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55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Landfills</w:t>
            </w:r>
          </w:p>
        </w:tc>
        <w:tc>
          <w:tcPr>
            <w:tcW w:w="22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to 5 years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to 10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 to 20 years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to 40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 years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9"/>
              </w:rPr>
              <w:t>(a)</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263 landfills, 222 are owned, 29 are operated under lease agreements and 12 are operated under other contractual agreements. For the landfills not owned, we are usually responsible for final capping, closure and post-closure obligations.</w:t>
      </w:r>
    </w:p>
    <w:p>
      <w:pPr>
        <w:spacing w:after="0" w:line="174"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Assets — </w:t>
      </w:r>
      <w:r>
        <w:rPr>
          <w:rFonts w:ascii="Times New Roman" w:cs="Times New Roman" w:eastAsia="Times New Roman" w:hAnsi="Times New Roman"/>
          <w:sz w:val="18"/>
          <w:szCs w:val="18"/>
          <w:color w:val="auto"/>
        </w:rPr>
        <w:t>We capitalize various costs that we incur to prepare a landfill to accept waste. These costs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the cost basis of our landfill assets and accumulated landfill airspace depletion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are reflected in the table below (in millions):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Cost Basis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Landfill Airspace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Depletion</w:t>
            </w: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additions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 incurred and capitalized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Asset retirements and other adjustments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estimate that we will spend approximately $795 million in 2024, and approximately $1.7 billion in 2025 and 2026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ectPr>
          <w:pgSz w:w="11900" w:h="16838" w:orient="portrait"/>
          <w:cols w:equalWidth="0" w:num="1">
            <w:col w:w="9019"/>
          </w:cols>
          <w:pgMar w:left="1440" w:top="607"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and Environmental Remediation Liabilities — </w:t>
      </w:r>
      <w:r>
        <w:rPr>
          <w:rFonts w:ascii="Times New Roman" w:cs="Times New Roman" w:eastAsia="Times New Roman" w:hAnsi="Times New Roman"/>
          <w:sz w:val="18"/>
          <w:szCs w:val="18"/>
          <w:color w:val="auto"/>
        </w:rPr>
        <w:t>As we accept waste at our landfills, we incur significant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2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cost for the likely remedy can be reasonably estimated.</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year ended December 31, 2023 are reflected in the table below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Environmental</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 and interest rate assumptions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Times New Roman" w:cs="Times New Roman" w:eastAsia="Times New Roman" w:hAnsi="Times New Roman"/>
          <w:sz w:val="18"/>
          <w:szCs w:val="18"/>
          <w:color w:val="auto"/>
        </w:rPr>
        <w:t>The following table summarizes our landfill operating costs for the year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Leachate and methane collection and treatment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Landfill remediation costs and discount rate adjustments to environmental</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remediation liabilities and recovery assets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landfill site costs</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landfill operating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Depletion of Landfill Airspace </w:t>
      </w:r>
      <w:r>
        <w:rPr>
          <w:rFonts w:ascii="Times New Roman" w:cs="Times New Roman" w:eastAsia="Times New Roman" w:hAnsi="Times New Roman"/>
          <w:sz w:val="18"/>
          <w:szCs w:val="18"/>
          <w:color w:val="auto"/>
        </w:rPr>
        <w:t>— Depletion of landfill airspace, which is included as a component of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depletion and amortization expenses, includes the following:</w:t>
      </w:r>
    </w:p>
    <w:p>
      <w:pPr>
        <w:spacing w:after="0" w:line="52" w:lineRule="exact"/>
        <w:rPr>
          <w:sz w:val="20"/>
          <w:szCs w:val="20"/>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depletion of asset retirement costs arising from landfill final capping, closure and post-closure obligations, including (i) costs that have been incurred and capitalized and (ii) projected asset retirement costs.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Depletion expense is recorded on a units-of-consumption basis, applying cost as a rate per ton. The rate per ton is calculated by dividing each component of the depletable basis of a landfill (net of accumulated depletion) by the number of tons needed to fill the corresponding asset’s remaining permitted and expansion airspace. Landfill capital costs and closure and post-closure asset retirement costs are generally incurred to support the operation of the landfill over its entire operating life and are, therefore, depleted on a per-ton basis using a landfill’s total permitted and expansion airspace. Final capping asset retirement costs are related to a specific final capping event and are, therefore, depleted on a per-ton basis using each discrete final capping event’s estimated permitted and expansion airspace. Accordingly, each landfill has multiple per-ton depletion rates.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landfill airspace depletion expense on a per-ton basis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6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of landfill airspace (in millions)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Tons received, net of redirected waste (in millions)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landfill airspace depletion expense per ton</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bl>
    <w:p>
      <w:pPr>
        <w:spacing w:after="0" w:line="19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Different per-ton depletion rates are applied at each of our 263 landfills, and per-ton depletion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spacing w:after="0" w:line="1" w:lineRule="exact"/>
        <w:rPr>
          <w:sz w:val="20"/>
          <w:szCs w:val="20"/>
          <w:color w:val="auto"/>
        </w:rPr>
      </w:pPr>
    </w:p>
    <w:p>
      <w:pPr>
        <w:jc w:val="both"/>
        <w:ind w:left="60" w:right="59" w:hanging="10"/>
        <w:spacing w:after="0" w:line="255"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cost basis of landfills that we develop versus those that we acquire. Accordingly, our landfill airspace depletion expense measured on a per-ton basis can fluctuate due to changes in the mix of volumes we receive across the Company each year.</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consistently generates annual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Contractual Obligations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December 31, 2023 (other than recorded obligations related to liabilities associated with environmental remediation costs and non-cancelable operating lease obligations, which are discussed further in Notes 3 and 7 to the Consolidated Financial Statements, respectively) and the anticipated effect of these obligations on our liquidity in future years (in millions):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Recorded Obligations:</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Final capping, closure and post-closure liabilities (a)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payments (b)</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w:t>
            </w: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Unrecorded Obligations: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on debt (c)</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r>
      <w:tr>
        <w:trPr>
          <w:trHeight w:val="216"/>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Estimated unconditional purchase obligations (d)</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10"/>
        </w:trPr>
        <w:tc>
          <w:tcPr>
            <w:tcW w:w="40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shd w:val="clear" w:color="auto" w:fill="CCEEFF"/>
              </w:rPr>
              <w:t>Anticipated liquidity impact as of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CEEFF"/>
              </w:rPr>
              <w:t>2,074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2,317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1,542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1,941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1,538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18,292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27,704</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for final capping, closure and post-closure costs recorded in our Consolidated Balance Sheet as of December 31, 2023, without the impact of discounting and inflation. Our recorded liabilities for final capping, closure and post-closure costs will increase as we continue to place additional tons within the permitted airspace at our landfills.</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scheduled principal payments based on their contractual maturities related to our long-term debt and financing leases, excluding interest. Refer to Note 6 to the Consolidated Financial Statements for additional information regarding our debt obligations.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fixed-rate debt was calculated based on contractual rates and interest on our variable-rate debt was calculated based on interest rates as of December 31, 2023. As of December 31, 2023, we had $154 million of accrued interest related to our debt obligations.</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80" w:right="79" w:hanging="330"/>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represent purchase commitments from which we expect to realize an economic benefit in future periods. We have also made certain guarantees that we do not expect to materially affect our current or future financial position, results of operations or liquidity. See Note 10 to the Consolidated Financial Statements for discussion of the nature and terms of our unconditional purchase obligations and guarantees.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as of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 reserves</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restricted funds (a)</w:t>
            </w:r>
          </w:p>
        </w:tc>
        <w:tc>
          <w:tcPr>
            <w:tcW w:w="7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portion</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7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$90 million and $83 million, respectively, of these account balances was included in other current assets in our Consolidated Balance Sheets.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We use long-term borrowings in addition to the cash we generate from operations as part of our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strategy to support and grow our business. We primarily use senior notes and tax-exempt bonds to borrow on a long-term basis, but we also use other instruments and facilities, when appropriate. The components of our borrowings as of December 31, 2023 are described in Note 6 to the Consolidated Financial Statements.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we had approximately $2.8 billion of debt maturing within the next 12 months, including</w:t>
      </w:r>
    </w:p>
    <w:p>
      <w:pPr>
        <w:spacing w:after="0" w:line="27" w:lineRule="exact"/>
        <w:rPr>
          <w:sz w:val="20"/>
          <w:szCs w:val="20"/>
          <w:color w:val="auto"/>
        </w:rPr>
      </w:pPr>
    </w:p>
    <w:p>
      <w:pPr>
        <w:jc w:val="both"/>
        <w:ind w:left="60" w:right="59" w:hanging="10"/>
        <w:spacing w:after="0" w:line="251" w:lineRule="auto"/>
        <w:tabs>
          <w:tab w:leader="none" w:pos="28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billion of tax-exempt bonds with term interest rate periods that expire within the next 12 months, which is prior to their scheduled maturities; (ii) $859 million of short-term borrowings under our commercial paper program (net of related discount on issuance); (iii) $175 million of other debt with scheduled maturities within the next 12 months, including $60 million of tax exempt bonds, and (iv) $156 million of 3.5% senior notes that mature in May 2024. As of December 31, 2023, we have classified $2.4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$334 million of debt maturing in the next 12 months is classified as current obligations.</w:t>
      </w:r>
    </w:p>
    <w:p>
      <w:pPr>
        <w:spacing w:after="0" w:line="194" w:lineRule="exact"/>
        <w:rPr>
          <w:sz w:val="20"/>
          <w:szCs w:val="20"/>
          <w:color w:val="auto"/>
        </w:rPr>
      </w:pPr>
    </w:p>
    <w:p>
      <w:pPr>
        <w:jc w:val="both"/>
        <w:ind w:left="60" w:right="59" w:firstLine="259"/>
        <w:spacing w:after="0" w:line="246" w:lineRule="auto"/>
        <w:rPr>
          <w:sz w:val="20"/>
          <w:szCs w:val="20"/>
          <w:color w:val="auto"/>
        </w:rPr>
      </w:pPr>
      <w:r>
        <w:rPr>
          <w:rFonts w:ascii="Times New Roman" w:cs="Times New Roman" w:eastAsia="Times New Roman" w:hAnsi="Times New Roman"/>
          <w:sz w:val="18"/>
          <w:szCs w:val="18"/>
          <w:color w:val="auto"/>
        </w:rPr>
        <w:t>In February 2023, WMI issued $750 million and $500 million of 4.625% senior notes due February 2030 and February 2033, respectively, the net proceeds of which were $1.24 billion. We used the net proceeds to reduce outstanding borrowings under our commercial paper program, repay $500 million of WMI’s 2.4% senior notes upon maturity in May 2023, and for general corporate purposes, including our planned and ongoing investments in our Recycling Processing and Sales and WM Renewable Energy segments.</w:t>
      </w:r>
    </w:p>
    <w:p>
      <w:pPr>
        <w:spacing w:after="0" w:line="168" w:lineRule="exact"/>
        <w:rPr>
          <w:sz w:val="20"/>
          <w:szCs w:val="20"/>
          <w:color w:val="auto"/>
        </w:rPr>
      </w:pPr>
    </w:p>
    <w:p>
      <w:pPr>
        <w:jc w:val="both"/>
        <w:ind w:left="60" w:right="59" w:firstLine="259"/>
        <w:spacing w:after="0" w:line="245" w:lineRule="auto"/>
        <w:rPr>
          <w:sz w:val="20"/>
          <w:szCs w:val="20"/>
          <w:color w:val="auto"/>
        </w:rPr>
      </w:pPr>
      <w:r>
        <w:rPr>
          <w:rFonts w:ascii="Times New Roman" w:cs="Times New Roman" w:eastAsia="Times New Roman" w:hAnsi="Times New Roman"/>
          <w:sz w:val="18"/>
          <w:szCs w:val="18"/>
          <w:color w:val="auto"/>
        </w:rPr>
        <w:t>In July 2023, WMI issued $750 million and $1.25 billion of 4.875% senior notes due February 2029 and February 2034, respectively, the net proceeds of which were $1.97 billion. We used the net proceeds to reduce outstanding borrowings under our commercial paper program, repay $1.0 billion of outstanding borrowings under our Term Loan and for general corporate purposes.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259"/>
        <w:spacing w:after="0" w:line="282" w:lineRule="auto"/>
        <w:rPr>
          <w:sz w:val="20"/>
          <w:szCs w:val="20"/>
          <w:color w:val="auto"/>
        </w:rPr>
      </w:pPr>
      <w:r>
        <w:rPr>
          <w:rFonts w:ascii="Times New Roman" w:cs="Times New Roman" w:eastAsia="Times New Roman" w:hAnsi="Times New Roman"/>
          <w:sz w:val="18"/>
          <w:szCs w:val="18"/>
          <w:color w:val="auto"/>
        </w:rPr>
        <w:t>We have credit lines in place to support our liquidity and financial assurance needs. The following table summarizes our outstanding letters of credit, categorized by type of facility as of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letter of credit lines (b)</w:t>
            </w:r>
          </w:p>
        </w:tc>
        <w:tc>
          <w:tcPr>
            <w:tcW w:w="4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we had an unused and available credit capacity of $2.5 billion and $1.6 billion, respectively.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these other letter of credit lines are uncommitted with terms extending through December 2027.</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243"/>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w:t>
            </w:r>
          </w:p>
        </w:tc>
      </w:tr>
      <w:tr>
        <w:trPr>
          <w:trHeight w:val="21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r>
      <w:tr>
        <w:trPr>
          <w:trHeight w:val="353"/>
        </w:trPr>
        <w:tc>
          <w:tcPr>
            <w:tcW w:w="7560" w:type="dxa"/>
            <w:vAlign w:val="bottom"/>
          </w:tcPr>
          <w:p>
            <w:pPr>
              <w:spacing w:after="0"/>
              <w:rPr>
                <w:sz w:val="24"/>
                <w:szCs w:val="24"/>
                <w:color w:val="auto"/>
              </w:rPr>
            </w:pPr>
          </w:p>
        </w:tc>
        <w:tc>
          <w:tcPr>
            <w:tcW w:w="13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year ended December 31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95"/>
              </w:rPr>
              <w:t>(3,091)</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(3,063)</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w w:val="95"/>
              </w:rPr>
              <w:t>(1,524)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in 2023, as compared with 2022,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$183 million primarily driven by higher earnings attributable to our Collection and Disposal businesses and lower income tax payments as a result of a deposit of approximately $103 million that was made to the IRS in 2022 related to a disputed tax matter discussed within Note 8 to the Consolidated Financial Statements. These increases were partially offset</w:t>
      </w:r>
    </w:p>
    <w:p>
      <w:pPr>
        <w:sectPr>
          <w:pgSz w:w="11900" w:h="16838" w:orient="portrait"/>
          <w:cols w:equalWidth="0" w:num="1">
            <w:col w:w="9019"/>
          </w:cols>
          <w:pgMar w:left="1440" w:top="607"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by (i) unfavorable changes in working capital, net of effects of acquisitions and divestitures; (ii) higher interest payments and (iii) higher incentive compensation payments.</w:t>
      </w:r>
    </w:p>
    <w:p>
      <w:pPr>
        <w:spacing w:after="0" w:line="5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operating cash flows for 2022, as compared with 2021, increased by $198 million. The increase was largely driven by increased earnings in our Collection and Disposal businesses and WM Renewable Energy segment. We also experienced lower interest payments due to timing and refinancing activities in 2021 that reduced our overall interest rate. Partially offsetting our increase in cash from operating activities were higher income tax payments as a result of higher earnings in 2022 and a deposit of approximately $103 million that was made to the IRS related to a disputed tax matter. The Company expects to seek a refund of the entire amount deposited with the IRS and litigate any denial of the claim for refund. See Note 8 to the Consolidated Financial Statements for further details.</w:t>
      </w:r>
    </w:p>
    <w:p>
      <w:pPr>
        <w:spacing w:after="0" w:line="79"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affecting the comparison of our investing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periods presented are summarized below:</w:t>
      </w:r>
    </w:p>
    <w:p>
      <w:pPr>
        <w:spacing w:after="0" w:line="50" w:lineRule="exact"/>
        <w:rPr>
          <w:sz w:val="20"/>
          <w:szCs w:val="20"/>
          <w:color w:val="auto"/>
        </w:rPr>
      </w:pPr>
    </w:p>
    <w:p>
      <w:pPr>
        <w:jc w:val="both"/>
        <w:ind w:left="720" w:right="79" w:hanging="319"/>
        <w:spacing w:after="0" w:line="26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Our spending on acquisitions was $173 million, $377 million and $76 million in 2023,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of which $170 million, $377 million and $75 million, respectively, are considered cash used in investing activities. The remaining spend is financing or operating activities related to the timing of contingent consideration paid. Substantially all of these acquisitions are related to our Collection and Disposal businesses.</w:t>
      </w:r>
    </w:p>
    <w:p>
      <w:pPr>
        <w:spacing w:after="0" w:line="74" w:lineRule="exact"/>
        <w:rPr>
          <w:sz w:val="20"/>
          <w:szCs w:val="20"/>
          <w:color w:val="auto"/>
        </w:rPr>
      </w:pPr>
    </w:p>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Our acquisition spending in 2022 was primarily attributable to the purchase of a controlling interest in a business intended to accelerate our film and plastic wrap recycling capabilities. See Note 17 to the Consolidated Financial Statements for additional information. We continue to focus on accretive acquisitions and growth opportunities that will enhance and expand our existing service offerings.</w:t>
      </w:r>
    </w:p>
    <w:p>
      <w:pPr>
        <w:spacing w:after="0" w:line="70" w:lineRule="exact"/>
        <w:rPr>
          <w:sz w:val="20"/>
          <w:szCs w:val="20"/>
          <w:color w:val="auto"/>
        </w:rPr>
      </w:pPr>
    </w:p>
    <w:p>
      <w:pPr>
        <w:jc w:val="both"/>
        <w:ind w:left="720" w:right="79" w:hanging="319"/>
        <w:spacing w:after="0" w:line="25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$2,895 million, $2,587 million and $1,904 million for capital expenditures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2022 and 2021, respectively. The increase in capital spending is primarily driven by our planned and ongoing investments in our Recycling Processing and Sales and WM Renewable Energy segments, as well as inflationary increases in many fixed asset categories required to support ongoing operations and investments in the Company’s landfills to reduce greenhouse gas emissions. The increase in 2022 is primarily driven by our planned and ongoing investments in our Recycling Processing and Sales and WM Renewable Energy segments, as well as timing differences in our fixed asset purchases to support our Collection and Disposal businesses.</w:t>
      </w:r>
    </w:p>
    <w:p>
      <w:pPr>
        <w:spacing w:after="0" w:line="77" w:lineRule="exact"/>
        <w:rPr>
          <w:sz w:val="20"/>
          <w:szCs w:val="20"/>
          <w:color w:val="auto"/>
        </w:rPr>
      </w:pPr>
    </w:p>
    <w:p>
      <w:pPr>
        <w:jc w:val="both"/>
        <w:ind w:left="700" w:right="59"/>
        <w:spacing w:after="0" w:line="258" w:lineRule="auto"/>
        <w:rPr>
          <w:sz w:val="20"/>
          <w:szCs w:val="20"/>
          <w:color w:val="auto"/>
        </w:rPr>
      </w:pPr>
      <w:r>
        <w:rPr>
          <w:rFonts w:ascii="Times New Roman" w:cs="Times New Roman" w:eastAsia="Times New Roman" w:hAnsi="Times New Roman"/>
          <w:sz w:val="18"/>
          <w:szCs w:val="18"/>
          <w:color w:val="auto"/>
        </w:rPr>
        <w:t>The Company continues to maintain a disciplined focus on capital management to prioritize investments for expansion, the replacement of aging assets and assets that support our strategy of differentiation and continuous improvement through efficiency and innovation. The Company expects to invest $2.8 billion to $2.9 billion in growth investments across the recycling and renewable energy platforms from 2022 to 2026, which includes the $1.325 billion already invested in 2022 and 2023.</w:t>
      </w:r>
    </w:p>
    <w:p>
      <w:pPr>
        <w:spacing w:after="0" w:line="73" w:lineRule="exact"/>
        <w:rPr>
          <w:sz w:val="20"/>
          <w:szCs w:val="20"/>
          <w:color w:val="auto"/>
        </w:rPr>
      </w:pPr>
    </w:p>
    <w:p>
      <w:pPr>
        <w:jc w:val="both"/>
        <w:ind w:left="720" w:right="79" w:hanging="319"/>
        <w:spacing w:after="0" w:line="261"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 </w:t>
      </w:r>
      <w:r>
        <w:rPr>
          <w:rFonts w:ascii="Times New Roman" w:cs="Times New Roman" w:eastAsia="Times New Roman" w:hAnsi="Times New Roman"/>
          <w:sz w:val="18"/>
          <w:szCs w:val="18"/>
          <w:color w:val="auto"/>
        </w:rPr>
        <w:t>Proceeds from divestitures of businesses and other assets, net of cash divested, were $78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 million and $96 million in 2023, 2022 and 2021, respectively. In 2023, our proceeds are primarily the result of the sale of certain non-strategic assets. In 2021, our proceeds are primarily the result of the sale of certain non-strategic Canadian operations.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Our spending within other, net was $104 million, $126 million and $11 million in 2023,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During 2023, 2022 and 2021, we used $61 million, $23 million and $32 million, respectively, of cash from restricted cash and cash equivalents to invest in available-for-sale securities. In 2023, we used $20 million to make an initial cash payment associated with a low-income housing investment. In 2022, we used $67 million to fund secured convertible promissory notes associated with an acquisition and $28 million to make an initial cash payment associated with a low-income housing investment. Our 2021 cash spend was partially offset by proceeds received from the sale of an equity method investment.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periods presented are summarized below:</w:t>
      </w:r>
    </w:p>
    <w:p>
      <w:pPr>
        <w:spacing w:after="0" w:line="50" w:lineRule="exact"/>
        <w:rPr>
          <w:sz w:val="20"/>
          <w:szCs w:val="20"/>
          <w:color w:val="auto"/>
        </w:rPr>
      </w:pPr>
    </w:p>
    <w:p>
      <w:pPr>
        <w:ind w:left="660" w:right="79" w:hanging="326"/>
        <w:spacing w:after="0" w:line="284"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(Repayments) — </w:t>
      </w:r>
      <w:r>
        <w:rPr>
          <w:rFonts w:ascii="Times New Roman" w:cs="Times New Roman" w:eastAsia="Times New Roman" w:hAnsi="Times New Roman"/>
          <w:sz w:val="18"/>
          <w:szCs w:val="18"/>
          <w:color w:val="auto"/>
        </w:rPr>
        <w:t>The following summarizes our cash borrowings and repayments of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(in millions):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5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 program</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9"/>
        </w:trPr>
        <w:tc>
          <w:tcPr>
            <w:tcW w:w="5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432"/>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 program</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(18,709)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(6,664)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(6,872)</w:t>
            </w:r>
          </w:p>
        </w:tc>
      </w:tr>
      <w:tr>
        <w:trPr>
          <w:trHeight w:val="432"/>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(1,289)</w:t>
            </w: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425"/>
        </w:trPr>
        <w:tc>
          <w:tcPr>
            <w:tcW w:w="5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(20,394)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(7,328)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(8,404)</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6 to the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67"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Premiums and Other Paid on Early Extinguishment of Debt — </w:t>
      </w:r>
      <w:r>
        <w:rPr>
          <w:rFonts w:ascii="Times New Roman" w:cs="Times New Roman" w:eastAsia="Times New Roman" w:hAnsi="Times New Roman"/>
          <w:sz w:val="18"/>
          <w:szCs w:val="18"/>
          <w:color w:val="auto"/>
        </w:rPr>
        <w:t xml:space="preserve">During 2021, we paid premiums and other third-party costs of $211 million to retire certain high-coupon notes. See </w:t>
      </w:r>
      <w:r>
        <w:rPr>
          <w:rFonts w:ascii="Times New Roman" w:cs="Times New Roman" w:eastAsia="Times New Roman" w:hAnsi="Times New Roman"/>
          <w:sz w:val="18"/>
          <w:szCs w:val="18"/>
          <w:i w:val="1"/>
          <w:iCs w:val="1"/>
          <w:color w:val="auto"/>
        </w:rPr>
        <w:t>Loss on Early Extinguishment of Debt, Net</w:t>
      </w:r>
      <w:r>
        <w:rPr>
          <w:rFonts w:ascii="Times New Roman" w:cs="Times New Roman" w:eastAsia="Times New Roman" w:hAnsi="Times New Roman"/>
          <w:sz w:val="18"/>
          <w:szCs w:val="18"/>
          <w:color w:val="auto"/>
        </w:rPr>
        <w:t xml:space="preserve"> for further discussion.</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For the periods presented, all share repurchases have been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financial plans approved by our Board of Directors. We allocated $1,302 million, $1,500 million and $1,350 million of available cash to common stock repurchases during 2023, 2022, and 2021, respectively. See Note 13 to the Consolidated Financial Statements for additional information.</w:t>
      </w:r>
    </w:p>
    <w:p>
      <w:pPr>
        <w:spacing w:after="0" w:line="74" w:lineRule="exact"/>
        <w:rPr>
          <w:sz w:val="20"/>
          <w:szCs w:val="20"/>
          <w:color w:val="auto"/>
        </w:rPr>
      </w:pPr>
    </w:p>
    <w:p>
      <w:pPr>
        <w:jc w:val="both"/>
        <w:ind w:left="700" w:right="59"/>
        <w:spacing w:after="0" w:line="256" w:lineRule="auto"/>
        <w:rPr>
          <w:sz w:val="20"/>
          <w:szCs w:val="20"/>
          <w:color w:val="auto"/>
        </w:rPr>
      </w:pPr>
      <w:r>
        <w:rPr>
          <w:rFonts w:ascii="Times New Roman" w:cs="Times New Roman" w:eastAsia="Times New Roman" w:hAnsi="Times New Roman"/>
          <w:sz w:val="18"/>
          <w:szCs w:val="18"/>
          <w:color w:val="auto"/>
        </w:rPr>
        <w:t>We announced in December 2023 that the Board of Directors has authorized up to $1.5 billion in future share repurchases, excluding the 1% excise tax. This new authorization supersedes and replaces remaining authority under the prior Board of Directors’ authorization for share repurchases announced in December 2022. 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77" w:lineRule="exact"/>
        <w:rPr>
          <w:sz w:val="20"/>
          <w:szCs w:val="20"/>
          <w:color w:val="auto"/>
        </w:rPr>
      </w:pPr>
    </w:p>
    <w:p>
      <w:pPr>
        <w:jc w:val="both"/>
        <w:ind w:left="720" w:right="79" w:hanging="319"/>
        <w:spacing w:after="0" w:line="267"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declared and paid were $1,136 million in 2023, or $2.80 per common share, $1,077 million in 2022, or $2.60 per common share, and $970 million in 2021, or $2.30 per common share.</w:t>
      </w:r>
    </w:p>
    <w:p>
      <w:pPr>
        <w:spacing w:after="0" w:line="67" w:lineRule="exact"/>
        <w:rPr>
          <w:sz w:val="20"/>
          <w:szCs w:val="20"/>
          <w:color w:val="auto"/>
        </w:rPr>
      </w:pPr>
    </w:p>
    <w:p>
      <w:pPr>
        <w:jc w:val="both"/>
        <w:ind w:left="700" w:right="59"/>
        <w:spacing w:after="0" w:line="258" w:lineRule="auto"/>
        <w:rPr>
          <w:sz w:val="20"/>
          <w:szCs w:val="20"/>
          <w:color w:val="auto"/>
        </w:rPr>
      </w:pPr>
      <w:r>
        <w:rPr>
          <w:rFonts w:ascii="Times New Roman" w:cs="Times New Roman" w:eastAsia="Times New Roman" w:hAnsi="Times New Roman"/>
          <w:sz w:val="18"/>
          <w:szCs w:val="18"/>
          <w:color w:val="auto"/>
        </w:rPr>
        <w:t>In December 2023, we announced that our Board of Directors expects to increase the quarterly dividend from $0.70 to $0.75 per share for dividends declared in 2024. However, all future dividend declarations are at the discretion of the Board of Directors and depend on various factors, including our net earnings, financial condition, cash required for future business plans, growth and acquisitions and other factors the Board of Directors may deem relevant.</w:t>
      </w:r>
    </w:p>
    <w:p>
      <w:pPr>
        <w:spacing w:after="0" w:line="73" w:lineRule="exact"/>
        <w:rPr>
          <w:sz w:val="20"/>
          <w:szCs w:val="20"/>
          <w:color w:val="auto"/>
        </w:rPr>
      </w:pPr>
    </w:p>
    <w:p>
      <w:pPr>
        <w:jc w:val="both"/>
        <w:ind w:left="720" w:right="79" w:hanging="319"/>
        <w:spacing w:after="0" w:line="267"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of Common Stock Options — </w:t>
      </w:r>
      <w:r>
        <w:rPr>
          <w:rFonts w:ascii="Times New Roman" w:cs="Times New Roman" w:eastAsia="Times New Roman" w:hAnsi="Times New Roman"/>
          <w:sz w:val="18"/>
          <w:szCs w:val="18"/>
          <w:color w:val="auto"/>
        </w:rPr>
        <w:t>The exercise of common stock options generated financing cash inflows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 million, $44 million and $66 million from the exercise of 597,000, 675,000 and 962,000 of employee stock options during 2023, 2022 and 2021, respectively.</w:t>
      </w:r>
    </w:p>
    <w:p>
      <w:pPr>
        <w:sectPr>
          <w:pgSz w:w="11900" w:h="16838" w:orient="portrait"/>
          <w:cols w:equalWidth="0" w:num="1">
            <w:col w:w="9019"/>
          </w:cols>
          <w:pgMar w:left="1440" w:top="607"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for the year ended December 31 (in millions), and may not be calculated the same as similarly-titled measures presented by other companies: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9"/>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and in Note 2 to the Consolidated Financial Statements. Actual results could differ materially from the estimates and assumptions that we use in the preparation of our financial statements.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Landfills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and (iii) the determination of each landfill’s remaining permitted and expansion airspace.</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Costs — </w:t>
      </w:r>
      <w:r>
        <w:rPr>
          <w:rFonts w:ascii="Times New Roman" w:cs="Times New Roman" w:eastAsia="Times New Roman" w:hAnsi="Times New Roman"/>
          <w:sz w:val="18"/>
          <w:szCs w:val="18"/>
          <w:color w:val="auto"/>
        </w:rPr>
        <w:t>We estimate the total cost to develop each of our landfill sites to its remaining permitted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airspace.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landfill buffer property. The projection of these landfill costs is dependent, in part, on future events. The remaining depletable basis of each landfill</w:t>
      </w:r>
    </w:p>
    <w:p>
      <w:pPr>
        <w:sectPr>
          <w:pgSz w:w="11900" w:h="16838" w:orient="portrait"/>
          <w:cols w:equalWidth="0" w:num="1">
            <w:col w:w="9019"/>
          </w:cols>
          <w:pgMar w:left="1440" w:top="60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17"/>
          <w:szCs w:val="17"/>
          <w:color w:val="auto"/>
        </w:rPr>
        <w:t>includes costs to develop a site to its remaining permitted and expansion airspace and includes amounts previously expended and capitalized, net of accumulated airspace depletion, and projections of future purchase and development costs.</w:t>
      </w:r>
    </w:p>
    <w:p>
      <w:pPr>
        <w:spacing w:after="0" w:line="13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Final Capping Costs — </w:t>
      </w:r>
      <w:r>
        <w:rPr>
          <w:rFonts w:ascii="Times New Roman" w:cs="Times New Roman" w:eastAsia="Times New Roman" w:hAnsi="Times New Roman"/>
          <w:sz w:val="18"/>
          <w:szCs w:val="18"/>
          <w:color w:val="auto"/>
        </w:rPr>
        <w:t>We estimate the cost for each final capping event based on the area to be capped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capping materials and activities required. The estimates also consider when these costs are anticipated to be paid and factor in inflation and discount rates. Our engineering personnel allocate landfill final capping costs to specific final capping events and the capping costs are depleted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landfill, the adjustment to the asset must be depleted immediately through expense. When the change in estimate relates to a final capping event at a landfill with remaining airspace, the adjustment to the asset is recognized in income prospectively as a component of landfill airspace depletion.</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Closure and Post-Closure Costs — </w:t>
      </w:r>
      <w:r>
        <w:rPr>
          <w:rFonts w:ascii="Times New Roman" w:cs="Times New Roman" w:eastAsia="Times New Roman" w:hAnsi="Times New Roman"/>
          <w:sz w:val="18"/>
          <w:szCs w:val="18"/>
          <w:color w:val="auto"/>
        </w:rPr>
        <w:t>We base our estimates for closure and post-closure costs on our interpretations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landfill, the adjustment to the asset must be depleted immediately through expense. When the change in estimate relates to a landfill with remaining airspace, the adjustment to the asset is recognized in income prospectively as a component of landfill airspace depletion.</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 </w:t>
      </w:r>
      <w:r>
        <w:rPr>
          <w:rFonts w:ascii="Times New Roman" w:cs="Times New Roman" w:eastAsia="Times New Roman" w:hAnsi="Times New Roman"/>
          <w:sz w:val="18"/>
          <w:szCs w:val="18"/>
          <w:color w:val="auto"/>
        </w:rPr>
        <w:t>Our engineers, in consultation with third-party engineering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Expansion Airspace — </w:t>
      </w:r>
      <w:r>
        <w:rPr>
          <w:rFonts w:ascii="Times New Roman" w:cs="Times New Roman" w:eastAsia="Times New Roman" w:hAnsi="Times New Roman"/>
          <w:sz w:val="18"/>
          <w:szCs w:val="18"/>
          <w:color w:val="auto"/>
        </w:rPr>
        <w:t>We also include currently unpermitted expansion airspace in our estimate of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185" w:lineRule="exact"/>
        <w:rPr>
          <w:sz w:val="20"/>
          <w:szCs w:val="20"/>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meets Company criteria for investment.</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 Liabilities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187"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 to Note 10 to the Consolidated Financial Statements for additional information on our environmental liabilities.</w:t>
      </w:r>
    </w:p>
    <w:p>
      <w:pPr>
        <w:sectPr>
          <w:pgSz w:w="11900" w:h="16838" w:orient="portrait"/>
          <w:cols w:equalWidth="0" w:num="1">
            <w:col w:w="9019"/>
          </w:cols>
          <w:pgMar w:left="1440" w:top="607"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Nonfinancial Assets and Liabilities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are made in determining the fair value of long-lived tangible and intangible assets (i.e., property and equipment, intangible assets and goodwill) during the impairment evaluation process. In addition, the majority of assets acquired and liabilities assumed in a business combination are required to be recognized at fair value under the relevant accounting guidance.</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7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 </w:t>
      </w:r>
      <w:r>
        <w:rPr>
          <w:rFonts w:ascii="Times New Roman" w:cs="Times New Roman" w:eastAsia="Times New Roman" w:hAnsi="Times New Roman"/>
          <w:sz w:val="18"/>
          <w:szCs w:val="18"/>
          <w:color w:val="auto"/>
        </w:rPr>
        <w:t>We monitor the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92"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Including Goodwill — </w:t>
      </w:r>
      <w:r>
        <w:rPr>
          <w:rFonts w:ascii="Times New Roman" w:cs="Times New Roman" w:eastAsia="Times New Roman" w:hAnsi="Times New Roman"/>
          <w:sz w:val="18"/>
          <w:szCs w:val="18"/>
          <w:color w:val="auto"/>
        </w:rPr>
        <w:t>At least annually using a measurement date of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frequently if warranted, we assess the indefinite-lived intangible assets including the goodwill of our reporting units for impairment using Level 3 inputs.</w:t>
      </w:r>
    </w:p>
    <w:p>
      <w:pPr>
        <w:spacing w:after="0" w:line="17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first perform a qualitative assessment to determine if it was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was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w:t>
      </w:r>
    </w:p>
    <w:p>
      <w:pPr>
        <w:sectPr>
          <w:pgSz w:w="11900" w:h="16838" w:orient="portrait"/>
          <w:cols w:equalWidth="0" w:num="1">
            <w:col w:w="9019"/>
          </w:cols>
          <w:pgMar w:left="1440" w:top="607"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also be appropriate in certain circumstances because it provides a fair value estimate using valuation inputs from entities with operations and economic characteristics comparable to our reporting units.</w:t>
      </w:r>
    </w:p>
    <w:p>
      <w:pPr>
        <w:spacing w:after="0" w:line="16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In accordance with the purchase method of accounting, the purchase price paid for an acquisition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the assets and liabilities acquired based upon their estimated fair values as of the acquisition date, with the excess of the purchase price over the net assets acquired recorded as goodwill. When we are in the process of valuing all of the assets and liabilities acquired in an acquisition, there can be subsequent adjustments to our estimates of fair value and resulting preliminary purchase price allocation. Generally, the valuation of our acquired asset and liabilities rely on complex estimates and assumptions.</w:t>
      </w:r>
    </w:p>
    <w:p>
      <w:pPr>
        <w:spacing w:after="0" w:line="18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to the Consolidated Financial Statements for additional information related to our acquisitions.</w:t>
      </w:r>
    </w:p>
    <w:p>
      <w:pPr>
        <w:spacing w:after="0" w:line="181"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(Gain)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Divestitures, Asset Impairments and Unusual Items, Net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Macroeconomic pressures, including inflation and rising interest rates, and market disruption resulting in labor, supply chain and transportation constraints have impacted our results.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 We continue to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further discussion.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2023.</w:t>
      </w:r>
    </w:p>
    <w:p>
      <w:pPr>
        <w:spacing w:after="0" w:line="1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 </w:t>
      </w:r>
      <w:r>
        <w:rPr>
          <w:rFonts w:ascii="Times New Roman" w:cs="Times New Roman" w:eastAsia="Times New Roman" w:hAnsi="Times New Roman"/>
          <w:sz w:val="18"/>
          <w:szCs w:val="18"/>
          <w:color w:val="auto"/>
        </w:rPr>
        <w:t>Our exposure to market risk for changes in interest rates relates primarily to our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As of December 31, 2023, we had $16.4 billion of long-term debt, excluding the impacts of accounting for debt issuance costs, discounts and fair value adjustments attributable to terminated interest rate derivatives. We have $2.5 billion of debt that is exposed to changes in market interest rates within the next 12 months comprised primarily of</w:t>
      </w:r>
    </w:p>
    <w:p>
      <w:pPr>
        <w:spacing w:after="0" w:line="1" w:lineRule="exact"/>
        <w:rPr>
          <w:sz w:val="20"/>
          <w:szCs w:val="20"/>
          <w:color w:val="auto"/>
        </w:rPr>
      </w:pPr>
    </w:p>
    <w:p>
      <w:pPr>
        <w:jc w:val="both"/>
        <w:ind w:left="60" w:right="59" w:hanging="10"/>
        <w:spacing w:after="0" w:line="253" w:lineRule="auto"/>
        <w:tabs>
          <w:tab w:leader="none" w:pos="2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$860 million of short-term borrowings under our commercial paper program and (ii) $1.6 billion of tax-exempt bonds with term interest rate periods that expire within the next 12 months. We currently estimate that a 100-basis point increase in the interest rates of our outstanding variable-rate debt obligations would increase our 2024 interest expense by $18 million.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$900 million as of December 31, 2023.</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also exposed to interest rate market risk from our cash and cash equivalent balances, as well as assets held in restricted trust fund accounts. These assets are generally invested in high-quality, liquid instruments including money market funds that invest in U.S. government obligations with original maturities of three months or less. We believe that our exposure to changes in fair value of these assets due to interest rate fluctuations is insignificant as the fair value generally approximates our cost basis. We also invest a portion of our restricted trust fund account balances in available-for-sale securities, including U.S. Treasury securities, U.S. agency securities, municipal securities, mortgage- and asset-backed securities, which generally mature over the next ten years, as well as equity securities.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 </w:t>
      </w:r>
      <w:r>
        <w:rPr>
          <w:rFonts w:ascii="Times New Roman" w:cs="Times New Roman" w:eastAsia="Times New Roman" w:hAnsi="Times New Roman"/>
          <w:sz w:val="18"/>
          <w:szCs w:val="18"/>
          <w:color w:val="auto"/>
        </w:rPr>
        <w:t>In the normal course of our business, we are subject to operating agreements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expose us to market risks arising from changes in the prices for commodities such as diesel fuel, electricity (and related renewable energy credits) and recycled materials, including old corrugated cardboard and plastics. We work to manage these risks through operational strategies that focus on capturing our costs in the prices we charge our customers for the services provided. Accordingly, as the market prices for these commodities increase or decrease, our revenues, operating costs and margins may also increase or decrease. Recycling revenues attributable to yield decreased $308 million and increased $19 million in 2023 and 2022, respectively, as compared with the prior year periods. With the significant decline in commodity prices that started in the second half of 2022 from their all-time highs and has continued into 2023, we are currently experiencing margin pressures from our commodity-driven businesses. Average market prices for single-stream recycled commodities were down 40% and 10% in 2023 and 2022, respectively, as compared to the prior year periods. Variability in commodity prices can also impact the margins of our business as certain components of our revenue are structured as a pass through of costs, including recycling brokerage and fuel surcharges.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invested, and continue to invest, in facilities to capture methane produced from the Company’s landfills and convert it into renewable natural gas (“RNG”) and electricity. RNG produced from our landfills, as well as dairy biogas, constitute a significant source of fuel allocated to our natural gas collection vehicles. The Company’s investment in renewable energy production is guided partly by the EPA’s implementation of the Renewable Fuel Standard (“RFS”) program, which promotes the production and use of renewable transportation fuels. Many of our facilities are EPA-registered producers of transportation fuel making compressed and RNG from landfill biogas, which qualifies as a cellulosic biofuel under the RFS program. Oil refiners and importers are required through the RFS program to blend specified volumes of various categories of renewable transportation fuels with gasoline or buy credits, referred to as renewable identification numbers (“RINs”), from renewable fuel producers.</w:t>
      </w:r>
    </w:p>
    <w:p>
      <w:pPr>
        <w:sectPr>
          <w:pgSz w:w="11900" w:h="16838" w:orient="portrait"/>
          <w:cols w:equalWidth="0" w:num="1">
            <w:col w:w="9019"/>
          </w:cols>
          <w:pgMar w:left="1440" w:top="607"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RIN prices generally respond to regulations enacted by the EPA, as well as fluctuations in supply and demand. The value of the RINs associated with RNG is set through a market established by the RFS program. Prior to 2022, the EPA had promulgated rules on an annual basis establishing refiners’ obligations to purchase RNG and other cellulosic biofuels under the RFS program, which introduced uncertainty and volatility into the renewable fuels and RINs market. However, in 2023, the EPA issued a highly anticipated rule establishing biofuel blending volumes under the RFS program for compliance years 2023 through 2025. The rule reflected the outsized role of biogas under the program, delivered on many reforms that benefit the solid waste sector, and recognized the continued growth of the market for RNG in vehicle applications. However, we cannot be certain that these changes, or the outcome of litigation challenging various aspects of the rule, will ultimately reduce volatility in the RINs market or that future rulemakings will be similarly favorable to our business. We continue to advocate for the current federal administration to implement policies that could reduce the potential for volatility in the RINs market and ensure long-term stability for renewable transportation fuels, as changes in the RFS market or the structure of the RFS program can and has impacted the financial performance of the facilities constructed to capture and treat the gas. Such changes could impact or alter our projected future investments, and such investments may not yield the results anticipated. Revenue in our WM Renewable Energy segment declined $73 million and increased $48 million in 2023 and 2022, respectively, as compared to the prior year periods, primarily driven by the fluctuations in energy and RIN market prices.</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sustainability growth strategy also is informed by the increased adoption of state and Canadian clean fuel standard programs, utility policies, and voluntary market demand for RNG in transportation and industrial applications. Clean fuel standard programs, originally developed in California and subsequently adopted in Oregon and Washington, establish annual carbon intensity benchmarks for transportation fuels that decrease over time. These programs operate similar to the RFS program in that certain regulated parties purchase credits from fuel producers, including RNG producers, to meet their carbon intensity obligations. Like RINs, clean fuel standard program credit values can fluctuate with policy and market dynamics. As such, we are advocating for existing programs to adopt measures to promote stability in credit pricing and for other states to adopt similar programs that incentivize the growth in RNG. We also are working closely with stakeholders to encourage the voluntary market for RNG demand, including utility RNG procurement programs, and sustainability protocols, as companies and other customers increasingly look to reduce their greenhouse gas emissions profiles.</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Currency Rate Exposure — </w:t>
      </w:r>
      <w:r>
        <w:rPr>
          <w:rFonts w:ascii="Times New Roman" w:cs="Times New Roman" w:eastAsia="Times New Roman" w:hAnsi="Times New Roman"/>
          <w:sz w:val="18"/>
          <w:szCs w:val="18"/>
          <w:color w:val="auto"/>
        </w:rPr>
        <w:t>Our operations are primarily in the U.S. but we also have significant operations in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have certain support functions in India. Where significant, we have quantified and described the impact of foreign currency translation on components of income, including operating revenue and operating expenses. However, the impact of foreign currency has not materially affected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5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2023, 2022 and 2021</w:t>
            </w:r>
          </w:p>
        </w:tc>
        <w:tc>
          <w:tcPr>
            <w:tcW w:w="16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2023, 2022 and 2021</w:t>
            </w:r>
          </w:p>
        </w:tc>
        <w:tc>
          <w:tcPr>
            <w:tcW w:w="7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2023, 2022 and 2021</w:t>
            </w:r>
          </w:p>
        </w:tc>
        <w:tc>
          <w:tcPr>
            <w:tcW w:w="11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Waste Management,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audited Waste Management, Inc.’s internal control over financial reporting as of December 31, 2023,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2023, based on the COSO criteria.</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2023 consolidated financial statements of the Company, and our report dated February 13, 2024 expressed an unqualified opinion thereon.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Waste Management,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Waste Management, Inc. (the Company) as of December 31, 2023 and 2022, the related consolidated statements of operations, comprehensive income, cash flows, and changes in equity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8"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13, 2024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Landfill Depletion</w:t>
            </w: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the</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At December 31, 2023, the Company’s landfill assets, net of accumulated depletion,</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totaled $7.8 billion and the associated depletion expense for 2023 was $745 million.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discussed in Note 2 of the financial statements, the Company updates the estimates used to</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calculate individual landfill depletion rates at least annually, or more often if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facts change. Landfill depletion rates are used in the computation of landfill depletion</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expense.</w:t>
            </w:r>
          </w:p>
        </w:tc>
      </w:tr>
      <w:tr>
        <w:trPr>
          <w:trHeight w:val="414"/>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Auditing landfill depletion rates and related depletion expense is complex due to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highly  judgmental  nature  of  assumptions  used  in  estimating  the  rates.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assumptions used in the calculation of the rates include: estimated future development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costs associated with the construction and retirement of the landfill, estimated remaining</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permitted and expansion airspace, and airspace utilization factors.</w:t>
            </w:r>
          </w:p>
        </w:tc>
      </w:tr>
      <w:tr>
        <w:trPr>
          <w:trHeight w:val="412"/>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How</w:t>
            </w: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We  Addressed</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Our</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of the Company’s controls over determining landfill depletion rates and calculating</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depletion expense. Our audit procedures included, among others, testing controls over: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Company’s process for evaluating and updating the significant assumptions used in the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development of the landfill depletion rates, management’s review of those significant</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assumptions, and the mathematical accuracy of the calculation and recording of depletion</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expense.</w:t>
            </w:r>
          </w:p>
        </w:tc>
      </w:tr>
    </w:tbl>
    <w:p>
      <w:pPr>
        <w:spacing w:after="0" w:line="198" w:lineRule="exact"/>
        <w:rPr>
          <w:sz w:val="20"/>
          <w:szCs w:val="20"/>
          <w:color w:val="auto"/>
        </w:rPr>
      </w:pPr>
    </w:p>
    <w:p>
      <w:pPr>
        <w:jc w:val="both"/>
        <w:ind w:left="1960" w:right="499"/>
        <w:spacing w:after="0" w:line="253" w:lineRule="auto"/>
        <w:rPr>
          <w:sz w:val="20"/>
          <w:szCs w:val="20"/>
          <w:color w:val="auto"/>
        </w:rPr>
      </w:pPr>
      <w:r>
        <w:rPr>
          <w:rFonts w:ascii="Times New Roman" w:cs="Times New Roman" w:eastAsia="Times New Roman" w:hAnsi="Times New Roman"/>
          <w:sz w:val="18"/>
          <w:szCs w:val="18"/>
          <w:color w:val="24282D"/>
        </w:rPr>
        <w:t>To test the landfill asset depletion rates, our audit procedures included, among others, assessing methodologies used by the Company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a similar type of waste. Regarding expansion airspace, we evaluated the Company’s criteria for inclusion in remaining airspace. In addition, we considered the professional qualifications and objectivity of management’s internal engineers responsible for developing the assumptions. We involved EY engineering specialists to assist with the evaluation of the Company’s landfill future development cost and airspace assumptions. We also tested the completeness and accuracy of the historical data utilized in the development of the landfill depletion rates.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Landfill – Final Capping, Closure and Post-Closure Costs</w:t>
            </w:r>
          </w:p>
        </w:tc>
      </w:tr>
      <w:tr>
        <w:trPr>
          <w:trHeight w:val="34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the</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At December 31, 2023, the carrying value of the Company’s landfill asset retirement</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obligations related to final capping, closure and post-closure costs totaled $2.9 billion. As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discussed in Note 2 of the financial statements, the Company updates the estimates used to</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measure the asset retirement obligations annually, or more often if significant facts change.</w:t>
            </w:r>
          </w:p>
        </w:tc>
      </w:tr>
      <w:tr>
        <w:trPr>
          <w:trHeight w:val="414"/>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Auditing the landfill asset retirement obligation is complex due to the highly judgmental</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nature of the assumptions used in the measurement process. Significant assumptions</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include: estimated future costs associated with the capping, closure and post closure</w:t>
            </w: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activities at each specific landfill, airspace consumed to date in relation to total estimated</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permitted and expansion airspace and the projected remaining landfill life.</w:t>
            </w:r>
          </w:p>
        </w:tc>
      </w:tr>
      <w:tr>
        <w:trPr>
          <w:trHeight w:val="425"/>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How</w:t>
            </w: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We  Addressed</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w w:val="99"/>
              </w:rPr>
              <w:t>We obtained an understanding, evaluated the design, and tested the operating effectiveness</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Our</w:t>
            </w: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of the Company’s controls over the calculation of landfill asset retirement obligations. Our</w:t>
            </w:r>
          </w:p>
        </w:tc>
      </w:tr>
      <w:tr>
        <w:trPr>
          <w:trHeight w:val="21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audit procedures included, among others, testing the Company’s controls over the landfill</w:t>
            </w: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24282D"/>
              </w:rPr>
              <w:t>asset retirement obligation estimation process and management’s review of the significant</w:t>
            </w:r>
          </w:p>
        </w:tc>
      </w:tr>
    </w:tbl>
    <w:p>
      <w:pPr>
        <w:jc w:val="both"/>
        <w:ind w:left="1960" w:right="499"/>
        <w:spacing w:after="0" w:line="260" w:lineRule="auto"/>
        <w:rPr>
          <w:sz w:val="20"/>
          <w:szCs w:val="20"/>
          <w:color w:val="auto"/>
        </w:rPr>
      </w:pPr>
      <w:r>
        <w:rPr>
          <w:rFonts w:ascii="Times New Roman" w:cs="Times New Roman" w:eastAsia="Times New Roman" w:hAnsi="Times New Roman"/>
          <w:sz w:val="18"/>
          <w:szCs w:val="18"/>
          <w:color w:val="24282D"/>
        </w:rPr>
        <w:t>assumptions used in the estimation of the liability, including the amount and timing of retirement costs.</w:t>
      </w:r>
    </w:p>
    <w:p>
      <w:pPr>
        <w:spacing w:after="0" w:line="181" w:lineRule="exact"/>
        <w:rPr>
          <w:sz w:val="20"/>
          <w:szCs w:val="20"/>
          <w:color w:val="auto"/>
        </w:rPr>
      </w:pPr>
    </w:p>
    <w:p>
      <w:pPr>
        <w:jc w:val="both"/>
        <w:ind w:left="1960" w:right="499"/>
        <w:spacing w:after="0" w:line="252" w:lineRule="auto"/>
        <w:rPr>
          <w:sz w:val="20"/>
          <w:szCs w:val="20"/>
          <w:color w:val="auto"/>
        </w:rPr>
      </w:pPr>
      <w:r>
        <w:rPr>
          <w:rFonts w:ascii="Times New Roman" w:cs="Times New Roman" w:eastAsia="Times New Roman" w:hAnsi="Times New Roman"/>
          <w:sz w:val="18"/>
          <w:szCs w:val="18"/>
          <w:color w:val="24282D"/>
        </w:rPr>
        <w:t>To test the landfill asset retirement obligation valuation, we performed audit procedures that included, among others, assessing methodologies used by the Company, testing the completeness of activities included in the estimate (e.g., gas monitoring and extraction), and testing the significant assumptions discussed above, inclusive of the underlying data used by the Company in its development of these assumptions. We compared the significant assumptions used by management to historical trends and, when available, to comparable size landfills accepting the same type of waste. In addition, we considered the professional qualifications and objectivity of management’s internal engineers responsible for developing the assumptions. We involved EY engineering specialists to assist us with these procedures. Specifically, we utilized the EY engineering specialists to evaluate the reasons for significant changes in assumptions from the historical trend, and to determine whether the change from the historical trend was appropriate and identified timely. We also tested the completeness and accuracy of the historical data utilized in preparing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9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$30 and $26,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 net of allowance for doubtful accounts of $4 and $7, respectively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Parts and supplies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depletion of $22,826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$21,627, respectively</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funds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$0.01 par value; 1,500,000,000 shares authorized; 630,282,461 shares issued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Treasury stock at cost, 228,827,218 and 222,396,166 shares, respectively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21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197"/>
        </w:trPr>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5.69</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5.42</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w:t>
            </w: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5.39</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7220" w:type="dxa"/>
            <w:vAlign w:val="bottom"/>
            <w:gridSpan w:val="6"/>
          </w:tcPr>
          <w:p>
            <w:pPr>
              <w:ind w:left="17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8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8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80" w:type="dxa"/>
            <w:vAlign w:val="bottom"/>
          </w:tcPr>
          <w:p>
            <w:pPr>
              <w:spacing w:after="0"/>
              <w:rPr>
                <w:sz w:val="17"/>
                <w:szCs w:val="17"/>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bad debts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 impairment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loss from divestitures, asset impairments (other than goodwill) and other,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net losses of unconsolidated entities, net of dividends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Receivables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borrowings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repayments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Premiums and other paid on early extinguishment of debt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equivalents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36"/>
        </w:trPr>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period: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3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96"/>
        </w:trPr>
        <w:tc>
          <w:tcPr>
            <w:tcW w:w="6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019"/>
          </w:cols>
          <w:pgMar w:left="1440" w:top="607"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1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Waste Management, Inc. Stockholders’ Equity</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7,454</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11,159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(207,481)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(8,881)</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 $2.30</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 common share</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transactions, net</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2021</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7,126</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12,004</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(214,159)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 $2.60</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 common share</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transactions, net</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and other,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6,864</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5,314</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13,167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(222,396)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(11,569)</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of $2.80</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 common share</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transactions, net</w:t>
            </w: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2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6,896</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14,334</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(12,751)</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03" w:lineRule="exact"/>
        <w:rPr>
          <w:sz w:val="20"/>
          <w:szCs w:val="20"/>
          <w:color w:val="auto"/>
        </w:rPr>
      </w:pPr>
    </w:p>
    <w:p>
      <w:pPr>
        <w:ind w:left="360" w:hanging="310"/>
        <w:spacing w:after="0"/>
        <w:tabs>
          <w:tab w:leader="none" w:pos="3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and WM Renewable Energy businesses, beginning in the fourth quarter of 2023, our senior management revised its segment reporting to (i) reflect the financial results of our collection, transfer, disposal and resource recovery services businesses independently; (ii) combine the results of all recycling facilities from our East and West Tier segments with our recycling brokerage and sales activities to form a newly created Recycling Processing and Sales reportable segment and (iii) include our WM Renewable Energy business as a reportable segment. Accordingly, our senior management now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 along with certain ancillary services not managed through our tier segments, but that support our collection and disposal operations, form our “Collection and Disposal” businesses. We also provide additional services not managed through our four reportable segments, which are presented as Corporate and Other. Refer to Note 19 for further discussion.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71" w:lineRule="exact"/>
        <w:rPr>
          <w:sz w:val="20"/>
          <w:szCs w:val="20"/>
          <w:color w:val="auto"/>
        </w:rPr>
      </w:pPr>
    </w:p>
    <w:p>
      <w:pPr>
        <w:ind w:left="360" w:hanging="310"/>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the appropriate method of accounting.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Each of these items is discussed in additional detail below. Actual results could differ materially from the estimates and assumptions that we use in the preparation of our financial statements.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2023 and 2022, no single customer represented greater than 5% of total accounts receivable.</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and Other Receivables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as well as expected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the activity in our allowance for doubtful accounts of trade receivables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(in millions):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written-off, net of recoveries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Acquisitions, divestitures and other, net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To determine the allowance for doubtful accounts for trade receivables, we rely upon, among other factors, historical loss trends, the age of outstanding receivables, and existing as well as expected economic conditions. We determined that all of our trade receivables share similar risk characteristics. We monitor our credit exposure on an ongoing basis and assess whether assets in the pool continue to display similar risk characteristics. Based on aging analysis as of both December 31, 2023 and 2022, approximately 90% of our trade receivables were outstanding less than 60 days.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To determine the allowance for doubtful accounts for other receivables, as well as loans and other instruments, we rely primarily on credit ratings and associated default rates based on the maturity of the instrument. Other receivables, as of December 31, 2023 and 2022, include receivables related to income tax payments in excess of our current income tax obligations of $120 million and $150 million, respectively. Other receivables as of December 31, 2023 and 2022 also include a receivable of $26 million and $19 million, respectively, related to alternative fuel tax credits. Based on an aging analysis as of December 31, 2023 and 2022, approximately 50% and 55%, respectively, of our other receivables were due within 12 months or less.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Parts and Supplies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Landfill Accounting</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Basis of Landfill Assets — </w:t>
      </w:r>
      <w:r>
        <w:rPr>
          <w:rFonts w:ascii="Times New Roman" w:cs="Times New Roman" w:eastAsia="Times New Roman" w:hAnsi="Times New Roman"/>
          <w:sz w:val="18"/>
          <w:szCs w:val="18"/>
          <w:color w:val="auto"/>
        </w:rPr>
        <w:t>We capitalize various costs that we incur to make a landfill ready to accept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8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Final Capping, Closure and Post-Closure Costs — </w:t>
      </w:r>
      <w:r>
        <w:rPr>
          <w:rFonts w:ascii="Times New Roman" w:cs="Times New Roman" w:eastAsia="Times New Roman" w:hAnsi="Times New Roman"/>
          <w:sz w:val="18"/>
          <w:szCs w:val="18"/>
          <w:color w:val="auto"/>
        </w:rPr>
        <w:t>Following is a description of our asset retirement activities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accounting:</w:t>
      </w:r>
    </w:p>
    <w:p>
      <w:pPr>
        <w:spacing w:after="0" w:line="158" w:lineRule="exact"/>
        <w:rPr>
          <w:sz w:val="20"/>
          <w:szCs w:val="20"/>
          <w:color w:val="auto"/>
        </w:rPr>
      </w:pPr>
    </w:p>
    <w:p>
      <w:pPr>
        <w:jc w:val="both"/>
        <w:ind w:left="720" w:right="79" w:hanging="319"/>
        <w:spacing w:after="0" w:line="257"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 Capping — </w:t>
      </w:r>
      <w:r>
        <w:rPr>
          <w:rFonts w:ascii="Times New Roman" w:cs="Times New Roman" w:eastAsia="Times New Roman" w:hAnsi="Times New Roman"/>
          <w:sz w:val="18"/>
          <w:szCs w:val="18"/>
          <w:color w:val="auto"/>
        </w:rPr>
        <w:t>Generally involves the installation of flexible membrane liners and geosynthetic clay liners,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drainage and compacted soil layers and topsoil over areas of a landfill where total airspace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associated with each final capping event.</w:t>
      </w:r>
    </w:p>
    <w:p>
      <w:pPr>
        <w:spacing w:after="0" w:line="74"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Closure — </w:t>
      </w:r>
      <w:r>
        <w:rPr>
          <w:rFonts w:ascii="Times New Roman" w:cs="Times New Roman" w:eastAsia="Times New Roman" w:hAnsi="Times New Roman"/>
          <w:sz w:val="18"/>
          <w:szCs w:val="18"/>
          <w:color w:val="auto"/>
        </w:rPr>
        <w:t>Includes the construction of the final portion of methane gas collection systems (when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demobilization and routine maintenance costs. These are costs incurred after the site ceases to accept waste, but</w:t>
      </w:r>
    </w:p>
    <w:p>
      <w:pPr>
        <w:sectPr>
          <w:pgSz w:w="11900" w:h="16838" w:orient="portrait"/>
          <w:cols w:equalWidth="0" w:num="1">
            <w:col w:w="9019"/>
          </w:cols>
          <w:pgMar w:left="1440" w:top="60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720" w:right="79"/>
        <w:spacing w:after="0" w:line="261" w:lineRule="auto"/>
        <w:rPr>
          <w:sz w:val="20"/>
          <w:szCs w:val="20"/>
          <w:color w:val="auto"/>
        </w:rPr>
      </w:pPr>
      <w:r>
        <w:rPr>
          <w:rFonts w:ascii="Times New Roman" w:cs="Times New Roman" w:eastAsia="Times New Roman" w:hAnsi="Times New Roman"/>
          <w:sz w:val="18"/>
          <w:szCs w:val="18"/>
          <w:color w:val="auto"/>
        </w:rPr>
        <w:t>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70" w:lineRule="exact"/>
        <w:rPr>
          <w:sz w:val="20"/>
          <w:szCs w:val="20"/>
          <w:color w:val="auto"/>
        </w:rPr>
      </w:pPr>
    </w:p>
    <w:p>
      <w:pPr>
        <w:jc w:val="both"/>
        <w:ind w:left="720" w:right="79" w:hanging="319"/>
        <w:spacing w:after="0" w:line="257"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Post-Closure — </w:t>
      </w:r>
      <w:r>
        <w:rPr>
          <w:rFonts w:ascii="Times New Roman" w:cs="Times New Roman" w:eastAsia="Times New Roman" w:hAnsi="Times New Roman"/>
          <w:sz w:val="18"/>
          <w:szCs w:val="18"/>
          <w:color w:val="auto"/>
        </w:rPr>
        <w:t>Involves the maintenance and monitoring of a landfill site that has been certified closed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we have determined final capping, closure and post-closure costs, we inflate those costs to the expected time of payment and discount those expected future costs back to present value. As of December 31, 2023, 2022 and 2021, we inflated these costs in current dollars to the expected time of payment using an inflation rate of 2.50%, 2.50% and 2.25%, respectively.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2023 was approximately 4.8%.</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record the estimated fair value of final capping, closure and post-closure liabilities for our landfills based on the airspace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Sustained 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permitted and expansion airspace (as defined below) of the related discrete final capping event or the remaining permitted and expansion airspace of the landfill, as appropriate. Any changes related to the capitalized and future cost of the landfill assets are then recognized in accordance with our landfill depletion policy, which would generally result in depletion expense being recognized prospectively over the remaining permitted and expansion airspace of the final capping event or the remaining permitted and expansion airspace of the landfill, as appropriate. Changes in such estimates associated with a fully</w:t>
      </w:r>
    </w:p>
    <w:p>
      <w:pPr>
        <w:sectPr>
          <w:pgSz w:w="11900" w:h="16838" w:orient="portrait"/>
          <w:cols w:equalWidth="0" w:num="1">
            <w:col w:w="9019"/>
          </w:cols>
          <w:pgMar w:left="1440" w:top="607"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consumed landfill result in an adjustment to the recorded liability and landfill assets with an immediate corresponding adjustment to landfill airspace depletion expense.</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accretion on final capping, closure and post-closure liabilities is recorded using the effective interest method and is recorded as landfill operating costs, which is included in operating expenses within our Consolidated Statements of Operations.</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Depletion of Landfill Assets — </w:t>
      </w:r>
      <w:r>
        <w:rPr>
          <w:rFonts w:ascii="Times New Roman" w:cs="Times New Roman" w:eastAsia="Times New Roman" w:hAnsi="Times New Roman"/>
          <w:sz w:val="18"/>
          <w:szCs w:val="18"/>
          <w:color w:val="auto"/>
        </w:rPr>
        <w:t>The depletable basis of a landfill includes (i) amounts previously expended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(ii) capitalized landfill final capping, closure and post-closure costs; (iii) projections of future purchase and development costs required to develop the landfill site to its remaining permitted and expansion airspace (as defined below) and (iv) projected asset retirement costs related to landfill final capping, closure and post-closure activities.</w:t>
      </w:r>
    </w:p>
    <w:p>
      <w:pPr>
        <w:spacing w:after="0" w:line="18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Depletion is recorded on a units-of-consumption basis, applying expense as a rate per ton. The rate per ton is calculated by dividing each component of the depletable basis of a landfill by the number of tons needed to fill the corresponding asset’s airspace. For landfills that we do not own, but operate through lease or other contractual agreements, the rate per ton is calculated based on expected airspace to be utilized over the lesser of the contractual term of the underlying agreement or the life of the landfill.</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apply the following guidelines in determining a landfill’s remaining permitted and expansion airspace:</w:t>
      </w:r>
    </w:p>
    <w:p>
      <w:pPr>
        <w:spacing w:after="0" w:line="115" w:lineRule="exact"/>
        <w:rPr>
          <w:sz w:val="20"/>
          <w:szCs w:val="20"/>
          <w:color w:val="auto"/>
        </w:rPr>
      </w:pPr>
    </w:p>
    <w:p>
      <w:pPr>
        <w:jc w:val="both"/>
        <w:ind w:left="720" w:right="79" w:hanging="319"/>
        <w:spacing w:after="0" w:line="261"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Remaining Permitted Airspace — </w:t>
      </w:r>
      <w:r>
        <w:rPr>
          <w:rFonts w:ascii="Times New Roman" w:cs="Times New Roman" w:eastAsia="Times New Roman" w:hAnsi="Times New Roman"/>
          <w:sz w:val="18"/>
          <w:szCs w:val="18"/>
          <w:color w:val="auto"/>
        </w:rPr>
        <w:t>Our engineers, in consultation with third-party engineering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Airspace — </w:t>
      </w:r>
      <w:r>
        <w:rPr>
          <w:rFonts w:ascii="Times New Roman" w:cs="Times New Roman" w:eastAsia="Times New Roman" w:hAnsi="Times New Roman"/>
          <w:sz w:val="18"/>
          <w:szCs w:val="18"/>
          <w:color w:val="auto"/>
        </w:rPr>
        <w:t>We also include currently unpermitted expansion airspace in our estimate of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and expansion airspace in certain circumstances. First, for unpermitted airspace to be initially included in our estimate of remaining permitted and expansion airspace, we must believe that obtaining the expansion permit is likely. Second, we must generally expect the initial expansion permit application to be submitted within one year and the final expansion permit to be received within five years, in addition to meeting the following criteria:</w:t>
      </w:r>
    </w:p>
    <w:p>
      <w:pPr>
        <w:spacing w:after="0" w:line="76"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meets Company criteria for investment.</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on a quarterly basis. Of the 16 landfill sites with expansions included as of December 31, 2023, two landfills required the Chief Financial Officer to approve the inclusion of the unpermitted airspace because the permit application process did not meet the one- or five-year requirements.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depletable basis of the landfill.</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consider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depletion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earnings may be experienced due to higher depletion rates or higher expenses; or higher earnings may result if the opposite occurs. Most significantly, if it is determined that expansion capacity should no longer be considered in calculating the recoverability of a landfill asset, we may be required to recognize an asset impairment or incur significantly higher depletion expense. If at any time management makes the decision to abandon the expansion effort, the capitalized costs related to the expansion effort are expensed immediately.</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 Liabilities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 and determine our estimated cost for the likely remedy based on a number of estimates and assumptions.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79"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$85 million higher than the $209 million recorded in the Consolidated Balance Sheet as of December 31, 2023.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Where we believe that both the amount of a particular environmental remediation liability and the timing of the payments are fixed or reliably determinable, we inflate the cost in current dollars until the expected time of payment and discount the cost to present value using a risk-free discount rate, which is based on the rate for U.S. Treasury bonds with a term approximating the weighted average period until settlement of the underlying obligation.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(exclusive of landfills, discussed above)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generally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useful lives for significant property and equipment categories are as follows (in years):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 excluding rail haul cars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 — rail haul cars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30</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30</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to 40</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70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Includes recycling and renewable natural gas (“RNG”) facilities as well as containers.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lease property and equipment in the ordinary course of our business. Our operating lease activities primarily consist of leases for real estate, landfills and operating equipment. Our financing lease activities primarily consist of leases for operating equipment, railcars and landfill assets. Our leases have varying terms. Some may include renewal or purchase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options, escalation clauses, restrictions, penalties or other obligations that we consider in determining minimum lease payments. The leases are classified as either operating leases or financing leases, as appropriate.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Leases (excluding landfill leases discussed below) — </w:t>
      </w:r>
      <w:r>
        <w:rPr>
          <w:rFonts w:ascii="Times New Roman" w:cs="Times New Roman" w:eastAsia="Times New Roman" w:hAnsi="Times New Roman"/>
          <w:sz w:val="18"/>
          <w:szCs w:val="18"/>
          <w:color w:val="auto"/>
        </w:rPr>
        <w:t>The majority of our leases are operating leases.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(excluding landfill leases discussed below) — </w:t>
      </w:r>
      <w:r>
        <w:rPr>
          <w:rFonts w:ascii="Times New Roman" w:cs="Times New Roman" w:eastAsia="Times New Roman" w:hAnsi="Times New Roman"/>
          <w:sz w:val="18"/>
          <w:szCs w:val="18"/>
          <w:color w:val="auto"/>
        </w:rPr>
        <w:t>Assets under financing leases are capitalized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determined at the commencement of each lease and are depreciated over either the useful life of the asset or the lease term, as appropriate, on a straight-line basis. The present value of the related lease payments is recorded as a debt obligation.</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Leases — </w:t>
      </w:r>
      <w:r>
        <w:rPr>
          <w:rFonts w:ascii="Times New Roman" w:cs="Times New Roman" w:eastAsia="Times New Roman" w:hAnsi="Times New Roman"/>
          <w:sz w:val="18"/>
          <w:szCs w:val="18"/>
          <w:color w:val="auto"/>
        </w:rPr>
        <w:t>From an operating perspective, landfills that we lease are similar to landfills we own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we will operate the landfill for the life of the operating permit. The most significant portion of our rental obligations for landfill leases is contingent upon operating factors such as disposal volume and often there are no contractual minimum rental obligations. Contingent rental obligations are expensed as incurred. For landfill financing leases that provide for minimum contractual rental obligations, we record the present value of the minimum obligation as part of the landfill asset, which is depleted on a units-of-consumption basis over the shorter of the lease term or the life of the landfill.</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operating and financing leases, including landfill leases, our rent expense for each of the last three years and future minimum lease payments are disclosed in Note 7.</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generally recognize assets acquired and liabilities assumed in business combinations, including contingent assets and liabilities, based on fair value estimates as of the date of acquisition.</w:t>
      </w:r>
    </w:p>
    <w:p>
      <w:pPr>
        <w:spacing w:after="0" w:line="16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 </w:t>
      </w:r>
      <w:r>
        <w:rPr>
          <w:rFonts w:ascii="Times New Roman" w:cs="Times New Roman" w:eastAsia="Times New Roman" w:hAnsi="Times New Roman"/>
          <w:sz w:val="18"/>
          <w:szCs w:val="18"/>
          <w:color w:val="auto"/>
        </w:rPr>
        <w:t>In certain acquisitions, we agree to pay additional amounts to sellers contingent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subsequent remeasurements and the ultimate settlement of the obligations being recognized as an adjustment to income from operations. Refer to Note 11 for adjustments recognized during the reported periods.</w:t>
      </w:r>
    </w:p>
    <w:p>
      <w:pPr>
        <w:spacing w:after="0" w:line="18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Acquired Assets and Assumed Liabilities — </w:t>
      </w:r>
      <w:r>
        <w:rPr>
          <w:rFonts w:ascii="Times New Roman" w:cs="Times New Roman" w:eastAsia="Times New Roman" w:hAnsi="Times New Roman"/>
          <w:sz w:val="18"/>
          <w:szCs w:val="18"/>
          <w:color w:val="auto"/>
        </w:rPr>
        <w:t>Assets and liabilities arising from contingencies such as pre-acquisition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matters and litigation are recognized at their acquisition-date fair value when their respective fair values can be determined. If the fair values of such contingencies cannot be readily determined, they are recognized as of the acquisition date if the contingencies are probable and an amount can be reasonably estimated.</w:t>
      </w:r>
    </w:p>
    <w:p>
      <w:pPr>
        <w:spacing w:after="0" w:line="18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 See Note 17 for additional information related to our acquisitions.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Goodwill is the excess of our purchase cost over the fair value of the net assets of acquired businesses. We do not amortize goodwill, but as discussed in the </w:t>
      </w:r>
      <w:r>
        <w:rPr>
          <w:rFonts w:ascii="Times New Roman" w:cs="Times New Roman" w:eastAsia="Times New Roman" w:hAnsi="Times New Roman"/>
          <w:sz w:val="18"/>
          <w:szCs w:val="18"/>
          <w:i w:val="1"/>
          <w:iCs w:val="1"/>
          <w:color w:val="auto"/>
        </w:rPr>
        <w:t>Long-Lived Asset Impairments</w:t>
      </w:r>
      <w:r>
        <w:rPr>
          <w:rFonts w:ascii="Times New Roman" w:cs="Times New Roman" w:eastAsia="Times New Roman" w:hAnsi="Times New Roman"/>
          <w:sz w:val="18"/>
          <w:szCs w:val="18"/>
          <w:color w:val="auto"/>
        </w:rPr>
        <w:t xml:space="preserve"> section below, we assess our goodwill for impairment at least annually.</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consist primarily of customer and supplier relationships, covenants not-to-compete, licenses, permits (other than landfill permits, which are combined with landfill tangible assets and depleted per our landfill depletion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terms of 10 to 15 years. Covenants not-to-compete are amortized over the term of the non-compete covenant, which is generally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assess our long-lived assets for impairment as required under the applicable accounting standards. If necessary, impairments are recorded in (gain) loss from divestitures, asset impairments and unusual items, net in our Consolidated Statements of Operations.</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Including Landfills and Definite-Lived Intangible Assets </w:t>
      </w:r>
      <w:r>
        <w:rPr>
          <w:rFonts w:ascii="Times New Roman" w:cs="Times New Roman" w:eastAsia="Times New Roman" w:hAnsi="Times New Roman"/>
          <w:sz w:val="18"/>
          <w:szCs w:val="18"/>
          <w:color w:val="auto"/>
        </w:rPr>
        <w:t>— We monitor the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92"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Including Goodwill — </w:t>
      </w:r>
      <w:r>
        <w:rPr>
          <w:rFonts w:ascii="Times New Roman" w:cs="Times New Roman" w:eastAsia="Times New Roman" w:hAnsi="Times New Roman"/>
          <w:sz w:val="18"/>
          <w:szCs w:val="18"/>
          <w:color w:val="auto"/>
        </w:rPr>
        <w:t>At least annually using a measurement date of October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frequently if warranted, we assess our indefinite-lived intangible assets, including the goodwill of our reporting units, for impairment.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first perform a qualitative assessment to determine if it is more likely than not that the fair value of a reporting unit is less than its carrying value. If the assessment indicates a possible impairment, we complete a quantitative review, comparing the estimated fair value of a reporting unit to its carrying amount, including goodwill. An impairment charge is recognized if the asset’s estimated fair value is less than its carrying amount. Fair value is typically estimated using an income approach using Level 3 inputs.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9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11 for information related to impairments recognized during the reported periods.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Insured and Self-Insured Claims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For our self-insured portions, the exposure for unpaid claims and associated expenses, including incurred but not reported losses, is based on an actuarial valuation or internal estimates. The gross estimated liability associated with settling unpaid claims is included in accrued liabilities in our Consolidated Balance Sheets if expected to be settled within one year; otherwise, it is included in other long-term liabilities. Estimated insurance recoveries related to recorded liabilities are reflected as other current receivables or other long-term assets in our Consolidated Balance Sheets when we believe that the receipt of such amounts is probable.</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use a wholly-owned insurance captive to insure the deductibles for our general liability, automobile liability and workers’ compensation claims programs. We continue to maintain conventional insurance policies with third-party insurers. WMI pays an annual premium to the insurance captive on behalf of WMI and its insured subsidiaries, typically in the first quarter of the year, for estimated losses based on an external actuarial analysis. These premiums are held in a restricted funds account to be used solely for paying insurance claims, resulting in a transfer of risk from our Company to the insurance captive, and are allocated between current and long-term assets depending on estimated timing of the use of funds.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Funds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restricted funds accounts primarily consist of funds deposited for purposes of funding insurance claims and settling landfill final capping, closure, post-closure and environmental remediation obligations. These funds are generally allocated between cash, money market funds, equity securities and available-for-sale debt securities depending on the estimated timing and purpose of the use of funds. We use a wholly-owned insurance captive to insure the deductibles for certain claims programs and the premiums paid are directly deposited into a restricted funds account to be used solely for paying insurance claims. At several of our landfills, we provide financial assurance by depositing cash into restricted trust funds for purposes of settling final capping, closure, post-closure and environmental remediation obligations. Balances maintained in these restricted funds accounts will fluctuate based on (i) changes in statutory requirements; (ii)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deposits made to comply with contractual arrangements; (iii) the ongoing use of funds; (iv) acquisitions or divestitures and (v) changes in the fair value of the financial instruments held in the restricted funds accounts.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Notes 16 and 18 for additional discussion related to restricted funds accounts for final capping, closure, post-closure or environmental remediation obligations.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Investments in unconsolidated entities over which the Company has significant influence are accounted for under the equity method of accounting. Equity investments in which the Company does not have the ability to exert significant influence over the investees’ operating and financing activities are measured using a quantitative approach as these investments do not have readily determinable fair values. The quantitative approach, or measurement alternative, is equal to its cost minus impairment, if any, plus or minus changes resulting from observable price changes in orderly transactions for the identical or a similar investment of the same issuer. The fair value of our redeemable preferred stock has been measured based on third-party investors’ recent or pending transactions in these securities, which are considered the best evidence of fair value. The following table summarizes our investments in unconsolidated entities as of December 31 (in millions):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without readily determinable fair values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or pending transactions in the securities; (ii) other information available regarding the current market for similar assets; (iii) a market or income approach, as deemed appropriate and/or (iv) a quantitative approach, or measurement alternative, as noted above. Impairments of our investments are recorded in (gain) loss from divestitures, asset impairments and unusual items, net in our Consolidated Statements of Operations in accordance with appropriate accounting guidance.</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Refer to Note 11, Note 12 and Note 16 for information related to impairments and other adjustments recognized during the reported periods.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primarily in the U.S. but we also have significant operations in Canada. Additionally, we have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 Foreign currency translation adjustments have primarily been impacted by fluctuations in the U.S. dollar/Canadian dollar exchange rate which was 1.3243 at December 31, 2023, 1.3554 at December 31, 2022 and 1.2639 at December 31, 2021. Refer to Note 12 for information regarding the impacts of foreign currency on our comprehensive income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Collection and Disposal operating revenues are primarily generated from fees charged for our collection, transfer and disposal. Revenues from our collection operations are influenced by factors such as collection frequency, type of collection equipment furnished, type and volume or weight of the waste collected, distance to the disposal facility or recycling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The fees we charge for our services generally include applicable fees, such as our energy surcharge, which are intended to pass through to customers direct and indirect costs incurred.</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Recycling Processing and Sales revenues generally consist of tipping fees and the sale of recycling commodities to and/or on behalf of third parties.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WM Renewable Energy revenue is primarily generated from (i) the sale of captured and converted landfill methane gas; (ii) the sale of Renewable Identification Numbers (“RINs”) under the Renewable Fuel Standard (“RFS”) program implemented by the U.S. Environmental Protection Agency (“EPA”); (iii) sale of Low Carbon Fuel credits designed to stimulate the use of low-carbon fuels and (iv) the sale of energy (electricity and capacity) and associated Renewable Energy Credits (“RECs”).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19 for additional information related to revenue by reportable segment and major lines of business.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4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Consolidated Balance Sheets.</w:t>
      </w:r>
    </w:p>
    <w:p>
      <w:pPr>
        <w:spacing w:after="0" w:line="7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and 2022, we had $207 million and $192 million of deferred contract costs, respectively, of which $148 million and $137 million, respectively, were related to deferred sales incentives. During each of the years ended December 31, 2023, 2022 and 2021, we amortized $26 million, $24 million and $23 million, respectively, of sales incentives to selling, general and administrative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Approximately 20% of our total revenue is derived from contracts with a remaining term greater than one year. The consideration for these contracts is primarily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capitalize interest on certain projects under development, including landfill expansion projects, certain assets under construction, including operating landfills and landfill gas-to-energy projects and internal-use software. During 2023, 2022 and 2021, total interest costs were $590 million, $425 million and $388 million, respectively, of which $63 million, $29 million and $13 million was capitalized in 2023, 2022 and 2021, respectively.</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is primarily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supportable, we believe that certain positions may be challenged and potentially disallowed. When facts and circumstances change, we adjust these reserves through our income tax expense.</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8 for discussion of our income taxes.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supplemental cash flow information for the year ended December 31 (in millions):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 of capitalized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jc w:val="both"/>
        <w:ind w:left="380" w:right="79" w:hanging="330"/>
        <w:spacing w:after="0" w:line="266"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income taxes paid in 2022 is primarily due to the increase in pre-tax book income during 2022 and a deposit of approximately $103 million made to the Internal Revenue Service (“IRS”) in the fourth quarter of 2022 related to a disputed tax matter for which we expect to seek a refund. See Note 8 for further discussion.</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2023, we had $276 million of non-cash financing activities primarily from our low-income housing investment and new financing leases, which are discussed further in Notes 6 and 8. During 2022, we had $225 million of non-cash financing activities primarily from our low-income housing investment and new financing leases. Additionally, we had approximately $25 million and $135 million of non-cash investing activities related to non-cash consideration transferred as part of our acquisitions in 2023 and 2022, respectively. See Note 17 for further discussion of our 2022 acquisitions. During 2021, we had $30 million of non-cash financing activities from new financing leases. Non-cash investing and financing activities are generally excluded from the Consolidated Statements of Cash Flows.</w:t>
      </w:r>
    </w:p>
    <w:p>
      <w:pPr>
        <w:spacing w:after="0" w:line="212" w:lineRule="exact"/>
        <w:rPr>
          <w:sz w:val="20"/>
          <w:szCs w:val="20"/>
          <w:color w:val="auto"/>
        </w:rPr>
      </w:pPr>
    </w:p>
    <w:p>
      <w:pPr>
        <w:ind w:left="360" w:hanging="310"/>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Liabilities for landfill and environmental remediation costs as of December 31 are presented in the table below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year ended December 31, 2023 are reflected in the table below (in millions):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6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 and interest rate assumptions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recorded liabilities as of December 31, 2023 include the impacts of inflating certain of these costs based on our expectations of the timing of cash settlement.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December 31 consisted of the following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w:t>
            </w: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 (a)</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Containers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09"/>
        </w:trPr>
        <w:tc>
          <w:tcPr>
            <w:tcW w:w="22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37,346</w:t>
            </w:r>
          </w:p>
        </w:tc>
      </w:tr>
      <w:tr>
        <w:trPr>
          <w:trHeight w:val="216"/>
        </w:trPr>
        <w:tc>
          <w:tcPr>
            <w:tcW w:w="6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of tangible property and equipment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16"/>
        </w:trPr>
        <w:tc>
          <w:tcPr>
            <w:tcW w:w="6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depletion of landfill airspace</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w:t>
            </w:r>
          </w:p>
        </w:tc>
      </w:tr>
      <w:tr>
        <w:trPr>
          <w:trHeight w:val="210"/>
        </w:trPr>
        <w:tc>
          <w:tcPr>
            <w:tcW w:w="69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r>
      <w:tr>
        <w:trPr>
          <w:trHeight w:val="20"/>
        </w:trPr>
        <w:tc>
          <w:tcPr>
            <w:tcW w:w="2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2022, includes $1.5 billion and $1.1 billion, respectively, related to recycling facilities. As of December 31, 2023 and 2022, includes $720 million and $570 million, respectively, related to RNG facilities.</w:t>
      </w:r>
    </w:p>
    <w:p>
      <w:pPr>
        <w:spacing w:after="0" w:line="16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information regarding asset impairments.</w:t>
      </w:r>
    </w:p>
    <w:p>
      <w:pPr>
        <w:spacing w:after="0" w:line="22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Depreciation and depletion expense, including for assets recorded as financing leases, consisted of the following for the year ended December 31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9"/>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depletion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5 for information regarding amortization of our intangible assets.</w:t>
      </w:r>
    </w:p>
    <w:p>
      <w:pPr>
        <w:spacing w:after="0" w:line="221" w:lineRule="exact"/>
        <w:rPr>
          <w:sz w:val="20"/>
          <w:szCs w:val="20"/>
          <w:color w:val="auto"/>
        </w:rPr>
      </w:pPr>
    </w:p>
    <w:p>
      <w:pPr>
        <w:ind w:left="360" w:hanging="310"/>
        <w:spacing w:after="0"/>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Goodwill was $9,254 million and $9,323 million as of December 31, 2023 and 2022, respectively. As discussed in Note 2, we perform our annual impairment test of goodwill balances for our reporting units using a measurement date of October 1. We will also perform interim tests if an impairment indicator exists. As a result of a longer-than-anticipated ramp toward full scale and profitability of a business engaged in accelerating film and plastic wrap recycling capabilities, we recorded a goodwill impairment charge of $168 million, with $22 million attributable to noncontrolling interests. This charge was partially offset by the recognition of $46 million of income related to the reversal of a liability for contingent consideration associated with our investment in such business. We have a controlling interest in the business, and it is, therefore, consolidated in our financial statements as part of our Recycling Processing and Sales segment. Fair value of the business was estimated using an income approach based on long-term projected discounted future cash flows of the reporting unit. Partially offsetting the decrease in our goodwill balance was a $90 million increase in goodwill associated with acquisitions primarily within our Collection and Disposal businesses. See Notes 11 and 17 for additional information.</w:t>
      </w:r>
    </w:p>
    <w:p>
      <w:pPr>
        <w:spacing w:after="0" w:line="192"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Goodwill is included within each segment’s total assets. For segment reporting purposes, our recycling facilities and recycling brokerage services are included within our Recycling Processing and Sales segment. Prior to 2023, our recycling facilities were reflected as a component of the respective Tier segments and our recycling brokerage services were included as a component of our “Other” operations. Reclassifications have been made to our prior period consolidated financial</w:t>
      </w:r>
    </w:p>
    <w:p>
      <w:pPr>
        <w:sectPr>
          <w:pgSz w:w="11900" w:h="16838" w:orient="portrait"/>
          <w:cols w:equalWidth="0" w:num="1">
            <w:col w:w="9019"/>
          </w:cols>
          <w:pgMar w:left="1440" w:top="60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to conform to the current year presentation. The following table presents changes in goodwill during the reported periods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12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Collection and Disposal</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Recycling</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120" w:type="dxa"/>
            <w:vAlign w:val="bottom"/>
            <w:tcBorders>
              <w:bottom w:val="single" w:sz="8" w:color="auto"/>
            </w:tcBorders>
            <w:gridSpan w:val="5"/>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East Tier</w:t>
            </w: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West Tier</w:t>
            </w: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Ancillary</w:t>
            </w:r>
          </w:p>
        </w:tc>
        <w:tc>
          <w:tcPr>
            <w:tcW w:w="140" w:type="dxa"/>
            <w:vAlign w:val="bottom"/>
          </w:tcPr>
          <w:p>
            <w:pPr>
              <w:spacing w:after="0"/>
              <w:rPr>
                <w:sz w:val="12"/>
                <w:szCs w:val="12"/>
                <w:color w:val="auto"/>
              </w:rPr>
            </w:pPr>
          </w:p>
        </w:tc>
        <w:tc>
          <w:tcPr>
            <w:tcW w:w="8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and Sales</w:t>
            </w:r>
          </w:p>
        </w:tc>
        <w:tc>
          <w:tcPr>
            <w:tcW w:w="10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$ 5,008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$ 3,673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Divested goodwill</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$ 5,072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$ 3,696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Divested goodwill</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$ 5,094</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$ 3,766</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other intangible assets consisted of the following as of December 31 (in millions):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Licenses,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and Supplier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Not-to-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Permits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232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Compete</w:t>
            </w:r>
          </w:p>
        </w:tc>
        <w:tc>
          <w:tcPr>
            <w:tcW w:w="14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Amortization expense for other intangible assets was $129 million, $129 million and $143 million for 2023, 2022 and 2021, respectively. Additional information related to other intangible assets acquired through business combinations is included in Note 17. As of December 31, 2023 and 2022, we had $21 million and $19 million, respectively, of licenses, permits and other intangible assets that are not subject to amortization because they do not have stated expirations or have routine, administrative renewal processes. As of December 31, 2023, we expect annual amortization expense related to other intangible assets to be $119 million in 2024, $109 million in 2025, $86 million in 2026, $80 million in 2027 and $66 million in 2028.</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Derivatives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December 31: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8"/>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5.6% as of December 31, 2023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4.9% as of December 31, 2022)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198"/>
        </w:trPr>
        <w:tc>
          <w:tcPr>
            <w:tcW w:w="20" w:type="dxa"/>
            <w:vAlign w:val="bottom"/>
          </w:tcPr>
          <w:p>
            <w:pPr>
              <w:spacing w:after="0"/>
              <w:rPr>
                <w:sz w:val="17"/>
                <w:szCs w:val="17"/>
                <w:color w:val="auto"/>
              </w:rPr>
            </w:pPr>
          </w:p>
        </w:tc>
        <w:tc>
          <w:tcPr>
            <w:tcW w:w="6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2050, interest rates ranging from 0.75% to 7.75% (weighted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average interest rate of 3.7% as of December 31, 2023 and 3.2% as of December 31, 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interest rate of 5.1% as of December 31, 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198"/>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2053, fixed and variable interest rates ranging from</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0.55% to 5.0% (weighted average interest rate of 3.3% as of December 31, 2023 and 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December 31, 2022)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198"/>
        </w:trPr>
        <w:tc>
          <w:tcPr>
            <w:tcW w:w="20" w:type="dxa"/>
            <w:vAlign w:val="bottom"/>
          </w:tcPr>
          <w:p>
            <w:pPr>
              <w:spacing w:after="0"/>
              <w:rPr>
                <w:sz w:val="17"/>
                <w:szCs w:val="17"/>
                <w:color w:val="auto"/>
              </w:rPr>
            </w:pPr>
          </w:p>
        </w:tc>
        <w:tc>
          <w:tcPr>
            <w:tcW w:w="6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2071 (weighted average interest rate of 5.0% as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December 31, 2023 and 4.7% as of December 31, 2022) (a)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we had approximately $2.8 billion of debt maturing within the next 12 months, including</w:t>
      </w:r>
    </w:p>
    <w:p>
      <w:pPr>
        <w:spacing w:after="0" w:line="27" w:lineRule="exact"/>
        <w:rPr>
          <w:sz w:val="20"/>
          <w:szCs w:val="20"/>
          <w:color w:val="auto"/>
        </w:rPr>
      </w:pPr>
    </w:p>
    <w:p>
      <w:pPr>
        <w:jc w:val="both"/>
        <w:ind w:left="60" w:right="59" w:hanging="10"/>
        <w:spacing w:after="0" w:line="251" w:lineRule="auto"/>
        <w:tabs>
          <w:tab w:leader="none" w:pos="28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billion of tax-exempt bonds with term interest rate periods that expire within the next 12 months, which is prior to their scheduled maturities; (ii) $859 million of short-term borrowings under our commercial paper program (net of related discount on issuance); (iii) $175 million of other debt with scheduled maturities within the next 12 months, including $60 million of tax-exempt bonds, and (iv) $156 million of 3.5% senior notes that mature in May 2024. As of December 31, 2023, we have classified $2.4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$334 million of debt maturing in the next 12 months is classified as current obligations.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Commercial Paper Program and Term Loan</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May 2027,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credit capacity to be used for cash borrowings, to support letters of credit and to support our commercial paper program.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interest rates we pay on outstanding U.S. or Canadian loans are based on a secured overnight financing rate administered by the Federal Reserve Bank of New York (“SOFR”) or the Canadian Dollar Offered Rate (“CDOR”), respectively, plus a spread depending on WMI’s senior public debt rating assigned by Moody’s Investors Service, Inc. and Standard and Poor’s Global Ratings. The spread above SOFR or CDOR can range from 0.585% to 1.025% per annum, plus a credit adjustment spread of 0.10% per annum on SOFR-based rates (the “SOFR Credit Adjustment Spread”) to account for the transition from the use of LIBOR to SOFR in such rate calculations. We also pay certain other fees set forth in the $3.5 billion revolving credit facility agreement, including a facility fee based on the aggregate commitment, regardless of usage. As of December 31, 2023, we had no outstanding borrowings under this facility. We had $859 million of outstanding borrowings (net of related discount on issuance) under our commercial paper program and $180 million of letters of credit issued, both supported by the facility, leaving unused and available credit capacity of $2.5 billion as of December 31, 2023.</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December 31, 2023, we had $859 million of outstanding borrowings (net of related discount on issuance) under our commercial paper program.</w:t>
      </w:r>
    </w:p>
    <w:p>
      <w:pPr>
        <w:spacing w:after="0" w:line="18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 Loan </w:t>
      </w:r>
      <w:r>
        <w:rPr>
          <w:rFonts w:ascii="Times New Roman" w:cs="Times New Roman" w:eastAsia="Times New Roman" w:hAnsi="Times New Roman"/>
          <w:sz w:val="18"/>
          <w:szCs w:val="18"/>
          <w:color w:val="auto"/>
        </w:rPr>
        <w:t>— In May 2022, we entered into a $1.0 billion, two-year, U.S. term credit agreement maturing May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 to support general corporate purposes. WM Holdings guaranteed all obligations under our Term Loan. The interest rate we paid on our Term Loan was generally based on SOFR, plus a spread depending on WMI’s senior public debt rating assigned by Moody’s Investors Service, Inc. and Standard and Poor’s Global Ratings. Our Term Loan had a contractual maturity of May 2024, but we elected to repay all outstanding borrowings under our Term Loan in August 2023 with proceeds from our July 2023 senior notes issuance, which is discussed further below.</w:t>
      </w:r>
    </w:p>
    <w:p>
      <w:pPr>
        <w:spacing w:after="0" w:line="182"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December 31, 2023, we had utilized $834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extending through December 2027.</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year ended December 31, 2023 we made cash repayments of $18.7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partially offset by $17.8 billion of cash borrowings (net of related discount on issuance). A portion of these borrowings were repaid with proceeds from our senior note issuances as discussed below.</w:t>
      </w:r>
    </w:p>
    <w:p>
      <w:pPr>
        <w:spacing w:after="0" w:line="173" w:lineRule="exact"/>
        <w:rPr>
          <w:sz w:val="20"/>
          <w:szCs w:val="20"/>
          <w:color w:val="auto"/>
        </w:rPr>
      </w:pPr>
    </w:p>
    <w:p>
      <w:pPr>
        <w:jc w:val="both"/>
        <w:ind w:left="60" w:right="59" w:firstLine="32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February 2023, WMI issued $750 million and $500 million of 4.625% senior notes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2030 and February 2033, respectively, the net proceeds of which were $1.24 billion. We used the net proceeds to reduce outstanding borrowings under our commercial paper program, repay $500 million of WMI’s 2.4% senior notes upon maturity in May 2023, and for general corporate purposes, including our planned and ongoing investments in our Recycling Processing and Sales and WM Renewable Energy segments.</w:t>
      </w:r>
    </w:p>
    <w:p>
      <w:pPr>
        <w:spacing w:after="0" w:line="165" w:lineRule="exact"/>
        <w:rPr>
          <w:sz w:val="20"/>
          <w:szCs w:val="20"/>
          <w:color w:val="auto"/>
        </w:rPr>
      </w:pPr>
    </w:p>
    <w:p>
      <w:pPr>
        <w:jc w:val="both"/>
        <w:ind w:left="60" w:right="59" w:firstLine="324"/>
        <w:spacing w:after="0" w:line="245" w:lineRule="auto"/>
        <w:rPr>
          <w:sz w:val="20"/>
          <w:szCs w:val="20"/>
          <w:color w:val="auto"/>
        </w:rPr>
      </w:pPr>
      <w:r>
        <w:rPr>
          <w:rFonts w:ascii="Times New Roman" w:cs="Times New Roman" w:eastAsia="Times New Roman" w:hAnsi="Times New Roman"/>
          <w:sz w:val="18"/>
          <w:szCs w:val="18"/>
          <w:color w:val="auto"/>
        </w:rPr>
        <w:t>In July 2023, WMI issued $750 million and $1.25 billion of 4.875% senior notes due February 2029 and February 2034, respectively, the net proceeds of which were $1.97 billion. We used the net proceeds to reduce outstanding borrowings under our commercial paper program, repay $1.0 billion of outstanding borrowings under our Term Loan and for general corporate purposes.</w:t>
      </w:r>
    </w:p>
    <w:p>
      <w:pPr>
        <w:spacing w:after="0" w:line="165"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Loan </w:t>
      </w:r>
      <w:r>
        <w:rPr>
          <w:rFonts w:ascii="Times New Roman" w:cs="Times New Roman" w:eastAsia="Times New Roman" w:hAnsi="Times New Roman"/>
          <w:sz w:val="18"/>
          <w:szCs w:val="18"/>
          <w:color w:val="auto"/>
        </w:rPr>
        <w:t>— In August 2023, we repaid $1.0 billion of outstanding borrowings under our Term Loan with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July 2023 senior notes issuance discussed above and contemporaneously terminated the facility.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Tax-Exempt Bonds — </w:t>
      </w:r>
      <w:r>
        <w:rPr>
          <w:rFonts w:ascii="Times New Roman" w:cs="Times New Roman" w:eastAsia="Times New Roman" w:hAnsi="Times New Roman"/>
          <w:sz w:val="18"/>
          <w:szCs w:val="18"/>
          <w:color w:val="auto"/>
        </w:rPr>
        <w:t>We issued $300 million of tax-exempt bonds in 2023. The proceeds from the issuance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were deposited directly into a restricted trust fund to be used for the specific purpose for which the money was raised, which is generally to finance expenditures for solid waste disposal facility, recycling facility and renewable natural gas facility construction and development. In 2023, we also repaid $65 million of our tax-exempt bonds with available cash at their scheduled maturities.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 </w:t>
      </w:r>
      <w:r>
        <w:rPr>
          <w:rFonts w:ascii="Times New Roman" w:cs="Times New Roman" w:eastAsia="Times New Roman" w:hAnsi="Times New Roman"/>
          <w:sz w:val="18"/>
          <w:szCs w:val="18"/>
          <w:color w:val="auto"/>
        </w:rPr>
        <w:t>The increase in our financing leases and other debt obligations in 2023 is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a note payable associated with our low-income housing investment discussed in Note 8, which increased our debt obligations by $183 million, and $93 million primarily related to non-cash financing leases. The increase in our debt obligations was partially offset by $120 million of cash repayments of debt at maturity.</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Scheduled Debt Payments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Principal payments of our debt for the next five years and thereafter, based on scheduled maturities are as follows: $1,192 million in 2024, $1,355 million in 2025, $713 million in 2026, $1,198 million in 2027, $892 million in 2028 and $11,002 million thereafter. Our recorded debt and financing lease obligations include non-cash adjustments associated with debt issuance costs, discounts and fair value adjustments attributable to terminated interest rate derivatives, which have been excluded from these amounts because they will not result in cash payments. As discussed above, we have the intent and ability to refinance certain 2024 scheduled maturities on a long-term basis, including portions of our commercial paper borrowings and our $156 million of 3.5% senior notes that mature in May 2024. See Note 7 below for further discussion of our financing lease arrangements.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Secured Debt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debt balances are generally unsecured, except for financing lease obligations and the notes payable associated with our investments in low-income housing properties. See Notes 8 and 18 for additional information related to these investments.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terms of certain of our financing arrangements require that we comply with financial and other covenants. Our most restrictive financial covenant is the one contained in our $3.5 billion revolving credit facility, which sets forth a maximum total debt to consolidated earnings before interest, taxes, depreciation, depletion and amortization ratio (the “Leverage Ratio”). This covenant requires that the Leverage Ratio for the preceding four fiscal quarters will not be more than 3.75 to 1, provided that if an acquisition permitted under the $3.5 billion revolving credit facility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$3.5 billion revolving credit facility, and the Leverage Ratio must return to 3.75 to 1 for at least one fiscal quarter between Elevated Leverage Ratio Periods. The calculation of all components used in the Leverage Ratio covenant are as defined in the $3.5 billion revolving credit facility. As of December 31, 2023 and 2022, we were in compliance with our Leverage Ratio covenant.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$3.5 billion revolving credit facility, senior notes and other financing arrangements also contain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 We monitor our compliance with these restrictions, but do not believe that they significantly impact our ability to enter into investing or financing arrangements typical for our business. As of December 31, 2023 and 2022, we were in compliance with all covenants and restrictions under our financing arrangements, in addition to our Leverage Ratio covenant, that may have a material effect on our Consolidated Financial Statements.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2023, we entered into treasury rate locks with a total notional value of $800 million to secure underlying interest rates associated with our senior notes issuances discussed above. We designated our treasury rate locks as cash flow hedges. These treasury rate locks were terminated contemporaneously with the related issuances of senior notes in 2023, and we received cash of $19 million to settle the related assets. The deferred gains are being amortized as a decrease to interest expense over the ten-year life of the related senior notes issuances using the effective interest method.</w:t>
      </w:r>
    </w:p>
    <w:p>
      <w:pPr>
        <w:spacing w:after="0" w:line="179" w:lineRule="exact"/>
        <w:rPr>
          <w:sz w:val="20"/>
          <w:szCs w:val="20"/>
          <w:color w:val="auto"/>
        </w:rPr>
      </w:pPr>
    </w:p>
    <w:p>
      <w:pPr>
        <w:ind w:left="360" w:hanging="310"/>
        <w:spacing w:after="0"/>
        <w:tabs>
          <w:tab w:leader="none" w:pos="3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operating lease activities primarily consist of leases for real estate, landfills (as discussed further in Note 2) and operating equipment. Our financing lease activities primarily consist of leases for operating equipment, railcars and landfill assets. Leases with an initial term of 12 months or less, which are not expected to be renewed beyond one year, are not recorded on the balance sheet and are recognized as lease expense on a straight-line basis over the lease term. Most leases include one or more options to renew, with renewal terms generally ranging from one to 10 years. The exercise of lease renewal options is generally at our sole discretion. We include the renewal term in the calculation of the right-of-use asset and related lease liability when such renewals are reasonably certain of being exercised. Certain leases also include options to purchase the leased property. The depreciable life of assets and leasehold improvements is limited by the expected lease term, unless there is a transfer of title or purchase option reasonably certain of exercise. Certain of our lease agreements include rental payments based on usage and other lease agreements include rental payments adjusted periodically for inflation; these payments are treated as variable lease payments. Our lease agreements do not contain any material residual value guarantees or material restrictive covenants.</w:t>
      </w:r>
    </w:p>
    <w:p>
      <w:pPr>
        <w:spacing w:after="0" w:line="19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When the implicit interest rate is not readily available for our leases, we discount future cash flows of the remaining lease payments using the current interest rate that would be paid to borrow on collateralized debt over a similar term, or incremental borrowing rate, at the commencement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information for our leases as of December 31 is as follows (in millions):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4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198"/>
        </w:trPr>
        <w:tc>
          <w:tcPr>
            <w:tcW w:w="24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Financing</w:t>
            </w:r>
          </w:p>
        </w:tc>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9"/>
        </w:trPr>
        <w:tc>
          <w:tcPr>
            <w:tcW w:w="2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assets</w:t>
            </w:r>
          </w:p>
        </w:tc>
        <w:tc>
          <w:tcPr>
            <w:tcW w:w="3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w:t>
            </w: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0"/>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0"/>
        </w:trPr>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Operating lease expense was $189 million, $183 million and $155 million during 2023, 2022 and 2021, respectively, and is included in operating and selling, general and administrative expenses in our Consolidated Statements of Operations. Financing lease expense was $58 million, $55 million and $58 million during 2023, 2022 and 2021, respectively, and is included in depreciation, depletion and amortization expense and interest expense, net in our Consolidated Statements of Operations.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Minimum contractual obligations for our leases (undiscounted) as of December 31, 2023 are as follows (in millions):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320" w:type="dxa"/>
            <w:vAlign w:val="bottom"/>
          </w:tcPr>
          <w:p>
            <w:pPr>
              <w:spacing w:after="0"/>
              <w:rPr>
                <w:sz w:val="21"/>
                <w:szCs w:val="21"/>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lease liabilities</w:t>
            </w:r>
          </w:p>
        </w:tc>
        <w:tc>
          <w:tcPr>
            <w:tcW w:w="1320" w:type="dxa"/>
            <w:vAlign w:val="bottom"/>
            <w:tcBorders>
              <w:top w:val="single" w:sz="8" w:color="auto"/>
              <w:bottom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0"/>
        </w:trPr>
        <w:tc>
          <w:tcPr>
            <w:tcW w:w="5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entered into operating leases, primarily for real estate that have not yet commenced and therefore are not reflected in the table above, with future lease payments of $57 million. These leases commence through 2024 and have lease terms up to 16 years.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Cash paid during 2023 for our operating and financing leases was $77 million and $60 million, respectively. Cash paid during 2022 for our operating and financing leases was $76 million and $56 million, respectively. During 2023, right-of-use assets obtained in exchange for lease obligations for our operating and financing leases were $62 million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$121 million, respectively. During 2022, right-of-use assets obtained in exchange for lease obligations for our operating and financing leases were $69 million and $33 million, respectively.</w:t>
      </w:r>
    </w:p>
    <w:p>
      <w:pPr>
        <w:spacing w:after="0" w:line="162" w:lineRule="exact"/>
        <w:rPr>
          <w:sz w:val="20"/>
          <w:szCs w:val="20"/>
          <w:color w:val="auto"/>
        </w:rPr>
      </w:pPr>
    </w:p>
    <w:p>
      <w:pPr>
        <w:jc w:val="both"/>
        <w:ind w:left="60" w:right="59" w:firstLine="324"/>
        <w:spacing w:after="0" w:line="289" w:lineRule="auto"/>
        <w:rPr>
          <w:sz w:val="20"/>
          <w:szCs w:val="20"/>
          <w:color w:val="auto"/>
        </w:rPr>
      </w:pPr>
      <w:r>
        <w:rPr>
          <w:rFonts w:ascii="Times New Roman" w:cs="Times New Roman" w:eastAsia="Times New Roman" w:hAnsi="Times New Roman"/>
          <w:sz w:val="17"/>
          <w:szCs w:val="17"/>
          <w:color w:val="auto"/>
        </w:rPr>
        <w:t>As of December 31, 2023, the weighted average remaining lease terms of our operating and financing leases were approximately 19 years and 10 years, respectively. The weighted average discount rates used to determine the lease liabilities as of December 31, 2023 for our operating and financing leases were approximately 3.4% and 4.2%, respectively.</w:t>
      </w:r>
    </w:p>
    <w:p>
      <w:pPr>
        <w:spacing w:after="0" w:line="181" w:lineRule="exact"/>
        <w:rPr>
          <w:sz w:val="20"/>
          <w:szCs w:val="20"/>
          <w:color w:val="auto"/>
        </w:rPr>
      </w:pPr>
    </w:p>
    <w:p>
      <w:pPr>
        <w:ind w:left="360" w:hanging="310"/>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income tax expense consisted of the following for the year ended December 31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2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38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0"/>
        </w:trPr>
        <w:tc>
          <w:tcPr>
            <w:tcW w:w="3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U.S. federal statutory income tax rate is reconciled to the effective income tax rate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Taxing authority audit settlements and other tax 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equity-based compensation transactions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Tax impact of impairments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differential on foreign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Borders>
              <w:bottom w:val="single" w:sz="8" w:color="CCEEFF"/>
            </w:tcBorders>
          </w:tcPr>
          <w:p>
            <w:pPr>
              <w:spacing w:after="0"/>
              <w:rPr>
                <w:sz w:val="18"/>
                <w:szCs w:val="18"/>
                <w:color w:val="auto"/>
              </w:rPr>
            </w:pPr>
          </w:p>
        </w:tc>
      </w:tr>
      <w:tr>
        <w:trPr>
          <w:trHeight w:val="210"/>
        </w:trPr>
        <w:tc>
          <w:tcPr>
            <w:tcW w:w="5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21" w:lineRule="exact"/>
        <w:rPr>
          <w:sz w:val="20"/>
          <w:szCs w:val="20"/>
          <w:color w:val="auto"/>
        </w:rPr>
      </w:pPr>
      <w:r>
        <w:rPr>
          <w:rFonts w:ascii="Times New Roman" w:cs="Times New Roman" w:eastAsia="Times New Roman" w:hAnsi="Times New Roman"/>
          <w:sz w:val="18"/>
          <w:szCs w:val="18"/>
          <w:color w:val="auto"/>
        </w:rPr>
        <w:t>The comparability of our income tax expense for the reported periods has been primarily affected by (i) federal tax credits; (ii) the tax implications of impairments; (iii) an unfavorable increase in permanent differences between taxable income and accounting income associated with our treatment of landfill closure and post-closure costs; (iv) variations in our income before income taxes; (v) the realization of state net operating losses and credits; (vi) excess tax benefits associated with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transactions and (vii) tax audit settlements.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financial reporting purposes, income before income taxes by source for the year ended December 31 was as follows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Qualifying for Federal Tax Credits — </w:t>
      </w:r>
      <w:r>
        <w:rPr>
          <w:rFonts w:ascii="Times New Roman" w:cs="Times New Roman" w:eastAsia="Times New Roman" w:hAnsi="Times New Roman"/>
          <w:sz w:val="18"/>
          <w:szCs w:val="18"/>
          <w:color w:val="auto"/>
        </w:rPr>
        <w:t>We have significant financial interests in entities established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and manage low-income housing properties. In October 2023, we acquired an additional noncontrolling interest in a limited liability company established to invest in and manage low-income housing properties. Total consideration for this investment is expected to be $260 million, comprised of a $183 million note payable, an initial cash payment of $20 million and $57 million of interest payments expected to be paid over the life of the investment. At the time of the investment, we increased our investments in unconsolidated entities in our Consolidated Balance Sheet by $203 million, representing the principal balance of the note and the initial cash payment. We support the operations of these entities in exchange for a pro-rata share of the tax credits they generate. The low-income housing investments qualify for federal tax credits that we expect to realize through 2035 under Section 42 or Section 45D of the Internal Revenue Code.</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 During the years ended December 31, 2023, 2022 and 2021, we recognized net losses of $66 million, $65 million and $51 million, respectively, and a reduction in our income tax expense of $108 million, $99 million and $74 million, respectively, primarily due to federal tax credits realized from these investments as well as the tax benefits from the pre-tax losses realized. In addition, during the years ended December 31, 2023, 2022 and 2021, we recognized interest expense of $15 million, $14 million and $9 million, respectively, associated with our investments in low-income housing properties. See Note 18 for additional information related to these unconsolidated variable interest entities.</w:t>
      </w:r>
    </w:p>
    <w:p>
      <w:pPr>
        <w:spacing w:after="0" w:line="18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Implications of Impairments </w:t>
      </w:r>
      <w:r>
        <w:rPr>
          <w:rFonts w:ascii="Times New Roman" w:cs="Times New Roman" w:eastAsia="Times New Roman" w:hAnsi="Times New Roman"/>
          <w:sz w:val="18"/>
          <w:szCs w:val="18"/>
          <w:color w:val="auto"/>
        </w:rPr>
        <w:t>— The non-cash impairment charges recognized during 2023 are not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deductible for tax purposes. The impact of these non-deductible charges and the resulting difference between book and taxable income is an increase in income tax expense of $50 million. The non-cash impairment charges recognized during 2022 and 2021 were deductible for tax purposes. See Note 11 for more information related to our impairment charges.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Permanent Differences </w:t>
      </w:r>
      <w:r>
        <w:rPr>
          <w:rFonts w:ascii="Times New Roman" w:cs="Times New Roman" w:eastAsia="Times New Roman" w:hAnsi="Times New Roman"/>
          <w:sz w:val="18"/>
          <w:szCs w:val="18"/>
          <w:color w:val="auto"/>
        </w:rPr>
        <w:t>—During 2023, 2022 and 2021 we recognized additional income tax expense of $34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million and $2 million, respectively, related to permanent differences between taxable income and accounting income. This increase is largely due to an increase in taxable interest income associated with the Company’s election to deduct landfill closure and post-closure costs for income tax purposes when incurred and accrued. The increase in taxable interest income is due to the increase in the applicable federal rate published by the IRS.</w:t>
      </w:r>
    </w:p>
    <w:p>
      <w:pPr>
        <w:spacing w:after="0" w:line="18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State Net Operating Losses and Credits </w:t>
      </w:r>
      <w:r>
        <w:rPr>
          <w:rFonts w:ascii="Times New Roman" w:cs="Times New Roman" w:eastAsia="Times New Roman" w:hAnsi="Times New Roman"/>
          <w:sz w:val="18"/>
          <w:szCs w:val="18"/>
          <w:color w:val="auto"/>
        </w:rPr>
        <w:t>— During 2023, 2022 and 2021, we recognized state net operating losses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resulting in a reduction in our income tax expense of $20 million, $8 million and $15 million, respectively.</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During 2023, 2022 and 2021, we recognized a reduction in our income tax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million, $17 million and $18 million, respectively, for excess tax benefits related to the vesting or exercise of equity-based compensation awards.</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Audit Settlements — </w:t>
      </w:r>
      <w:r>
        <w:rPr>
          <w:rFonts w:ascii="Times New Roman" w:cs="Times New Roman" w:eastAsia="Times New Roman" w:hAnsi="Times New Roman"/>
          <w:sz w:val="18"/>
          <w:szCs w:val="18"/>
          <w:color w:val="auto"/>
        </w:rPr>
        <w:t>We file income tax returns in the U.S. and Canada, as well as other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We are currently under audit by various taxing authorities, as discussed below, and our audits are in various stages of completion. During the reported periods, we settled various tax audits which resulted in a reduction in our income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expense of $5 million, $6 million and $13 million for the years ended December 31, 2023, 2022 and 2021, respectively.</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2023 and 2022, the IRS deposit, net of reserve for uncertain tax positions, was classified as a component of other long-term assets in the Company’s Consolidated Balance Sheets.</w:t>
      </w:r>
    </w:p>
    <w:p>
      <w:pPr>
        <w:spacing w:after="0" w:line="19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in the examination phase of IRS audits for the 2022 and 2023 tax years and expect the audits to be completed within the next 18 months. We are also currently undergoing audits by various state and local jurisdictions for tax years that date back to 2014.</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net deferred tax liabilities as of December 31 are as follows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capital loss and tax credit carry-forwards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and other reserves, net</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had $2 million of federal net operating loss carry-forwards with expiration dates through 2026 and $2.3 billion of state net operating loss carry-forwards with expiration dates through 2043. We also had $8 million of federal capital loss carry-forwards with expiration dates through 2025, $39 million of foreign tax credit carry-forwards with expiration dates through 2033 and $9 million of state tax credit carry-forwards with expiration dates through 2039.</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Liabilities for Uncertain Tax Positions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including accrued interest, is as follows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These liabilities are included as a component of other long-term liabilities or as an offset to other long-term assets in our Consolidated Balance Sheets because the Company does not anticipate that settlement of the liabilities will require payment of cash within the next 12 months. As of December 31, 2023, we had $54 million of net unrecognized tax benefits that, if recognized in future periods, would impact our effective income tax rate.</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recognize interest expense related to unrecognized tax benefits in our income tax expense, which was not material for the reported periods. We did not have any material accrued liabilities or expense for penalties related to unrecognized tax benefits for the reported periods.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2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 </w:t>
      </w:r>
      <w:r>
        <w:rPr>
          <w:rFonts w:ascii="Times New Roman" w:cs="Times New Roman" w:eastAsia="Times New Roman" w:hAnsi="Times New Roman"/>
          <w:sz w:val="18"/>
          <w:szCs w:val="18"/>
          <w:color w:val="auto"/>
        </w:rPr>
        <w:t>Waste Management sponsors a 401(k) retirement savings plan that covers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401(k)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Non-union employees are automatically enrolled in the plan at a 3% contribution rate upon eligibility.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$118 million, $112 million and $104 million for the years ended December 31, 2023, 2022 and 2021, respectively.</w:t>
      </w:r>
    </w:p>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Defined Benefit Plans (other than multiemployer defined benefit pension plans discussed below) — </w:t>
      </w:r>
      <w:r>
        <w:rPr>
          <w:rFonts w:ascii="Times New Roman" w:cs="Times New Roman" w:eastAsia="Times New Roman" w:hAnsi="Times New Roman"/>
          <w:sz w:val="18"/>
          <w:szCs w:val="18"/>
          <w:color w:val="auto"/>
        </w:rPr>
        <w:t>WM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 a defined benefit plan for certain employees who are subject to collective bargaining agreements that provide for participation in this plan. Further, certain of our Canadian subsidiaries sponsor defined benefit plans that are frozen to new participants. As of December 31, 2023, the combined benefit obligation of these pension plans was $119 million supported by $118 million of combined plan assets, resulting in an aggregate unfunded benefit obligation for these plans of $1 million. As of December 31, 2022, the combined benefit obligation of these pension plans was $117 million supported by $113 million of combined plan assets, resulting in an aggregate unfunded benefit obligation for these plans of $4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$7 million and $8 million as of December 31, 2023 and 2022, respectively.</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assets and accrued benefit liabilities for our defined benefit pension and other post-retirement plans are included as components of long-term other assets, accrued liabilities and long-term other liabilities in our Consolidated Balance Sheets.</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We are a participating employer in a number of trustee-managed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(dollars in millions):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 Date</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Pension Protection Act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of Collective</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EIN/Pension Plan</w:t>
            </w: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Reported Status(a)</w:t>
            </w:r>
          </w:p>
        </w:tc>
        <w:tc>
          <w:tcPr>
            <w:tcW w:w="900" w:type="dxa"/>
            <w:vAlign w:val="bottom"/>
            <w:gridSpan w:val="3"/>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FIP/RP</w:t>
            </w:r>
          </w:p>
        </w:tc>
        <w:tc>
          <w:tcPr>
            <w:tcW w:w="420" w:type="dxa"/>
            <w:vAlign w:val="bottom"/>
          </w:tcPr>
          <w:p>
            <w:pPr>
              <w:spacing w:after="0"/>
              <w:rPr>
                <w:sz w:val="13"/>
                <w:szCs w:val="13"/>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Contributions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Bargaining</w:t>
            </w:r>
          </w:p>
        </w:tc>
        <w:tc>
          <w:tcPr>
            <w:tcW w:w="0" w:type="dxa"/>
            <w:vAlign w:val="bottom"/>
          </w:tcPr>
          <w:p>
            <w:pPr>
              <w:spacing w:after="0"/>
              <w:rPr>
                <w:sz w:val="1"/>
                <w:szCs w:val="1"/>
                <w:color w:val="auto"/>
              </w:rPr>
            </w:pPr>
          </w:p>
        </w:tc>
      </w:tr>
      <w:tr>
        <w:trPr>
          <w:trHeight w:val="128"/>
        </w:trPr>
        <w:tc>
          <w:tcPr>
            <w:tcW w:w="26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Pension Fund</w:t>
            </w:r>
          </w:p>
        </w:tc>
        <w:tc>
          <w:tcPr>
            <w:tcW w:w="110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6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Status(b)(c)</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78"/>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Agreement(s)</w:t>
            </w:r>
          </w:p>
        </w:tc>
        <w:tc>
          <w:tcPr>
            <w:tcW w:w="0" w:type="dxa"/>
            <w:vAlign w:val="bottom"/>
          </w:tcPr>
          <w:p>
            <w:pPr>
              <w:spacing w:after="0"/>
              <w:rPr>
                <w:sz w:val="1"/>
                <w:szCs w:val="1"/>
                <w:color w:val="auto"/>
              </w:rPr>
            </w:pPr>
          </w:p>
        </w:tc>
      </w:tr>
      <w:tr>
        <w:trPr>
          <w:trHeight w:val="110"/>
        </w:trPr>
        <w:tc>
          <w:tcPr>
            <w:tcW w:w="2500" w:type="dxa"/>
            <w:vAlign w:val="bottom"/>
            <w:tcBorders>
              <w:top w:val="single" w:sz="8" w:color="auto"/>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EIN: 94-1133245;</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Implemented</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6/30/2025</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 Number: 001</w:t>
            </w:r>
          </w:p>
        </w:tc>
        <w:tc>
          <w:tcPr>
            <w:tcW w:w="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7"/>
              </w:rPr>
              <w:t>Declining</w:t>
            </w: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7"/>
              </w:rPr>
              <w:t>Declining</w:t>
            </w: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Midwest Operating Engineers Pension Trust</w:t>
            </w:r>
          </w:p>
        </w:tc>
        <w:tc>
          <w:tcPr>
            <w:tcW w:w="11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EIN: 36-6140097;</w:t>
            </w:r>
          </w:p>
        </w:tc>
        <w:tc>
          <w:tcPr>
            <w:tcW w:w="7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74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900" w:type="dxa"/>
            <w:vAlign w:val="bottom"/>
            <w:gridSpan w:val="3"/>
          </w:tcPr>
          <w:p>
            <w:pPr>
              <w:jc w:val="center"/>
              <w:ind w:right="188"/>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Various dates</w:t>
            </w:r>
          </w:p>
        </w:tc>
        <w:tc>
          <w:tcPr>
            <w:tcW w:w="0" w:type="dxa"/>
            <w:vAlign w:val="bottom"/>
          </w:tcPr>
          <w:p>
            <w:pPr>
              <w:spacing w:after="0"/>
              <w:rPr>
                <w:sz w:val="1"/>
                <w:szCs w:val="1"/>
                <w:color w:val="auto"/>
              </w:rPr>
            </w:pPr>
          </w:p>
        </w:tc>
      </w:tr>
      <w:tr>
        <w:trPr>
          <w:trHeight w:val="140"/>
        </w:trPr>
        <w:tc>
          <w:tcPr>
            <w:tcW w:w="2640" w:type="dxa"/>
            <w:vAlign w:val="bottom"/>
            <w:gridSpan w:val="3"/>
          </w:tcPr>
          <w:p>
            <w:pPr>
              <w:ind w:left="140"/>
              <w:spacing w:after="0" w:line="140" w:lineRule="exact"/>
              <w:rPr>
                <w:sz w:val="20"/>
                <w:szCs w:val="20"/>
                <w:color w:val="auto"/>
              </w:rPr>
            </w:pPr>
            <w:r>
              <w:rPr>
                <w:rFonts w:ascii="Times New Roman" w:cs="Times New Roman" w:eastAsia="Times New Roman" w:hAnsi="Times New Roman"/>
                <w:sz w:val="13"/>
                <w:szCs w:val="13"/>
                <w:color w:val="auto"/>
              </w:rPr>
              <w:t>Fund</w:t>
            </w:r>
          </w:p>
        </w:tc>
        <w:tc>
          <w:tcPr>
            <w:tcW w:w="11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Plan Number: 001</w:t>
            </w:r>
          </w:p>
        </w:tc>
        <w:tc>
          <w:tcPr>
            <w:tcW w:w="7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3"/>
                <w:szCs w:val="13"/>
                <w:color w:val="auto"/>
                <w:w w:val="96"/>
              </w:rPr>
              <w:t>Endangered</w:t>
            </w:r>
          </w:p>
        </w:tc>
        <w:tc>
          <w:tcPr>
            <w:tcW w:w="74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3"/>
                <w:szCs w:val="13"/>
                <w:color w:val="auto"/>
                <w:w w:val="96"/>
              </w:rPr>
              <w:t>Endangered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or Critical</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9/30/2026</w:t>
            </w:r>
          </w:p>
        </w:tc>
        <w:tc>
          <w:tcPr>
            <w:tcW w:w="0" w:type="dxa"/>
            <w:vAlign w:val="bottom"/>
          </w:tcPr>
          <w:p>
            <w:pPr>
              <w:spacing w:after="0"/>
              <w:rPr>
                <w:sz w:val="1"/>
                <w:szCs w:val="1"/>
                <w:color w:val="auto"/>
              </w:rPr>
            </w:pPr>
          </w:p>
        </w:tc>
      </w:tr>
      <w:tr>
        <w:trPr>
          <w:trHeight w:val="130"/>
        </w:trPr>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color w:val="auto"/>
                <w:w w:val="96"/>
              </w:rPr>
              <w:t>as of</w:t>
            </w: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color w:val="auto"/>
                <w:w w:val="96"/>
              </w:rPr>
              <w:t>as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3/31/2023</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3/31/2022</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Suburban Teamsters of Northern Illinois Pension</w:t>
            </w:r>
          </w:p>
        </w:tc>
        <w:tc>
          <w:tcPr>
            <w:tcW w:w="11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EIN: 36-6155778;</w:t>
            </w:r>
          </w:p>
        </w:tc>
        <w:tc>
          <w:tcPr>
            <w:tcW w:w="760" w:type="dxa"/>
            <w:vAlign w:val="bottom"/>
            <w:gridSpan w:val="2"/>
            <w:shd w:val="clear" w:color="auto" w:fill="CCEEFF"/>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740" w:type="dxa"/>
            <w:vAlign w:val="bottom"/>
            <w:gridSpan w:val="2"/>
            <w:shd w:val="clear" w:color="auto" w:fill="CCEEFF"/>
          </w:tcPr>
          <w:p>
            <w:pPr>
              <w:jc w:val="center"/>
              <w:ind w:right="16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900" w:type="dxa"/>
            <w:vAlign w:val="bottom"/>
            <w:gridSpan w:val="3"/>
            <w:shd w:val="clear" w:color="auto" w:fill="CCEEFF"/>
          </w:tcPr>
          <w:p>
            <w:pPr>
              <w:jc w:val="center"/>
              <w:ind w:right="188"/>
              <w:spacing w:after="0" w:line="117" w:lineRule="exact"/>
              <w:rPr>
                <w:sz w:val="20"/>
                <w:szCs w:val="20"/>
                <w:color w:val="auto"/>
              </w:rPr>
            </w:pPr>
            <w:r>
              <w:rPr>
                <w:rFonts w:ascii="Times New Roman" w:cs="Times New Roman" w:eastAsia="Times New Roman" w:hAnsi="Times New Roman"/>
                <w:sz w:val="13"/>
                <w:szCs w:val="13"/>
                <w:color w:val="auto"/>
                <w:w w:val="96"/>
              </w:rPr>
              <w:t>Implemented</w:t>
            </w:r>
          </w:p>
        </w:tc>
        <w:tc>
          <w:tcPr>
            <w:tcW w:w="4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Various dates</w:t>
            </w:r>
          </w:p>
        </w:tc>
        <w:tc>
          <w:tcPr>
            <w:tcW w:w="0" w:type="dxa"/>
            <w:vAlign w:val="bottom"/>
          </w:tcPr>
          <w:p>
            <w:pPr>
              <w:spacing w:after="0"/>
              <w:rPr>
                <w:sz w:val="1"/>
                <w:szCs w:val="1"/>
                <w:color w:val="auto"/>
              </w:rPr>
            </w:pPr>
          </w:p>
        </w:tc>
      </w:tr>
      <w:tr>
        <w:trPr>
          <w:trHeight w:val="140"/>
        </w:trPr>
        <w:tc>
          <w:tcPr>
            <w:tcW w:w="2640" w:type="dxa"/>
            <w:vAlign w:val="bottom"/>
            <w:gridSpan w:val="3"/>
            <w:shd w:val="clear" w:color="auto" w:fill="CCEEFF"/>
          </w:tcPr>
          <w:p>
            <w:pPr>
              <w:ind w:left="140"/>
              <w:spacing w:after="0" w:line="140" w:lineRule="exact"/>
              <w:rPr>
                <w:sz w:val="20"/>
                <w:szCs w:val="20"/>
                <w:color w:val="auto"/>
              </w:rPr>
            </w:pPr>
            <w:r>
              <w:rPr>
                <w:rFonts w:ascii="Times New Roman" w:cs="Times New Roman" w:eastAsia="Times New Roman" w:hAnsi="Times New Roman"/>
                <w:sz w:val="13"/>
                <w:szCs w:val="13"/>
                <w:color w:val="auto"/>
              </w:rPr>
              <w:t>Plan (d)</w:t>
            </w:r>
          </w:p>
        </w:tc>
        <w:tc>
          <w:tcPr>
            <w:tcW w:w="1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Plan Number: 001</w:t>
            </w:r>
          </w:p>
        </w:tc>
        <w:tc>
          <w:tcPr>
            <w:tcW w:w="760" w:type="dxa"/>
            <w:vAlign w:val="bottom"/>
            <w:gridSpan w:val="2"/>
            <w:shd w:val="clear" w:color="auto" w:fill="CCEEFF"/>
          </w:tcPr>
          <w:p>
            <w:pPr>
              <w:jc w:val="center"/>
              <w:ind w:right="120"/>
              <w:spacing w:after="0" w:line="140" w:lineRule="exact"/>
              <w:rPr>
                <w:sz w:val="20"/>
                <w:szCs w:val="20"/>
                <w:color w:val="auto"/>
              </w:rPr>
            </w:pPr>
            <w:r>
              <w:rPr>
                <w:rFonts w:ascii="Times New Roman" w:cs="Times New Roman" w:eastAsia="Times New Roman" w:hAnsi="Times New Roman"/>
                <w:sz w:val="13"/>
                <w:szCs w:val="13"/>
                <w:color w:val="auto"/>
                <w:w w:val="96"/>
              </w:rPr>
              <w:t>Endangered</w:t>
            </w:r>
          </w:p>
        </w:tc>
        <w:tc>
          <w:tcPr>
            <w:tcW w:w="740" w:type="dxa"/>
            <w:vAlign w:val="bottom"/>
            <w:gridSpan w:val="2"/>
            <w:shd w:val="clear" w:color="auto" w:fill="CCEEFF"/>
          </w:tcPr>
          <w:p>
            <w:pPr>
              <w:jc w:val="center"/>
              <w:ind w:right="140"/>
              <w:spacing w:after="0" w:line="140" w:lineRule="exact"/>
              <w:rPr>
                <w:sz w:val="20"/>
                <w:szCs w:val="20"/>
                <w:color w:val="auto"/>
              </w:rPr>
            </w:pPr>
            <w:r>
              <w:rPr>
                <w:rFonts w:ascii="Times New Roman" w:cs="Times New Roman" w:eastAsia="Times New Roman" w:hAnsi="Times New Roman"/>
                <w:sz w:val="13"/>
                <w:szCs w:val="13"/>
                <w:color w:val="auto"/>
                <w:w w:val="96"/>
              </w:rPr>
              <w:t>Endangered</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or Critical</w:t>
            </w:r>
          </w:p>
        </w:tc>
        <w:tc>
          <w:tcPr>
            <w:tcW w:w="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7"/>
              </w:rPr>
              <w:t>or Critical</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4"/>
              </w:rPr>
              <w:t>3/31/2028</w:t>
            </w:r>
          </w:p>
        </w:tc>
        <w:tc>
          <w:tcPr>
            <w:tcW w:w="0" w:type="dxa"/>
            <w:vAlign w:val="bottom"/>
          </w:tcPr>
          <w:p>
            <w:pPr>
              <w:spacing w:after="0"/>
              <w:rPr>
                <w:sz w:val="1"/>
                <w:szCs w:val="1"/>
                <w:color w:val="auto"/>
              </w:rPr>
            </w:pPr>
          </w:p>
        </w:tc>
      </w:tr>
      <w:tr>
        <w:trPr>
          <w:trHeight w:val="117"/>
        </w:trPr>
        <w:tc>
          <w:tcPr>
            <w:tcW w:w="264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Western Conference of Teamsters Pension Plan</w:t>
            </w:r>
          </w:p>
        </w:tc>
        <w:tc>
          <w:tcPr>
            <w:tcW w:w="11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EIN: 91-6145047;</w:t>
            </w:r>
          </w:p>
        </w:tc>
        <w:tc>
          <w:tcPr>
            <w:tcW w:w="7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74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900" w:type="dxa"/>
            <w:vAlign w:val="bottom"/>
            <w:gridSpan w:val="3"/>
          </w:tcPr>
          <w:p>
            <w:pPr>
              <w:jc w:val="center"/>
              <w:ind w:right="188"/>
              <w:spacing w:after="0" w:line="117" w:lineRule="exact"/>
              <w:rPr>
                <w:sz w:val="20"/>
                <w:szCs w:val="20"/>
                <w:color w:val="auto"/>
              </w:rPr>
            </w:pPr>
            <w:r>
              <w:rPr>
                <w:rFonts w:ascii="Times New Roman" w:cs="Times New Roman" w:eastAsia="Times New Roman" w:hAnsi="Times New Roman"/>
                <w:sz w:val="13"/>
                <w:szCs w:val="13"/>
                <w:color w:val="auto"/>
                <w:w w:val="92"/>
              </w:rPr>
              <w:t>Not</w:t>
            </w:r>
          </w:p>
        </w:tc>
        <w:tc>
          <w:tcPr>
            <w:tcW w:w="4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0"/>
                <w:szCs w:val="10"/>
                <w:color w:val="auto"/>
              </w:rPr>
            </w:pPr>
          </w:p>
        </w:tc>
        <w:tc>
          <w:tcPr>
            <w:tcW w:w="88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Various dates</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Plan Number: 001</w:t>
            </w:r>
          </w:p>
        </w:tc>
        <w:tc>
          <w:tcPr>
            <w:tcW w:w="7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3"/>
                <w:szCs w:val="13"/>
                <w:color w:val="auto"/>
                <w:w w:val="96"/>
              </w:rPr>
              <w:t>Endangered</w:t>
            </w:r>
          </w:p>
        </w:tc>
        <w:tc>
          <w:tcPr>
            <w:tcW w:w="74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3"/>
                <w:szCs w:val="13"/>
                <w:color w:val="auto"/>
                <w:w w:val="96"/>
              </w:rPr>
              <w:t>Endangered</w:t>
            </w:r>
          </w:p>
        </w:tc>
        <w:tc>
          <w:tcPr>
            <w:tcW w:w="900" w:type="dxa"/>
            <w:vAlign w:val="bottom"/>
            <w:gridSpan w:val="3"/>
          </w:tcPr>
          <w:p>
            <w:pPr>
              <w:jc w:val="center"/>
              <w:ind w:right="188"/>
              <w:spacing w:after="0" w:line="140" w:lineRule="exact"/>
              <w:rPr>
                <w:sz w:val="20"/>
                <w:szCs w:val="20"/>
                <w:color w:val="auto"/>
              </w:rPr>
            </w:pPr>
            <w:r>
              <w:rPr>
                <w:rFonts w:ascii="Times New Roman" w:cs="Times New Roman" w:eastAsia="Times New Roman" w:hAnsi="Times New Roman"/>
                <w:sz w:val="13"/>
                <w:szCs w:val="13"/>
                <w:color w:val="auto"/>
                <w:w w:val="94"/>
              </w:rPr>
              <w:t>Applicable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through</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or Critical</w:t>
            </w:r>
          </w:p>
        </w:tc>
        <w:tc>
          <w:tcPr>
            <w:tcW w:w="7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or Critical</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CCEEFF"/>
            </w:tcBorders>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7/13/2028</w:t>
            </w: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4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Contributions to other Multiemployer Pension</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9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40" w:type="dxa"/>
            <w:vAlign w:val="bottom"/>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Total contributions to Multiemployer Pension</w:t>
            </w: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gridSpan w:val="3"/>
            <w:shd w:val="clear" w:color="auto" w:fill="CCEEFF"/>
          </w:tcPr>
          <w:p>
            <w:pPr>
              <w:ind w:left="140"/>
              <w:spacing w:after="0" w:line="140" w:lineRule="exact"/>
              <w:rPr>
                <w:sz w:val="20"/>
                <w:szCs w:val="20"/>
                <w:color w:val="auto"/>
              </w:rPr>
            </w:pPr>
            <w:r>
              <w:rPr>
                <w:rFonts w:ascii="Times New Roman" w:cs="Times New Roman" w:eastAsia="Times New Roman" w:hAnsi="Times New Roman"/>
                <w:sz w:val="13"/>
                <w:szCs w:val="13"/>
                <w:color w:val="auto"/>
              </w:rPr>
              <w:t>Plans (e)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5"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in the table above, the most recent Pension Protection Act zone status available in 2023 and 2022 is for the plan’s year-end as of December 31, 2022 and 2021,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80"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“FIP/RP Status” column indicates plans for which a Funding Improvement Plan (“FIP”) or a Rehabilitation Plan (“RP”) has been implemented.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380" w:right="79" w:hanging="330"/>
        <w:spacing w:after="0" w:line="266"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Multiemployer Pension Plans considered to be individually significant, the Company was listed in the Form 5500 of the Suburban Teamsters of Northern Illinois Pension Plan as providing more than 5% of the total contributions for plan years ending December 31, 2023 and 2022.</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contributions to Multiemployer Pension Plans exclude contributions related to withdrawal liabilities, if any.</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Refer to Note 10 for additional information related to our obligations to Multiemployer Pension Plans.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Multiemployer Plan Benefits Other Than Pensions — </w:t>
      </w:r>
      <w:r>
        <w:rPr>
          <w:rFonts w:ascii="Times New Roman" w:cs="Times New Roman" w:eastAsia="Times New Roman" w:hAnsi="Times New Roman"/>
          <w:sz w:val="18"/>
          <w:szCs w:val="18"/>
          <w:color w:val="auto"/>
        </w:rPr>
        <w:t>During the years ended December 31, 2023, 2022 and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made contributions of $56 million, $49 million and $51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6.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w:t>
      </w:r>
    </w:p>
    <w:p>
      <w:pPr>
        <w:sectPr>
          <w:pgSz w:w="11900" w:h="16838" w:orient="portrait"/>
          <w:cols w:equalWidth="0" w:num="1">
            <w:col w:w="9019"/>
          </w:cols>
          <w:pgMar w:left="1440" w:top="607"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 Our receivable balance associated with insurance claims was $127 million and $142 million as of December 31, 2023 and 2022 respectively. The changes to our insurance reserves for the year ended December 31 are summarized below (in millions):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2023(a)</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Self-insurance expense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and other</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9"/>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197"/>
        </w:trPr>
        <w:tc>
          <w:tcPr>
            <w:tcW w:w="506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Current portion as of December 31</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portion as of December 31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380" w:right="79" w:hanging="330"/>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current estimates, we anticipate that most of our insurance reserves will be settled in cash over the next six years.</w:t>
      </w:r>
    </w:p>
    <w:p>
      <w:pPr>
        <w:spacing w:after="0" w:line="5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Unconditional Purchase Obligations </w:t>
      </w:r>
      <w:r>
        <w:rPr>
          <w:rFonts w:ascii="Times New Roman" w:cs="Times New Roman" w:eastAsia="Times New Roman" w:hAnsi="Times New Roman"/>
          <w:sz w:val="18"/>
          <w:szCs w:val="18"/>
          <w:color w:val="auto"/>
        </w:rPr>
        <w:t>— Our unconditional purchase obligations are generally established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course of our business and are structured in a manner that provides us with access to important resources at competitive, market-driven rates and consist primarily of the following:</w:t>
      </w:r>
    </w:p>
    <w:p>
      <w:pPr>
        <w:spacing w:after="0" w:line="65" w:lineRule="exact"/>
        <w:rPr>
          <w:sz w:val="20"/>
          <w:szCs w:val="20"/>
          <w:color w:val="auto"/>
        </w:rPr>
      </w:pPr>
    </w:p>
    <w:p>
      <w:pPr>
        <w:jc w:val="both"/>
        <w:ind w:left="720" w:right="79" w:hanging="319"/>
        <w:spacing w:after="0" w:line="258"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Disposal — </w:t>
      </w:r>
      <w:r>
        <w:rPr>
          <w:rFonts w:ascii="Times New Roman" w:cs="Times New Roman" w:eastAsia="Times New Roman" w:hAnsi="Times New Roman"/>
          <w:sz w:val="18"/>
          <w:szCs w:val="18"/>
          <w:color w:val="auto"/>
        </w:rPr>
        <w:t>We have several agreements expiring at various dates through 2052 that require us to dispose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We are party to certain multi-year service agreements, including various contracts to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 Renewable Energy segment, such as interconnection agreements, expiring at various dates through 2044 requiring minimum annual payments.</w:t>
      </w:r>
    </w:p>
    <w:p>
      <w:pPr>
        <w:spacing w:after="0" w:line="6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our estimated minimum obligations associated with unconditional purchase obligations were $173 million in 2024, $164 million in 2025, $133 million in 2026, $51 million in 2027, $44 million in 2028 and $470 million thereafter. We may also establish unconditional purchase obligations in conjunction with acquisitions or divestitures. Our future minimum obligations under these outstanding purchase agreements are generally quantity driven and, as a result, our associated financial obligations are not fixed as of December 31, 2023. For contracts that require us to purchase minimum quantities of goods or services, we have estimated our future minimum obligations based on the current market values of the underlying products or services or contractually stated amounts. We currently expect the products and services provided by these agreements to continue to meet the needs of our ongoing operations. Therefore, we do not expect these established arrangements to materially impact our future financial condition, results of operations or cash flows.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7" w:lineRule="exact"/>
        <w:rPr>
          <w:sz w:val="20"/>
          <w:szCs w:val="20"/>
          <w:color w:val="auto"/>
        </w:rPr>
      </w:pPr>
    </w:p>
    <w:p>
      <w:pPr>
        <w:jc w:val="both"/>
        <w:ind w:left="720" w:right="79" w:hanging="319"/>
        <w:spacing w:after="0" w:line="257"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 </w:t>
      </w:r>
      <w:r>
        <w:rPr>
          <w:rFonts w:ascii="Times New Roman" w:cs="Times New Roman" w:eastAsia="Times New Roman" w:hAnsi="Times New Roman"/>
          <w:sz w:val="18"/>
          <w:szCs w:val="18"/>
          <w:color w:val="auto"/>
        </w:rPr>
        <w:t>We have various arrangements that require us to make royalty payments to third parties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financing leases and other debt obligations in our Consolidated Balance Sheets as disclosed in Note 6. Additionally, our Collection and Disposal and Corporate and Other businesses earn royalties from our WM Renewable Energy segment related to the</w:t>
      </w:r>
    </w:p>
    <w:p>
      <w:pPr>
        <w:sectPr>
          <w:pgSz w:w="11900" w:h="16838" w:orient="portrait"/>
          <w:cols w:equalWidth="0" w:num="1">
            <w:col w:w="9019"/>
          </w:cols>
          <w:pgMar w:left="1440" w:top="607"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transfer of landfill gas to our WM Renewable Energy segment from our active and closed landfills. All royalties between our WM Renewable Energy segment and Collection and Disposal and Corporate and Other businesses are eliminated in consolidation.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We have entered into the following guarantee agreements associated with our operations:</w:t>
      </w:r>
    </w:p>
    <w:p>
      <w:pPr>
        <w:spacing w:after="0" w:line="119" w:lineRule="exact"/>
        <w:rPr>
          <w:sz w:val="20"/>
          <w:szCs w:val="20"/>
          <w:color w:val="auto"/>
        </w:rPr>
      </w:pPr>
    </w:p>
    <w:p>
      <w:pPr>
        <w:jc w:val="both"/>
        <w:ind w:left="720" w:right="79" w:hanging="319"/>
        <w:spacing w:after="0" w:line="255"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WM Holdings has fully and unconditionally guaranteed all of WMI’s senior indebtedness, including its senior notes which mature through 2050, $3.5 billion revolving credit facility and certain letter of credit lines. WMI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WMI and WM Holdings have guaranteed subsidiary debt obligations, including tax-exempt bonds, financing leases and other indebtedness. If a subsidiary fails to meet its obligations associated with its debt agreements as they come due, WMI or WM Holdings will be required to perform under the related guarantee agreement. No additional liabilities have been recorded for these intercompany guarantees because all of the underlying obligations are reflected in our Consolidated Balance Sheets. See Note 6 for information related to the balances and maturities of these debt obligations.</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2023, we have agreements guaranteeing certain market value losses for certain properties adjacent to or near 19 of our landfills. Any liability associated with the triggering of the home value guarantee has been reflected in our Consolidated Balance Sheets. We do not believe that the remaining contingent obligations will have a material adverse effect on the Company’s business, financial condition, results of operations or cash flows.</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86"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financing leases, as appropriate.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w:t>
      </w:r>
    </w:p>
    <w:p>
      <w:pPr>
        <w:sectPr>
          <w:pgSz w:w="11900" w:h="16838" w:orient="portrait"/>
          <w:cols w:equalWidth="0" w:num="1">
            <w:col w:w="9019"/>
          </w:cols>
          <w:pgMar w:left="1440" w:top="607"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we have been notified by the government that we are a PRP in connection with 73 locations listed on EPA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has serious deficiencies and providing MIMC and IPC time to submit a remedy plan. Due to increases in the estimated costs of the remedy, we recorded an additional $17 million liability for MIMC’s estimated potential share of such costs in 2023. The total recorded liability as of December 31, 2023 and 2022 was $85 million and $68 million, respectively. MIMC’s ultimate liability could be materially different from current estimates, including potential increases resulting from MIMC’s continued engagement with the EPA regarding a final remedial design for the site. Refer to Notes 2 and 11 for additional information regarding the measurement of certain environmental liabilities.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w:t>
      </w:r>
    </w:p>
    <w:p>
      <w:pPr>
        <w:sectPr>
          <w:pgSz w:w="11900" w:h="16838" w:orient="portrait"/>
          <w:cols w:equalWidth="0" w:num="1">
            <w:col w:w="9019"/>
          </w:cols>
          <w:pgMar w:left="1440" w:top="607"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Our motion to dismiss is pending and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a union, or relocation, reduction or discontinuance of certain operations) may also trigger a complete or partial withdrawal from one or more of these pension plans.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December 31, 2023 and 2022, the IRS deposit, net of reserve for uncertain tax positions, was classified as a component of other long-term assets in the Company’s Consolidated Balance Sheets.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Asset Impairments and Unusual Items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(gain) loss from divestitures, asset impairments and unusual items, net for the year ended December 31 (in millions):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divestitures,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60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we recognized $243 million of net charges primarily consisting of (i) a $168 million goodwill impairment charge within our Recycling Processing and Sales segment related to a business engaged in accelerating film and plastic wrap recycling capabilities, with $22 million attributable to noncontrolling interests. This charge was partially offset by the recognition of $46 million of income related to the reversal of a liability for contingent consideration associated with our investment in such business; (ii) $107 million of impairment charges within Corporate and Other for certain investments in waste diversion technology businesses and (iii) a $17 million charge within Corporate and Other to adjust an indirect wholly-owned subsidiary’s estimated potential share of the liability for a proposed environmental remediation plan at a closed site. Refer to Notes 5 and 10 for further information.</w:t>
      </w:r>
    </w:p>
    <w:p>
      <w:pPr>
        <w:spacing w:after="0" w:line="19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recognized $62 million of net charges consisting of (i) $50 million of asset impairment charges primarily related to management’s decision to close two landfills within our East Tier and</w:t>
      </w:r>
    </w:p>
    <w:p>
      <w:pPr>
        <w:jc w:val="both"/>
        <w:ind w:left="60" w:right="59" w:hanging="10"/>
        <w:spacing w:after="0" w:line="253" w:lineRule="auto"/>
        <w:tabs>
          <w:tab w:leader="none" w:pos="3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charge pertaining to reserves for loss contingencies within Corporate and Other to adjust an indirect wholly-owned subsidiary’s estimated potential share of the liability for a proposed environmental remediation plan at a closed site, as discussed in Note 10. These losses were partially offset by a $5 million gain from the divestiture of a collection and disposal business in our West Tier.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December 31, 2021, we recognized net gains of $16 million primarily consisting of</w:t>
      </w:r>
    </w:p>
    <w:p>
      <w:pPr>
        <w:spacing w:after="0" w:line="27" w:lineRule="exact"/>
        <w:rPr>
          <w:sz w:val="20"/>
          <w:szCs w:val="20"/>
          <w:color w:val="auto"/>
        </w:rPr>
      </w:pPr>
    </w:p>
    <w:p>
      <w:pPr>
        <w:jc w:val="both"/>
        <w:ind w:left="60" w:right="59" w:hanging="10"/>
        <w:spacing w:after="0" w:line="253" w:lineRule="auto"/>
        <w:tabs>
          <w:tab w:leader="none" w:pos="28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pre-tax gain from the recognition of cumulative translation adjustments on the divestiture of certain non-strategic Canadian operations in our East Tier and (ii) an $8 million gain from divestitures of certain ancillary operations within our Collection and Disposal businesses. These gains were partially offset by (i) a $20 million charge pertaining to reserves for loss contingencies within Corporate and Other and (ii) $8 million of asset impairment charges primarily related to our WM Renewable Energy segment.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Note 2 for additional information related to the accounting policy and analysis involved in identifying and calculating impairments. See Note 19 for additional information related to the impact of impairments on the results of operations of our reportable segments.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losses for the reported years were primarily related to our noncontrolling interests in entities established to invest in and manage low-income housing properties. We generate tax benefits, including tax credits, from the losses incurred from these investments. The losses are more than offset by the tax benefits generated by these investments as further discussed in Note 8. Refer to Notes 8 and 18 for additional information related to these investments. Refer to </w:t>
      </w:r>
      <w:r>
        <w:rPr>
          <w:rFonts w:ascii="Times New Roman" w:cs="Times New Roman" w:eastAsia="Times New Roman" w:hAnsi="Times New Roman"/>
          <w:sz w:val="18"/>
          <w:szCs w:val="18"/>
          <w:i w:val="1"/>
          <w:iCs w:val="1"/>
          <w:color w:val="auto"/>
        </w:rPr>
        <w:t>(Gain)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Divestitures, Asset Impairments and Unusual Items, Net </w:t>
      </w:r>
      <w:r>
        <w:rPr>
          <w:rFonts w:ascii="Times New Roman" w:cs="Times New Roman" w:eastAsia="Times New Roman" w:hAnsi="Times New Roman"/>
          <w:sz w:val="18"/>
          <w:szCs w:val="18"/>
          <w:color w:val="auto"/>
        </w:rPr>
        <w:t>above for more information on the impairment of an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WMI stockholders’ equity, are as follows (in millions, with amounts in parentheses representing decreases to accumulated other comprehensive income):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8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Securities(a)</w:t>
            </w:r>
          </w:p>
        </w:tc>
        <w:tc>
          <w:tcPr>
            <w:tcW w:w="108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Adjustments(b)</w:t>
            </w:r>
          </w:p>
        </w:tc>
        <w:tc>
          <w:tcPr>
            <w:tcW w:w="12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reclassifications, net of tax expense (benefit) of $0,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$0 and $2,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 of tax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of $3, $0, $0 and $0,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reclassifications, net of tax expense (benefit) of $0, $(8),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$0 and $0,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 of tax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of $1, $0, $0 and $0, respectively</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reclassifications, net of tax expense (benefit) of $5, $(4),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$0 and $2,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net of tax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of $(1), $0, $0 and $0, respectively</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recognized a $23 million unrealized loss, net of a deferred tax benefit of $8 million, associated with our investment in redeemable preferred stock due to the estimated fair value being less than the remaining carrying value.</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divestiture of certain non-strategic Canadian operations in 2021, we reclassified $35 million of cumulative foreign currency translation adjustments from accumulated other comprehensive income to (gain) loss from divestitures, asset impairments and unusual items, net within our Consolidated Statement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Capital Stock, Dividends and Common Stock Repurchase Program</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1.5 billion shares of authorized common stock with a par value of $0.01 per common share. As of December 31, 2023, we had 401.5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limitations. We have 10 million shares of authorized preferred stock, $0.01 par value, none of which is currently outstanding.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quarterly dividends have been declared by our Board of Directors. Cash dividends declared and paid were $1,136 million in 2023, or $2.80 per common share, $1,077 million in 2022, or $2.60 per common share, and $970 million in 2021, or $2.30 per common share.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December 2023, we announced that our Board of Directors expects to increase the quarterly dividend from $0.70 to $0.75 per share for dividends declared in 2024. However, all future dividend declarations are at the discretion of our Board of Directors and depend on various factors, including our net earnings, financial condition, cash required for future business plans, growth and acquisitions and other factors the Board of Directors may deem relevant.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Share repurchases are a part of our long-term strategy and incorporated into our overall capital allocation plan to enhance our Company’s performance, in conjunction with our other uses of capital, and to return value to stockholders in a tax-efficient manner. Share repurchases during the reported periods were completed through accelerated share repurchase (“ASR”) agreements and, to a lesser extent, open market transactions. The terms of these ASR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In the table below, shares repurchased are measured and reported based on the period shares are delivered to us, which can differ from the period cash is delivered to a repurchase agent for the value of such shares. The following is a summary of our share repurchases under our common stock repurchase program for the year ended December 31: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2023(a)</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2022(b)</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2021(c)</w:t>
            </w: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 (in thousands)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146.61</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repurchases (in millions)</w:t>
            </w: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3" w:lineRule="exact"/>
        <w:rPr>
          <w:sz w:val="20"/>
          <w:szCs w:val="20"/>
          <w:color w:val="auto"/>
        </w:rPr>
      </w:pPr>
    </w:p>
    <w:p>
      <w:pPr>
        <w:jc w:val="both"/>
        <w:ind w:left="380" w:right="79" w:hanging="330"/>
        <w:spacing w:after="0" w:line="25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three ASR agreements during 2023 to repurchase $950 million of our common stock and received 6.0 million shares in connection with these ASR agreements. Additionally, in October 2023, we executed an ASR agreement to repurchase $300 million of our common stock. At the beginning of the repurchase period, we delivered $300 million in cash and received 1.5 million shares based on a stock price of $161.38. The ASR agreement completed in February 2024, at which time we received 0.2 million additional shares based on a final weighted average price of $175.29.</w:t>
      </w:r>
    </w:p>
    <w:p>
      <w:pPr>
        <w:spacing w:after="0" w:line="79" w:lineRule="exact"/>
        <w:rPr>
          <w:rFonts w:ascii="Times New Roman" w:cs="Times New Roman" w:eastAsia="Times New Roman" w:hAnsi="Times New Roman"/>
          <w:sz w:val="18"/>
          <w:szCs w:val="18"/>
          <w:color w:val="auto"/>
        </w:rPr>
      </w:pPr>
    </w:p>
    <w:p>
      <w:pPr>
        <w:jc w:val="both"/>
        <w:ind w:left="380" w:right="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repurchased an additional 0.3 million shares of our common stock in open market transactions in compliance with Rule 10b5-1 and Rule 10b-18 of the Securities Exchange Act of 1934 (“Exchange Act”) for $52 million, inclusive of per-share commissions.</w:t>
      </w:r>
    </w:p>
    <w:p>
      <w:pPr>
        <w:spacing w:after="0" w:line="67" w:lineRule="exact"/>
        <w:rPr>
          <w:rFonts w:ascii="Times New Roman" w:cs="Times New Roman" w:eastAsia="Times New Roman" w:hAnsi="Times New Roman"/>
          <w:sz w:val="18"/>
          <w:szCs w:val="18"/>
          <w:color w:val="auto"/>
        </w:rPr>
      </w:pPr>
    </w:p>
    <w:p>
      <w:pPr>
        <w:jc w:val="both"/>
        <w:ind w:left="3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which was enacted into law on August 16, 2022, imposed a nondeductible 1% excise tax on the net value of certain stock repurchases made after December 31, 2022. We reflected the applicable excise tax in treasury stock as part of the cost basis of the stock repurchased. The above discussion of our common stock repurchases in 2023 is excluding the 1% excise tax.</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four ASR agreements during 2022 to repurchase $1.417 billion of our common stock and received 8.8 million shares in connection with these ASR agreements. We also repurchased an additional 0.6 million shares of our common stock in open market transactions in compliance with Rule 10b5-1 and Rule 10b-18 of the</w:t>
      </w:r>
    </w:p>
    <w:p>
      <w:pPr>
        <w:sectPr>
          <w:pgSz w:w="11900" w:h="16838" w:orient="portrait"/>
          <w:cols w:equalWidth="0" w:num="1">
            <w:col w:w="9019"/>
          </w:cols>
          <w:pgMar w:left="1440" w:top="60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380" w:right="79"/>
        <w:spacing w:after="0" w:line="266" w:lineRule="auto"/>
        <w:rPr>
          <w:sz w:val="20"/>
          <w:szCs w:val="20"/>
          <w:color w:val="auto"/>
        </w:rPr>
      </w:pPr>
      <w:r>
        <w:rPr>
          <w:rFonts w:ascii="Times New Roman" w:cs="Times New Roman" w:eastAsia="Times New Roman" w:hAnsi="Times New Roman"/>
          <w:sz w:val="18"/>
          <w:szCs w:val="18"/>
          <w:color w:val="auto"/>
        </w:rPr>
        <w:t>Exchange Act for $83 million, inclusive of per-share commissions. Shares repurchased in 2022 include 0.4 million shares of our common stock for $70 million pursuant to our December 2021 ASR agreement that completed in January 2022.</w:t>
      </w:r>
    </w:p>
    <w:p>
      <w:pPr>
        <w:spacing w:after="0" w:line="68" w:lineRule="exact"/>
        <w:rPr>
          <w:sz w:val="20"/>
          <w:szCs w:val="20"/>
          <w:color w:val="auto"/>
        </w:rPr>
      </w:pPr>
    </w:p>
    <w:p>
      <w:pPr>
        <w:jc w:val="both"/>
        <w:ind w:left="380" w:right="79" w:hanging="330"/>
        <w:spacing w:after="0" w:line="25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and completed three ASR agreements during 2021 to repurchase $1.0 billion of our common stock and received 7.0 million shares in connection with these ASR agreements. Additionally, in December 2021, we executed an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announced in December 2023 that the Board of Directors has authorized up to $1.5 billion in future share repurchases, excluding the 1% excise tax. This new authorization supersedes and replaces remaining authority under the prior Board of Directors’ authorization for share repurchases announced in December 2022. 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Equity-Based Compensation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have purchased shares of our common stock at a price equal to 85% of the lesser of the market value of the stock on the first and last day of the applicable offering period. The ESPP was recently amended, and beginning in 2024, enrolled employees will purchase shares of our common stock at a price equal to 85% of the market value on the last day of the applicable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2023, 2022 and 2021 was approximately 473,000, 455,000 and 513,000, respectively. After the January 2024 issuance of shares associated with the July to December 2023 offering period, 1.8 million shares remain available for issuance under the ESPP.</w:t>
      </w:r>
    </w:p>
    <w:p>
      <w:pPr>
        <w:spacing w:after="0" w:line="19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a result of our ESPP, annual compensation expense increased by $14 million, or $11 million net of tax expense, for 2023, $13 million, or $10 million net of tax expense, for 2022 and $12 million, or $9 million net of tax expense, for 2021.</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May 2023, our stockholders approved our 2023 Stock Incentive Plan (the “2023 Plan”) to replace our 2014 Stock Incentive Plan (the “2014 Plan”). Upon approval of the 2023 Plan, no further awards could be granted under the 2014 Plan. Pursuant to the terms of the 2023 Plan, approximately 15.2 million shares of our common stock that were previously available for issuance pursuant to future grants of awards under the 2014 Plan are now available for issuance under the 2023 Plan, in addition to any shares of our common stock that were subject to outstanding awards under the 2014 Plan that subsequently cease to be subject to such awards as a result of the forfeiture, cancellation or termination. We did not request that our stockholders approve any shares in addition to the shares that roll over from the 2014 Plan for issuance pursuant to the 2023 Plan. As of December 31, 2023, approximately 14.3 million shares were available for future grants under the 2023 Plan. Our equity-based compensation awards described herein have been made pursuant to our 2023 Plan or our 2014 Plan, and certain employees hold vested unexercised stock options granted under our 2009 Stock Incentive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Plan (together with the 2023 Plan and the 2014 Plan, the “Incentive Plans”). We currently utilize treasury shares to meet the needs of our equity-based compensation programs.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2023 Plan, we can issue cash awards, stock options, stock appreciation rights, phantom stock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2023 annual stock incentive plan awards granted to the Company’s senior leadership team, which generally includes the Company’s executive officers, included a combination of PSUs and stock options. Awards granted to other eligible employees under the Incentive Plans included a combination of PSUs, RSUs and stock options in 2023. The Company also periodically grants RSUs to employees working on key initiatives, in connection with new hires and promotions and to field and corporate managers.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 </w:t>
      </w:r>
      <w:r>
        <w:rPr>
          <w:rFonts w:ascii="Times New Roman" w:cs="Times New Roman" w:eastAsia="Times New Roman" w:hAnsi="Times New Roman"/>
          <w:sz w:val="18"/>
          <w:szCs w:val="18"/>
          <w:color w:val="auto"/>
        </w:rPr>
        <w:t>A summary of our RSUs is presented in the table below (units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65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2023</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371</w:t>
            </w:r>
          </w:p>
        </w:tc>
        <w:tc>
          <w:tcPr>
            <w:tcW w:w="380" w:type="dxa"/>
            <w:vAlign w:val="bottom"/>
            <w:tcBorders>
              <w:top w:val="single" w:sz="8" w:color="CCEEFF"/>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total fair market value of RSUs that vested during the years ended December 31, 2023, 2022 and 2021 was $15 million, $15 million and $12 million, respectively. During the year ended December 31, 2023, we issued approximately 69,000 shares of common stock for these vested RSUs, net of approximately 27,000 units deferred or used for payment of associated taxes.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generally subject to pro-rata vesting upon an employee’s involuntary termination other than for cause and generally payout at the end of the three-year vesting period and become immediately vested in the event of an employee’s death or disability.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RSUs is measured based on the grant-date fair value of our common stock and is recognized on a straight-line basis over the required employment period. RSUs generally continue to vest following a qualifying retirement as if the employee had remained employed until the end of the vesting period, and compensation expense for RSUs granted to retirement eligible employees is recognized over the longer of (i) the period between grant date and the date that the recipient becomes retirement-eligible or (ii) the defined service requirement of the award. Compensation expense is only recognized for those awards that we expect to vest, which we estimate based upon an assessment of expected forfeitures.</w:t>
      </w:r>
    </w:p>
    <w:p>
      <w:pPr>
        <w:spacing w:after="0" w:line="187" w:lineRule="exact"/>
        <w:rPr>
          <w:sz w:val="20"/>
          <w:szCs w:val="20"/>
          <w:color w:val="auto"/>
        </w:rPr>
      </w:pPr>
    </w:p>
    <w:p>
      <w:pPr>
        <w:jc w:val="both"/>
        <w:ind w:left="60" w:right="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Share Units — </w:t>
      </w:r>
      <w:r>
        <w:rPr>
          <w:rFonts w:ascii="Times New Roman" w:cs="Times New Roman" w:eastAsia="Times New Roman" w:hAnsi="Times New Roman"/>
          <w:sz w:val="18"/>
          <w:szCs w:val="18"/>
          <w:color w:val="auto"/>
        </w:rPr>
        <w:t>Two types of PSUs are currently outstanding: (i) PSUs for which payout is dependent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shareholder return relative to the S&amp;P 500 Index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the first half of the first quarter of the succeeding year. At the end of the performance period, the number of shares awarded can range from 0% to 200% of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targeted amount, depending on the performance against the pre-established targets. A summary of our PSUs, at 100% of the targeted amount, is presented in the table below (units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96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determination of achievement of performance results and corresponding vesting of PSUs for the three-year performance period ended December 31, 2023 was performed by the Management Development and Compensation Committee of our Board of Directors in February 2024. Accordingly, vesting information for such awards is not included in the table above as of December 31, 2023. The “vested” PSUs are for the three-year performance period ended December 31, 2022, as achievement of performance results and corresponding vesting was determined in January 2023. The performance of the Company’s common stock for purposes of the TSR PSUs exceeded maximum performance criteria, and the Company’s financial results, as measured for purposes of the Cash Flow PSUs, exceeded target performance criteria. Accordingly, recipients of the PSU awards received a payout of 200% of the vested TSR PSUs and 150.21% of the vested Cash Flow PSUs. In February 2023, approximately 489,000 PSUs vested and we issued approximately 322,000 shares of common stock for these vested PSUs, net of units deferred or used for payment of associated taxes. The shares of common stock that were issued or deferred during the years ended December 31, 2023, 2022 and 2021 for prior PSU award grants had a fair market value of $74 million, $91 million and $74 million, respectively.</w:t>
      </w:r>
    </w:p>
    <w:p>
      <w:pPr>
        <w:spacing w:after="0" w:line="200" w:lineRule="exact"/>
        <w:rPr>
          <w:sz w:val="20"/>
          <w:szCs w:val="20"/>
          <w:color w:val="auto"/>
        </w:rPr>
      </w:pPr>
    </w:p>
    <w:p>
      <w:pPr>
        <w:spacing w:after="0" w:line="20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PSUs are generally subject to pro-rata vesting upon an employee’s involuntary termination other than for cause and are subject to forfeiture in the event of voluntary or for-cause termination. PSUs generally continue to vest following a qualifying retirement as if the employee had remained employed until the end of the performance period, and compensation expense for PSUs granted to retirement-eligible employees is accelerated over the period that the recipient becomes retirement-eligible plus a defined service requirement.</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 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Units — </w:t>
      </w:r>
      <w:r>
        <w:rPr>
          <w:rFonts w:ascii="Times New Roman" w:cs="Times New Roman" w:eastAsia="Times New Roman" w:hAnsi="Times New Roman"/>
          <w:sz w:val="18"/>
          <w:szCs w:val="18"/>
          <w:color w:val="auto"/>
        </w:rPr>
        <w:t>Certain employees can elect to defer some or all of the vested RSU or PSU awards for payout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after the employee leaves the Company.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2023, we had approximately 182,000 vested deferred units outstanding.</w:t>
      </w:r>
    </w:p>
    <w:p>
      <w:pPr>
        <w:spacing w:after="0" w:line="18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Options — </w:t>
      </w:r>
      <w:r>
        <w:rPr>
          <w:rFonts w:ascii="Times New Roman" w:cs="Times New Roman" w:eastAsia="Times New Roman" w:hAnsi="Times New Roman"/>
          <w:sz w:val="18"/>
          <w:szCs w:val="18"/>
          <w:color w:val="auto"/>
        </w:rPr>
        <w:t>Stock option awards vest ratably in three annual increments, beginning on the first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The exercise price of the options is the average of the high and low market value of our common stock</w:t>
      </w:r>
    </w:p>
    <w:p>
      <w:pPr>
        <w:sectPr>
          <w:pgSz w:w="11900" w:h="16838" w:orient="portrait"/>
          <w:cols w:equalWidth="0" w:num="1">
            <w:col w:w="9019"/>
          </w:cols>
          <w:pgMar w:left="1440" w:top="60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on the date of grant, and the options have a term of 10 years. A summary of our stock options is presented in the table below (options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(b)</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 (c)</w:t>
            </w: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line="20" w:lineRule="exact"/>
              <w:rPr>
                <w:sz w:val="1"/>
                <w:szCs w:val="1"/>
                <w:color w:val="auto"/>
              </w:rPr>
            </w:pPr>
          </w:p>
        </w:tc>
      </w:tr>
      <w:tr>
        <w:trPr>
          <w:trHeight w:val="197"/>
        </w:trPr>
        <w:tc>
          <w:tcPr>
            <w:tcW w:w="6560" w:type="dxa"/>
            <w:vAlign w:val="bottom"/>
            <w:gridSpan w:val="3"/>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1,819</w:t>
            </w:r>
          </w:p>
        </w:tc>
        <w:tc>
          <w:tcPr>
            <w:tcW w:w="3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83,000 stock options exercised pursuant to a written trading plan that provided for net share settlement, resulting in the Company withholding approximately 70,000 shares of our common stock to cover the associated stock option exercise price and taxes.</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outstanding as of December 31, 2023 have a weighted average remaining contractual term of 6.0 years and an aggregate intrinsic value of $185 million based on the market value of our common stock on December 31, 2023.</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exercisable as of December 31, 2023 have an aggregate intrinsic value of $150 million based on the market value of our common stock on December 31, 2023.</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2023, 2022 and 2021, we received cash proceeds of $44 million, $44 million and $66 million, respectively, from the exercise of 597,000, 675,000 and 962,000 of employee stock options. The aggregate intrinsic value of stock options exercised during 2023, 2022 and 2021 was $44 million, $51 million and $66 million,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 options exercisable as of December 31, 2023 were as follows (options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7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Years</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$41.37-$80.00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$80.01-$120.00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$120.01-$150.12</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$41.37-$150.12</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All unvested stock options shall become exercisable upon the award recipient’s death or disability. In the event of a recipient’s qualifying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2023, 2022 and 2021 was $32.82, $26.44 and $17.25, respectively. The fair value of stock options at the date of grant is amortized to expense over the vesting period less expected forfeitures, except for stock options granted to retirement-eligible employees, for which expense is accelerated over the period that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recipient becomes retirement-eligible. The following table presents the weighted average assumptions used to value employee stock options granted during the year ended December 31 under the Black-Scholes valuation model:</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2.1 %</w:t>
            </w: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expected dividend yield is the annual rate of dividends per share over the exercise price of the option as of the grant date.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2022 and 2021, we recognized $78 million, $71 million and $94 million, respectively, of compensation expense associated with RSU, PSU and stock option awards as a component of selling, general and administrative expenses in our Consolidated Statements of Operations. Our income tax expense for the years ended December 31, 2023, 2022 and 2021 includes related income tax benefits of $15 million, $14 million and $18 million, respectively. We have not capitalized any equity-based compensation costs during the reported periods.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estimate that $44 million of currently unrecognized compensation expense will be recognized over a weighted average period of 1.5 years for our unvested RSU, PSU and stock option awards issued and outstanding.</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Plan</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non-employee directors receive annual grants of shares of our common stock, generally payable in two equal installments, under the Incentive Plans described above. Each non-employee director is required to hold all shares issued pursuant to a Company stock award, after the sale of shares necessary to cover applicable taxes, until retirement or other termination of service as a director of the Company.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earnings per share were computed using the following common share data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(shares in millions):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198"/>
        </w:trPr>
        <w:tc>
          <w:tcPr>
            <w:tcW w:w="64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 common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Consolidated Statements of Operations for net income attributable to 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jc w:val="both"/>
        <w:ind w:left="30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 active markets for identical assets and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30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that are generally unobservable and typically reflect management’s estimate of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participants would use in pricing the asset or liability.</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as of December 31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unobservable inputs (Level 3):</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Equivalents and Money Market Funds</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Cash equivalents primarily include short-term interest-bearing instruments with maturities of three months or less. We invest portions of our restricted trust funds in money market funds and we measure the fair value of these investments using quoted prices in active markets for identical assets. The fair value of our cash equivalents and money market funds approximates our cost basis in these instruments.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invest portions of our restricted trust funds in equity securities and we measure the fair value of these securities using quoted prices in active markets for identical assets. Any changes in fair value of these securities related to unrealized gains and losses have been appropriately reflected as a component of other income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available-for-sale securities include restricted trust funds and an investment in an unconsolidated entity, as discussed in Note 18. We invest primarily in debt securities, including U.S. Treasury securities, U.S. agency securities, municipal securities and mortgage- and asset-backed securities, which generally mature over the next ten years.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Redeemable Preferred Stock</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Redeemable preferred stock related to a noncontrolling investment in an unconsolidated entity and was included in investments in unconsolidated entities in our Consolidated Balance Sheets. The fair value of our investment was measured based on third-party investors’ recent or pending transactions in these securities, which were considered the best evidence of fair value. When this evidence was not available, we used other valuation techniques as appropriate and available. These valuation methodologies may have included transactions in similar instruments, discounted cash flow techniques, third-party appraisals or industry multiples and public company comparable transactions. While we continue to hold this investment, in 2023, we determined that the carrying value of the investment was fully impaired. This write-off resulted in</w:t>
      </w:r>
    </w:p>
    <w:p>
      <w:pPr>
        <w:spacing w:after="0" w:line="3" w:lineRule="exact"/>
        <w:rPr>
          <w:sz w:val="20"/>
          <w:szCs w:val="20"/>
          <w:color w:val="auto"/>
        </w:rPr>
      </w:pPr>
    </w:p>
    <w:p>
      <w:pPr>
        <w:jc w:val="both"/>
        <w:ind w:left="60" w:right="59" w:hanging="10"/>
        <w:spacing w:after="0" w:line="255" w:lineRule="auto"/>
        <w:tabs>
          <w:tab w:leader="none" w:pos="27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impairment charge to the income statement and (ii) the recognition of an additional $23 million unrealized loss, net of a deferred tax benefit of $8 million, within Accumulated Other Comprehensive Income (Loss). Refer to Notes 11 and 12 for additional information.</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carrying value of our debt was $16.2 billion and $15.0 billion, respectively. The estimated fair value of our debt was approximately $15.6 billion and $13.8 billion as of December 31, 2023 and 2022, respectively.</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2023 and 2022. These amounts have not been revalued since those dates, and current estimates of fair value could differ significantly from the amounts presented.</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Acquisitions and Divestitures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2023 Acquisitions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acquired 12 businesses, primarily related to our Collection and Disposal businesses. Total consideration, net of cash acquired, for all acquisitions was $182 million, which included $157 million in net cash paid and $25 million in non-cash consideration, primarily related to purchase price holdbacks. In addition, we paid $13 million of holdbacks, of which $6 million related to prior year acquisitions.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2023 acquisitions was primarily allocated to $49 million of property and equipment, $44 million of other intangible assets and $88 million of goodwill. Other intangible assets included $34 million of customer relationships and $10 million of covenants not-to-compete.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firstLine="162"/>
        <w:spacing w:after="0" w:line="282" w:lineRule="auto"/>
        <w:rPr>
          <w:sz w:val="20"/>
          <w:szCs w:val="20"/>
          <w:color w:val="auto"/>
        </w:rPr>
      </w:pPr>
      <w:r>
        <w:rPr>
          <w:rFonts w:ascii="Times New Roman" w:cs="Times New Roman" w:eastAsia="Times New Roman" w:hAnsi="Times New Roman"/>
          <w:sz w:val="18"/>
          <w:szCs w:val="18"/>
          <w:color w:val="auto"/>
        </w:rPr>
        <w:t>The goodwill related to our 2023 acquisitions was primarily a result of expected synergies from combining the acquired businesses with our existing operations and substantially all was tax deductible.</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acquired 13 businesses, including the acquisition of a controlling interest in a business intended to allow us to deliver new recycling capabilities for our customers and provide circular solutions for film and clear plastic wrap used commercially, such as plastic stretch wrap for pallets, furniture film, grocery bags and potentially shrink wrap around food and beverage containers. Our other acquisitions in 2022 primarily related to our Collection and Disposal businesses. Total consideration, net of cash acquired, for all acquisitions was $507 million, which included $372 million in net cash paid and $135 million in non-cash consideration, primarily related to purchase price holdbacks and the conversion of $67 million in secured convertible promissory notes receivable into equity of the acquired business. In addition, we paid $5 million of holdbacks related to prior year acquisitions.</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consideration for our 2022 acquisitions was primarily allocated to $138 million of property and equipment, $64 million of other intangible assets, $325 million of goodwill and $14 million of noncontrolling interests. Other intangible assets included $45 million of customer relationships and $19 million of covenants not-to-compete.</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Acquisitions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acquired 11 businesses primarily related to our Collection and Disposal businesses. Total consideration, net of cash acquired, for all acquisitions was $94 million, which included $73 million in net cash paid and $21 million of other consideration, primarily purchase price holdbacks and the settlement of a preexisting promissory note with one of the acquired businesses. In addition, we paid $3 million of holdbacks, primarily related to current year acquisitions.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2021 acquisitions discussed above include our acquisition of the remaining ownership interest in a waste diversion technology company. Concurrent with our acquisition, the acquired entity issued shares to an unrelated third-party, diluting our ownership interest. We determined the entity constituted a variable interest entity and concluded that we did not have the power to direct its significant activities. As a result, we subsequently deconsolidated the entity and account for our remaining ownership interest as an equity method investment.</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 were $78 million, $27 million and $96 million in 2023, 2022 and 2021, respectively. In 2023, our proceeds are primarily the result of the sale of certain non-strategic assets. In 2021, our proceeds are primarily the result of the sale of certain non-strategic Canadian operations, as discussed in Note 11.</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Variable Interest Entities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$458 million and $321 million as of December 31, 2023 and 2022, respectively. The debt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balance related to our investments in low-income housing properties was $408 million and $295 million as of December 31, 2023 and 2022, respectively. Additional information related to these investments is discussed in Note 8.</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$104 million and $93 million as of December 31, 2023 and 2022, respectively.</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Consolidated Balance Sheets. Unrealized gains and losses on available-for-sale securities held by these trusts are recorded as a component of accumulated other comprehensive income (loss). These trusts had a fair value of $119 million and $113 million as of December 31, 2023 and 2022, respectively.</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Segment and Related Information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To enhance transparency regarding our financial performance, highlight the strength and consistency of our core solid waste businesses, and underscore our commitment to sustainability through planned and ongoing investments in our Recycling Processing and Sales, as well as our WM Renewable Energy segment, beginning in the fourth quarter of 2023, our senior management revised its segment reporting to (i) reflect the financial results of our collection, transfer, disposal and resource recovery services businesses independently; (ii) combine the results of all recycling facilities from our East and West Tier segments with our recycling brokerage and sales activities to form a newly created Recycling Processing and Sales reportable segment and (iii) include our WM Renewable Energy business as a reportable segment. Accordingly, our senior management now evaluates, oversees and manages the financial performance of our business through four reportable segments, referred to as (i) East Tier; (ii) West Tier; (iii) Recycling Processing and Sales and</w:t>
      </w:r>
    </w:p>
    <w:p>
      <w:pPr>
        <w:spacing w:after="0" w:line="6" w:lineRule="exact"/>
        <w:rPr>
          <w:sz w:val="20"/>
          <w:szCs w:val="20"/>
          <w:color w:val="auto"/>
        </w:rPr>
      </w:pPr>
    </w:p>
    <w:p>
      <w:pPr>
        <w:jc w:val="both"/>
        <w:ind w:left="60" w:right="59" w:hanging="10"/>
        <w:spacing w:after="0" w:line="253" w:lineRule="auto"/>
        <w:tabs>
          <w:tab w:leader="none" w:pos="3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Our East Tier and West Tier, combined with certain “Other Ancillary” services that are not managed through the Tier segments, but that support our collection and disposal operations, form our Collection and Disposal businesses. We also provide additional services not managed through our four reportable segments, which are presented as Corporate and Other.</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our operating results are significantly affected by certain transactions or events that management believes are not indicative or representative of our results. Refer to Note 11 for an explanation of certain transactions and events affecting our operating results. Reclassifications have been made to our prior period consolidated financial information to conform to the current year presentation.</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Collection and Disposal</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Collection and Disposal businesses provide integrated environmental services, including collection, transfer, disposal and resource recovery services. We evaluate our Collection and Disposal businesses primarily through two geographic segments, East Tier and West Tier. Our East Tier primarily consists of geographic areas located in the Eastern U.S., the Great Lakes region and substantially all of Canada. Our West Tier primarily includes geographic areas located in the Western U.S., including the upper Midwest region, and British Columbia, Canada. Additionally, we provide certain ancillary services that are not managed through the Tier segments but that support our collection and disposal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Ancillary includes specialized services performed for customers that have differentiated needs. These specialized services are targeted at large industrial customers managed through our Sustainability and Environmental Solutions (“SES”) business or geographically dispersed customers managed through our Strategic Business Solutions (“WMSBS”) business. Also included within Other Ancillary are the results of non-operating entities that provide financial assurance and self-insurance support for our business, net of intercompany activity.</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Included within our Collection and Disposal businesses are landfills having (i) 21 third-party power generating facilities converting our landfill gas to fuel electricity generators; (ii) 14 third-party RNG facilities processing landfill gas to be sold to natural gas suppliers and (iii) two third-party projects delivering our landfill gas by pipeline to industrial customers as a direct substitute for fossil fuels in industrial processes. In return for providing our landfill gas, we receive royalties from each facility, including the benefit of a 15% royalty from our WM Renewable Energy segment based on net operating revenue generated through the sale of RNG, RINs, electricity and capacity, RECs and related environmental attributes from the 83 landfill beneficial use renewable energy projects owned by WM Renewable Energy on our active landfills, which is eliminated in consolidation.</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Recycling Processing and Sales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Recycling Processing and Sales segment includes the processing and sales of materials collected from residential, commercial and industrial customers. The materials are delivered to and processed at one of our many recycling facilities. Through our brokerage business, we also manage the marketing of recycling commodities that are processed in our facilities and by third parties by maintaining comprehensive service centers that continuously analyze market prices, logistics, market demands and product quality. Our Recycling Processing and Sales segment excludes the collection of recycled materials from our residential, commercial, and industrial customers which is included within our Collection and Disposal businesses.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WM Renewable Energy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WM Renewable Energy segment develops, operates and promotes projects for the beneficial use of landfill gas. Landfill gas is produced naturally as waste decomposes in a landfill. The methane component of the landfill gas is a readily available, renewable energy source that can be gathered and used beneficially as an alternative to fossil fuel. WM Renewable Energy converts landfill gas into several sources of renewable energy which include RNG, electricity and capacity, heat and/or steam. WM Renewable Energy also generates RINs under the RFS program, other credits under a variety of state programs associated with the use of RNG in our compressed natural gas fleet, and RECs associated with the production of electricity. The RINs, RECs, and other credits are sold to counterparties who are obligated under the regulatory programs and have a responsibility to procure RINs, RECs, and other credits proportionate to their fossil fuel production and imports. RINs and RECs prices generally fluctuate in response to regulations enacted by the EPA or other regulatory bodies, as well as changes in supply and demand.</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we had 92 landfill gas beneficial use projects producing commercial quantities of methane gas at owned or operated landfills. For 66 of these projects, the processed gas is used to fuel electricity generators. The electricity is then sold to public utilities, municipal utilities or power cooperatives. For 20 of these projects, the gas is used at the landfill or delivered by pipeline to industrial customers as a direct substitute for fossil fuels in industrial processes. For six of these projects, the landfill gas is processed to pipeline quality RNG and then sold to natural gas suppliers. The revenues from these facilities are primarily generated through the sale of RNG, RINs, electricity and capacity, RECs and related environmental attributes. WM Renewable Energy is charged a 15% royalty on net operating revenue from these facilities residing on our active and closed landfills from our Collection and Disposal, and Corporate and Other businesses, which is eliminated in consolidation. Additionally, WM Renewable Energy operates and maintains 12 third-party landfill beneficial gas use projects in return for service revenue. Our Collection and Disposal and Corporate and Other businesses benefit from these projects as well as 32 additional third-party landfill beneficial gas use projects in the form of royalties.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also provide additional services that are not managed through our operating segments, which are presented in this report as Corporate and Other as they do not meet the criteria to be aggregated with other operating segments and do not meet the quantitative criteria to be separately reported. This includes the activities of our corporate office, including costs associated with our long-term incentive program, expanded service offerings and solutions (such as our investments in businesses and technologies that are designed to offer services and solutions ancillary or supplementary to our current operations) as well as our closed sites. Also, included within our Corporate and Other businesses are closed sites that include (i) five third-party power generating facilities converting our landfill gas to fuel electricity generators; (ii) one third-party project delivering our landfill gas by pipeline to industrial customers as a direct substitute for fossil fuels in industrial processes and (iii) one third-party RNG processing landfill gas to be sold to natural gas suppliers in return for a royalty. Additionally, Corporate and Other benefits from a 15% royalty from our WM Renewable Energy segment based on net operating revenue generated through the sale of RNG, RINs, electricity and capacity, RECs and related environmental attributes from the nine landfill beneficial use renewable energy projects owned by WM Renewable Energy on our closed sites, which is eliminated in consolidation.</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regularly reviews financial results, operating performance, and capital expenditures of our Collection and Disposal businesses, Corporate and Other businesses, Recycling Processing and Sales segment, and our WM Renewable Energy segment to assess performance and allocate resources. Summarized financial information concerning our reportable segments as of December 31 and for the year then ended is shown in the following table (in millions):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Intercompany</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1"/>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Depletion and</w:t>
            </w:r>
          </w:p>
        </w:tc>
        <w:tc>
          <w:tcPr>
            <w:tcW w:w="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Expenditures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Revenues(b)</w:t>
            </w:r>
          </w:p>
        </w:tc>
        <w:tc>
          <w:tcPr>
            <w:tcW w:w="16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Operations(c)</w:t>
            </w:r>
          </w:p>
        </w:tc>
        <w:tc>
          <w:tcPr>
            <w:tcW w:w="14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 (a)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4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1"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income from operations for our Recycling Processing and Sales segment is a $168 million goodwill impairment charge related to a business engaged in accelerating film and plastic wrap recycling capabilities, which was partially offset by the recognition of $46 million of income related to the reversal of a liability for contingent consideration associated with our investment in such business.</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380" w:right="79" w:hanging="330"/>
        <w:spacing w:after="0" w:line="266" w:lineRule="auto"/>
        <w:tabs>
          <w:tab w:leader="none" w:pos="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Capital expenditures and are reported in our reportable segments at the time they are recorded within the segments’ property and equipment balances and, therefore, include timing differences for amounts accrued but not yet paid.</w:t>
      </w:r>
    </w:p>
    <w:p>
      <w:pPr>
        <w:spacing w:after="0" w:line="6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by reportable segment as of December 31 are as follows (in millions):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30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2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2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 per Consolidated Balance Sheet</w:t>
            </w:r>
          </w:p>
        </w:tc>
        <w:tc>
          <w:tcPr>
            <w:tcW w:w="28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40" w:type="dxa"/>
            <w:vAlign w:val="bottom"/>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year ended December 31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4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0" w:type="dxa"/>
            <w:vAlign w:val="bottom"/>
          </w:tcPr>
          <w:p>
            <w:pPr>
              <w:spacing w:after="0"/>
              <w:rPr>
                <w:sz w:val="15"/>
                <w:szCs w:val="15"/>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4120" w:type="dxa"/>
            <w:vAlign w:val="bottom"/>
            <w:gridSpan w:val="3"/>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(1,535)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operating revenues relating to operations for the year ended December 31 are as follows (in millions):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$ 19,595</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$ 18,860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$ 20,426</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$ 19,698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Primarily related to recently acquired smaller recycling-related operations in the Netherlands.</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net of accumulated depreciation and depletion, relating to operations as of December 31 are as follows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4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2023 (the end of the period covered by this Annual Report on Form 10-K)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92" w:lineRule="exact"/>
        <w:rPr>
          <w:sz w:val="20"/>
          <w:szCs w:val="20"/>
          <w:color w:val="auto"/>
        </w:rPr>
      </w:pPr>
    </w:p>
    <w:p>
      <w:pPr>
        <w:ind w:left="720" w:right="79" w:hanging="319"/>
        <w:spacing w:after="0" w:line="28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of the Company assessed the effectiveness of our internal control over financial reporting as of December 31, 2023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2023.</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December 31, 2023. We determined that there were no changes in our internal control over financial reporting during the quarter ended December 31, 2023 that have materially affected, or are reasonably likely to materially affect, our internal control over financial reporting.</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October 30, 2023, James C. Fish, Jr., President, Chief Executive Officer and member of our Board of Directors, adopted a stock trading plan (the “Fish Trading Plan”). The Fish Trading Plan went into effect on the date of adoption and was not intended to satisfy the affirmative defense of Rule 10b5-1(c) under the Exchange Act. The Fish Trading Plan provided for the potential exercise of 83,419 vested stock options and instructed that, upon our common stock reaching a specified market price on or before December 7, 2023, the options would automatically be exercised and the Company would withhold shares of common stock necessary to cover tax requirements and the exercise price of such options. The Fish Trading Plan provided that Mr. Fish would continue to hold all remaining shares of common stock resulting from the option exercise after the net share settlement process.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21, 2023, Mr. Rafael Carrasco, Senior Vice President, Enterprise Strategy, adopted a stock trading plan (the “Carrasco Trading Plan”) intended to satisfy the affirmative defense of Rule 10b5-1(c) under the Exchange Act. The Carrasco Trading Plan will commence on February 20, 2024 and will automatically terminate on the earlier of February 20, 2025 and the completion of all of the contemplated transactions set forth therein. The Carrasco Trading Plan provides for the potential cashless exercise of two stock option awards totaling 4,207 stock options, upon our common stock reaching a specified market price, pursuant to which shares of common stock will be sold to cover option costs, tax obligations, commissions and fees; Mr. Carrasco will then continue to hold all remaining shares of common stock resulting from the option exercise after the settlement.</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21, 2023, Ms. Devina Rankin, Executive Vice President and Chief Financial Officer, adopted a stock trading plan (the “Rankin Trading Plan”) intended to satisfy the affirmative defense of Rule 10b5-1(c) under the Exchange Act. The Rankin Trading Plan will commence on February 20, 2024 and will automatically terminate on the earlier of February 20, 2025 and the completion of all of the contemplated transactions set forth therein. The Rankin Trading Plan provides for the potential sale of 50% of net after-tax shares of our common stock received from the payout of performance share unit (“PSU”) equity compensation awards, for the performance period ended December 31, 2023, upon our common stock reaching a specified market price. Ms. Rankin received a target grant of 14,736 PSU awards with a performance period ended December 31, 2023; the number of shares to be paid out to Ms. Rankin on account of these PSU awards can range from zero to 200% of the initial target grant. As a result, the number of shares of common stock to potentially be sold pursuant to the Rankin Trading Plan will be determined in the first quarter of 2024 based on certification by the Management Development and Compensation Committee of the Board of Directors of the Company’s achievement relative to applicable performance measures for the underlying PSU awards.</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December 1, 2023, Mr. Fish adopted a stock trading plan (the “Second Fish Trading Plan”) intended to satisfy the affirmative defense of Rule 10b5-1(c) under the Exchange Act. The Second Fish Trading Plan will commence on March 1, 2024 and will automatically terminate on the earlier of February 20, 2025 and the completion of all of the contemplated transactions set forth therein. The Second Fish Trading Plan provides for (a) the potential sale of up to 19,100 shares of our common stock upon our common stock reaching specified market prices and (b) the potential sale of 50% of net after-tax shares of our common stock received from the payout of PSU equity compensation awards for the performance period ended December 31, 2023, upon our common stock reaching a specified market price. Mr. Fish received a target grant of 59,650 PSU awards with a performance period ended December 31, 2023; the number of shares to be paid out to Mr. Fish on account of these PSU awards can range from zero to 200% of the initial target grant. As a result, as described above in connection with the Rankin Trading Plan, the number of shares of common stock to potentially be sold pursuant to the Second Fish Trading Plan will be determined in the first quarter of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that applies to our CEO, CFO and Chief Accounting Officer, as well as other officers, directors and employees of the Company. The code of ethics, entitled “Code of Conduct,” is available on-line at investors.wm.com in the tab “ESG — Corporate Governance” (https://investors.wm.com/esg-practices/governance). We intend to post any amendments to the Code of Conduct that apply to our officers and directors, and any required disclosure of waivers from the Code of Conduct, to the “ESG – Corporate Governance” tab at investors.wm.com.</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All other information required by this Item will be included in the Company’s definitive proxy statement for its 2024 Annual Meeting of Stockholders (the “2024 Proxy Statement”) to be filed with SEC within 120 days of the end of our fiscal year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(1) Consolidated Financial Statements:</w:t>
      </w:r>
    </w:p>
    <w:p>
      <w:pPr>
        <w:spacing w:after="0" w:line="225" w:lineRule="exact"/>
        <w:rPr>
          <w:sz w:val="20"/>
          <w:szCs w:val="20"/>
          <w:color w:val="auto"/>
        </w:rPr>
      </w:pPr>
    </w:p>
    <w:p>
      <w:pPr>
        <w:ind w:left="380" w:right="3999"/>
        <w:spacing w:after="0" w:line="276" w:lineRule="auto"/>
        <w:rPr>
          <w:sz w:val="20"/>
          <w:szCs w:val="20"/>
          <w:color w:val="auto"/>
        </w:rPr>
      </w:pPr>
      <w:r>
        <w:rPr>
          <w:rFonts w:ascii="Times New Roman" w:cs="Times New Roman" w:eastAsia="Times New Roman" w:hAnsi="Times New Roman"/>
          <w:sz w:val="17"/>
          <w:szCs w:val="17"/>
          <w:color w:val="auto"/>
        </w:rPr>
        <w:t>Reports of Independent Registered Public Accounting Firm Consolidated Balance Sheets as of December 31, 2023 and 2022</w:t>
      </w:r>
    </w:p>
    <w:p>
      <w:pPr>
        <w:spacing w:after="0" w:line="1" w:lineRule="exact"/>
        <w:rPr>
          <w:sz w:val="20"/>
          <w:szCs w:val="20"/>
          <w:color w:val="auto"/>
        </w:rPr>
      </w:pPr>
    </w:p>
    <w:p>
      <w:pPr>
        <w:ind w:left="380" w:right="879"/>
        <w:spacing w:after="0" w:line="253" w:lineRule="auto"/>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2022 and 2021 Consolidated Statements of Comprehensive Income for the years ended December 31, 2023, 2022 and 2021 Consolidated Statements of Cash Flows for the years ended December 31, 2023, 2022 and 2021 Consolidated Statements of Changes in Equity for the years ended December 31, 2023, 2022 and 2021 Notes to Consolidated Financial Statements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(2) Consolidated Financial Statement Schedules: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significant or is included in the financial statements or notes thereto, or is not applicable.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(3) Exhibits:</w:t>
      </w:r>
    </w:p>
    <w:p>
      <w:pPr>
        <w:spacing w:after="0" w:line="219" w:lineRule="exact"/>
        <w:rPr>
          <w:sz w:val="20"/>
          <w:szCs w:val="20"/>
          <w:color w:val="auto"/>
        </w:rPr>
      </w:pPr>
    </w:p>
    <w:p>
      <w:pPr>
        <w:ind w:left="60"/>
        <w:spacing w:after="0"/>
        <w:tabs>
          <w:tab w:leader="none" w:pos="47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7620</wp:posOffset>
            </wp:positionV>
            <wp:extent cx="4869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ind w:left="960" w:right="479" w:hanging="1227"/>
        <w:spacing w:after="0" w:line="25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EE"/>
          </w:rPr>
          <w:t>Third Restated Certificate of Incorporation of Waste Management, Inc. [incorporated by reference to</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0000EE"/>
          </w:rPr>
          <w:t>Exhibit 3.1 to Form 10-Q for the quarter ended June 30, 2010].</w:t>
        </w:r>
      </w:hyperlink>
    </w:p>
    <w:p>
      <w:pPr>
        <w:spacing w:after="0" w:line="1" w:lineRule="exact"/>
        <w:rPr>
          <w:sz w:val="20"/>
          <w:szCs w:val="20"/>
          <w:color w:val="auto"/>
        </w:rPr>
      </w:pPr>
    </w:p>
    <w:p>
      <w:pPr>
        <w:ind w:left="960" w:right="2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EE"/>
          </w:rPr>
          <w:t>Amended and Restated By-laws of Waste Management, Inc. [incorporated by reference to Exhibit 3.2 to</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EE"/>
          </w:rPr>
          <w:t>Form 8-K dated November 6, 2023].</w:t>
        </w:r>
      </w:hyperlink>
    </w:p>
    <w:p>
      <w:pPr>
        <w:spacing w:after="0" w:line="1" w:lineRule="exact"/>
        <w:rPr>
          <w:sz w:val="20"/>
          <w:szCs w:val="20"/>
          <w:color w:val="auto"/>
        </w:rPr>
      </w:pPr>
    </w:p>
    <w:p>
      <w:pPr>
        <w:ind w:left="960" w:right="39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EE"/>
          </w:rPr>
          <w:t>Specimen Stock Certificate [incorporated by reference to Exhibit 4.1 to Form 10-K for the year ended</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0000EE"/>
          </w:rPr>
          <w:t>December 31, 1998].</w:t>
        </w:r>
      </w:hyperlink>
    </w:p>
    <w:p>
      <w:pPr>
        <w:spacing w:after="0" w:line="1" w:lineRule="exact"/>
        <w:rPr>
          <w:sz w:val="20"/>
          <w:szCs w:val="20"/>
          <w:color w:val="auto"/>
        </w:rPr>
      </w:pPr>
    </w:p>
    <w:p>
      <w:pPr>
        <w:ind w:left="960" w:right="6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EE"/>
          </w:rPr>
          <w:t>Third Restated Certificate of Incorporation of Waste Management Holdings, Inc. [incorporated by</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0000EE"/>
          </w:rPr>
          <w:t>reference to Exhibit 4.2 to Form 10-K for the year ended December 31, 2014].</w:t>
        </w:r>
      </w:hyperlink>
    </w:p>
    <w:p>
      <w:pPr>
        <w:spacing w:after="0" w:line="1" w:lineRule="exact"/>
        <w:rPr>
          <w:sz w:val="20"/>
          <w:szCs w:val="20"/>
          <w:color w:val="auto"/>
        </w:rPr>
      </w:pPr>
    </w:p>
    <w:p>
      <w:pPr>
        <w:ind w:left="960" w:right="55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EE"/>
          </w:rPr>
          <w:t>Amended and Restated By-laws of Waste Management Holdings, Inc. [incorporated by reference to</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EE"/>
          </w:rPr>
          <w:t>Exhibit 4.3 to Form 10-Q for the quarter ended June 30, 2014].</w:t>
        </w:r>
      </w:hyperlink>
    </w:p>
    <w:p>
      <w:pPr>
        <w:spacing w:after="0" w:line="1" w:lineRule="exact"/>
        <w:rPr>
          <w:sz w:val="20"/>
          <w:szCs w:val="20"/>
          <w:color w:val="auto"/>
        </w:rPr>
      </w:pPr>
    </w:p>
    <w:p>
      <w:pPr>
        <w:ind w:left="960" w:right="2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EE"/>
          </w:rPr>
          <w:t>Indenture for Subordinated Debt Securities dated February 1, 1997, among the Registrant and The Bank</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EE"/>
          </w:rPr>
          <w:t>of New York Mellon Trust Company, N.A. (the current successor to Texas Commerce Bank National</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Association), as trustee [incorporated by reference to Exhibit 4.1 to Form 8-K dated February 7, 1997].</w:t>
        </w:r>
      </w:hyperlink>
    </w:p>
    <w:p>
      <w:pPr>
        <w:spacing w:after="0" w:line="1" w:lineRule="exact"/>
        <w:rPr>
          <w:rFonts w:ascii="Times New Roman" w:cs="Times New Roman" w:eastAsia="Times New Roman" w:hAnsi="Times New Roman"/>
          <w:sz w:val="18"/>
          <w:szCs w:val="18"/>
          <w:color w:val="auto"/>
        </w:rPr>
      </w:pPr>
    </w:p>
    <w:p>
      <w:pPr>
        <w:ind w:left="960" w:right="9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EE"/>
          </w:rPr>
          <w:t>Indenture for Senior Debt Securities dated September 10, 1997, among the Registrant and The Bank of</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EE"/>
          </w:rPr>
          <w:t>New York Mellon Trust Company, N.A. (the current successor to Texas Commerce Bank National</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Association), as trustee [incorporated by reference to Exhibit 4.1 to Form 8-K dated September 10, 1997].</w:t>
        </w:r>
      </w:hyperlink>
    </w:p>
    <w:p>
      <w:pPr>
        <w:spacing w:after="0" w:line="1" w:lineRule="exact"/>
        <w:rPr>
          <w:rFonts w:ascii="Times New Roman" w:cs="Times New Roman" w:eastAsia="Times New Roman" w:hAnsi="Times New Roman"/>
          <w:sz w:val="18"/>
          <w:szCs w:val="18"/>
          <w:color w:val="auto"/>
        </w:rPr>
      </w:pPr>
    </w:p>
    <w:p>
      <w:pPr>
        <w:ind w:left="960" w:right="41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EE"/>
          </w:rPr>
          <w:t>Description of Waste Management, Inc.’s Common Stock [incorporated by reference to Exhibit 4.9 to</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EE"/>
          </w:rPr>
          <w:t>Form 10-K for the year ended December 31, 2019].</w:t>
        </w:r>
      </w:hyperlink>
    </w:p>
    <w:p>
      <w:pPr>
        <w:spacing w:after="0" w:line="1" w:lineRule="exact"/>
        <w:rPr>
          <w:sz w:val="20"/>
          <w:szCs w:val="20"/>
          <w:color w:val="auto"/>
        </w:rPr>
      </w:pPr>
    </w:p>
    <w:p>
      <w:pPr>
        <w:ind w:left="960" w:right="119" w:hanging="1227"/>
        <w:spacing w:after="0" w:line="250" w:lineRule="auto"/>
        <w:tabs>
          <w:tab w:leader="none" w:pos="9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Schedule of Officers’ Certificates delivered pursuant to Section 301 of the Indenture dated September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1997 establishing the terms and form of Waste Management, Inc.’s Senior Notes. Waste Management and its subsidiaries are parties to debt instruments that have not been filed with the SEC under which the total amount of securities authorized under any single instrument does not exceed 10% of the total assets of Waste Management and its subsidiaries on a consolidated basis. Pursuant to paragraph 4(iii)(A) of</w:t>
      </w:r>
    </w:p>
    <w:p>
      <w:pPr>
        <w:spacing w:after="0" w:line="2" w:lineRule="exact"/>
        <w:rPr>
          <w:sz w:val="20"/>
          <w:szCs w:val="20"/>
          <w:color w:val="auto"/>
        </w:rPr>
      </w:pPr>
    </w:p>
    <w:p>
      <w:pPr>
        <w:ind w:left="1280" w:right="339"/>
        <w:spacing w:after="0" w:line="250" w:lineRule="auto"/>
        <w:rPr>
          <w:sz w:val="20"/>
          <w:szCs w:val="20"/>
          <w:color w:val="auto"/>
        </w:rPr>
      </w:pPr>
      <w:r>
        <w:rPr>
          <w:rFonts w:ascii="Times New Roman" w:cs="Times New Roman" w:eastAsia="Times New Roman" w:hAnsi="Times New Roman"/>
          <w:sz w:val="18"/>
          <w:szCs w:val="18"/>
          <w:u w:val="single" w:color="auto"/>
          <w:color w:val="0000EE"/>
        </w:rPr>
        <w:t>Item 601(b) of Regulation S-K, Waste Management agrees to furnish a copy of such instruments to the SEC upon request.</w:t>
      </w:r>
    </w:p>
    <w:p>
      <w:pPr>
        <w:spacing w:after="0" w:line="1" w:lineRule="exact"/>
        <w:rPr>
          <w:sz w:val="20"/>
          <w:szCs w:val="20"/>
          <w:color w:val="auto"/>
        </w:rPr>
      </w:pPr>
    </w:p>
    <w:p>
      <w:pPr>
        <w:ind w:left="960" w:right="5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EE"/>
          </w:rPr>
          <w:t>Officers’ Certificate delivered pursuant to Section 301 of the Indenture dated September 10, 1997</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EE"/>
          </w:rPr>
          <w:t>establishing the terms and form of the 4.875% Senior Notes due 2029 [incorporated by reference to</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Exhibit 4.1 to Form 10-Q for the quarter ended September 30, 2023].</w:t>
        </w:r>
      </w:hyperlink>
    </w:p>
    <w:p>
      <w:pPr>
        <w:spacing w:after="0" w:line="1" w:lineRule="exact"/>
        <w:rPr>
          <w:rFonts w:ascii="Times New Roman" w:cs="Times New Roman" w:eastAsia="Times New Roman" w:hAnsi="Times New Roman"/>
          <w:sz w:val="18"/>
          <w:szCs w:val="18"/>
          <w:color w:val="auto"/>
        </w:rPr>
      </w:pPr>
    </w:p>
    <w:p>
      <w:pPr>
        <w:jc w:val="both"/>
        <w:ind w:left="960" w:right="2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EE"/>
          </w:rPr>
          <w:t>Guarantee Agreement by Waste Management Holdings, Inc. in favor of The Bank of New York Mellon</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EE"/>
          </w:rPr>
          <w:t>Trust Company, N.A., as Trustee for the holders of the 4.875% Senior Notes due 2029 [incorporated by</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reference to Exhibit 4.3 to Form 10-Q for the quarter ended September 30, 2023].</w:t>
        </w:r>
      </w:hyperlink>
    </w:p>
    <w:p>
      <w:pPr>
        <w:spacing w:after="0" w:line="1" w:lineRule="exact"/>
        <w:rPr>
          <w:rFonts w:ascii="Times New Roman" w:cs="Times New Roman" w:eastAsia="Times New Roman" w:hAnsi="Times New Roman"/>
          <w:sz w:val="18"/>
          <w:szCs w:val="18"/>
          <w:color w:val="auto"/>
        </w:rPr>
      </w:pPr>
    </w:p>
    <w:p>
      <w:pPr>
        <w:ind w:left="60"/>
        <w:spacing w:after="0"/>
        <w:tabs>
          <w:tab w:leader="none" w:pos="940" w:val="left"/>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50">
        <w:r>
          <w:rPr>
            <w:rFonts w:ascii="Times New Roman" w:cs="Times New Roman" w:eastAsia="Times New Roman" w:hAnsi="Times New Roman"/>
            <w:sz w:val="18"/>
            <w:szCs w:val="18"/>
            <w:u w:val="single" w:color="auto"/>
            <w:color w:val="0000EE"/>
          </w:rPr>
          <w:t>2023 Stock Incentive Plan [incorporated by reference to Exhibit 10.1 to Form 8-K dated May 9, 2023].</w:t>
        </w:r>
      </w:hyperlink>
    </w:p>
    <w:p>
      <w:pPr>
        <w:spacing w:after="0" w:line="9" w:lineRule="exact"/>
        <w:rPr>
          <w:rFonts w:ascii="Times New Roman" w:cs="Times New Roman" w:eastAsia="Times New Roman" w:hAnsi="Times New Roman"/>
          <w:sz w:val="18"/>
          <w:szCs w:val="18"/>
          <w:color w:val="auto"/>
        </w:rPr>
      </w:pPr>
    </w:p>
    <w:p>
      <w:pPr>
        <w:ind w:left="60"/>
        <w:spacing w:after="0"/>
        <w:tabs>
          <w:tab w:leader="none" w:pos="940" w:val="left"/>
          <w:tab w:leader="none" w:pos="1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51">
        <w:r>
          <w:rPr>
            <w:rFonts w:ascii="Times New Roman" w:cs="Times New Roman" w:eastAsia="Times New Roman" w:hAnsi="Times New Roman"/>
            <w:sz w:val="17"/>
            <w:szCs w:val="17"/>
            <w:u w:val="single" w:color="auto"/>
            <w:color w:val="0000EE"/>
          </w:rPr>
          <w:t>2014 Stock Incentive Plan [incorporated by reference to Exhibit 10.1 to Form 8-K dated May 13, 2014].</w:t>
        </w:r>
      </w:hyperlink>
    </w:p>
    <w:p>
      <w:pPr>
        <w:spacing w:after="0" w:line="9" w:lineRule="exact"/>
        <w:rPr>
          <w:rFonts w:ascii="Times New Roman" w:cs="Times New Roman" w:eastAsia="Times New Roman" w:hAnsi="Times New Roman"/>
          <w:sz w:val="18"/>
          <w:szCs w:val="18"/>
          <w:color w:val="auto"/>
        </w:rPr>
      </w:pPr>
    </w:p>
    <w:p>
      <w:pPr>
        <w:ind w:left="960" w:right="3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EE"/>
          </w:rPr>
          <w:t>First Amendment to 2014 Stock Incentive Plan [incorporated by reference to Exhibit 10.2 to Form 8-K</w:t>
        </w:r>
      </w:hyperlink>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u w:val="single" w:color="auto"/>
            <w:color w:val="0000EE"/>
          </w:rPr>
          <w:t>dated May 12, 2020].</w:t>
        </w:r>
      </w:hyperlink>
    </w:p>
    <w:p>
      <w:pPr>
        <w:spacing w:after="0" w:line="1" w:lineRule="exact"/>
        <w:rPr>
          <w:sz w:val="20"/>
          <w:szCs w:val="20"/>
          <w:color w:val="auto"/>
        </w:rPr>
      </w:pPr>
    </w:p>
    <w:p>
      <w:pPr>
        <w:ind w:left="960" w:right="17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EE"/>
          </w:rPr>
          <w:t>Second Amendment to 2014 Stock Incentive Plan [incorporated by reference to Exhibit 10.3 to Form 10-</w:t>
        </w:r>
      </w:hyperlink>
      <w:hyperlink r:id="rId153">
        <w:r>
          <w:rPr>
            <w:rFonts w:ascii="Times New Roman" w:cs="Times New Roman" w:eastAsia="Times New Roman" w:hAnsi="Times New Roman"/>
            <w:sz w:val="18"/>
            <w:szCs w:val="18"/>
            <w:u w:val="single" w:color="auto"/>
            <w:color w:val="0000EE"/>
          </w:rPr>
          <w:t>Q for the quarter ended June 30, 2022].</w:t>
        </w:r>
      </w:hyperlink>
    </w:p>
    <w:p>
      <w:pPr>
        <w:spacing w:after="0" w:line="1" w:lineRule="exact"/>
        <w:rPr>
          <w:sz w:val="20"/>
          <w:szCs w:val="20"/>
          <w:color w:val="auto"/>
        </w:rPr>
      </w:pPr>
    </w:p>
    <w:p>
      <w:pPr>
        <w:ind w:left="60"/>
        <w:spacing w:after="0"/>
        <w:tabs>
          <w:tab w:leader="none" w:pos="940" w:val="left"/>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54">
        <w:r>
          <w:rPr>
            <w:rFonts w:ascii="Times New Roman" w:cs="Times New Roman" w:eastAsia="Times New Roman" w:hAnsi="Times New Roman"/>
            <w:sz w:val="18"/>
            <w:szCs w:val="18"/>
            <w:u w:val="single" w:color="auto"/>
            <w:color w:val="0000EE"/>
          </w:rPr>
          <w:t>2009 Stock Incentive Plan [incorporated by reference to Appendix B to the Proxy Statement on Schedule</w:t>
        </w:r>
      </w:hyperlink>
    </w:p>
    <w:p>
      <w:pPr>
        <w:spacing w:after="0" w:line="9" w:lineRule="exact"/>
        <w:rPr>
          <w:sz w:val="20"/>
          <w:szCs w:val="20"/>
          <w:color w:val="auto"/>
        </w:rPr>
      </w:pPr>
    </w:p>
    <w:p>
      <w:pPr>
        <w:ind w:left="1280"/>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14A filed March 25, 2009].</w:t>
        </w:r>
      </w:hyperlink>
    </w:p>
    <w:p>
      <w:pPr>
        <w:spacing w:after="0" w:line="9" w:lineRule="exact"/>
        <w:rPr>
          <w:sz w:val="20"/>
          <w:szCs w:val="20"/>
          <w:color w:val="auto"/>
        </w:rPr>
      </w:pPr>
    </w:p>
    <w:p>
      <w:pPr>
        <w:ind w:left="960" w:right="739" w:hanging="12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EE"/>
          </w:rPr>
          <w:t>2005 Annual Incentive Plan [incorporated by reference to Appendix D to the Proxy Statement on</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EE"/>
          </w:rPr>
          <w:t>Schedule 14A filed April 8, 2004].</w:t>
        </w:r>
      </w:hyperlink>
    </w:p>
    <w:p>
      <w:pPr>
        <w:spacing w:after="0" w:line="1" w:lineRule="exact"/>
        <w:rPr>
          <w:sz w:val="20"/>
          <w:szCs w:val="20"/>
          <w:color w:val="auto"/>
        </w:rPr>
      </w:pPr>
    </w:p>
    <w:p>
      <w:pPr>
        <w:ind w:left="60"/>
        <w:spacing w:after="0"/>
        <w:tabs>
          <w:tab w:leader="none" w:pos="940" w:val="left"/>
          <w:tab w:leader="none" w:pos="1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56">
        <w:r>
          <w:rPr>
            <w:rFonts w:ascii="Times New Roman" w:cs="Times New Roman" w:eastAsia="Times New Roman" w:hAnsi="Times New Roman"/>
            <w:sz w:val="17"/>
            <w:szCs w:val="17"/>
            <w:u w:val="single" w:color="auto"/>
            <w:color w:val="0000EE"/>
          </w:rPr>
          <w:t>Waste Management, Inc. Employee Stock Purchase Plan (As Amended and Restated effective May 12,</w:t>
        </w:r>
      </w:hyperlink>
    </w:p>
    <w:p>
      <w:pPr>
        <w:spacing w:after="0" w:line="9" w:lineRule="exact"/>
        <w:rPr>
          <w:sz w:val="20"/>
          <w:szCs w:val="20"/>
          <w:color w:val="auto"/>
        </w:rPr>
      </w:pPr>
    </w:p>
    <w:p>
      <w:pPr>
        <w:ind w:left="1280"/>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2020) [incorporated by reference to Exhibit 10.1 to Form 8-K dated May 12, 2020].</w:t>
        </w:r>
      </w:hyperlink>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First Amendment to the Waste Management, Inc. Employee Stock Purchase Plan.</w:t>
      </w:r>
    </w:p>
    <w:p>
      <w:pPr>
        <w:spacing w:after="0" w:line="9" w:lineRule="exact"/>
        <w:rPr>
          <w:sz w:val="20"/>
          <w:szCs w:val="20"/>
          <w:color w:val="auto"/>
        </w:rPr>
      </w:pPr>
    </w:p>
    <w:p>
      <w:pPr>
        <w:ind w:left="960" w:right="119" w:hanging="1227"/>
        <w:spacing w:after="0" w:line="26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Waste Management, Inc. 409A Deferral Savings Plan as Amended and Restated effective January 1, 2014</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[incorporated by reference to Exhibit 10.2 to Form 10-Q for the quarter ended March 31, 2014].</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080" w:type="dxa"/>
            <w:vAlign w:val="bottom"/>
            <w:gridSpan w:val="36"/>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EE"/>
                </w:rPr>
                <w:t>$3.5 Billion Sixth Amended and Restated Revolving Credit Agreement dated as of May 27, 2022 by and</w:t>
              </w:r>
            </w:hyperlink>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among Waste Management, Inc., Waste Management of Canada Corporation, WM Quebec Inc. and Waste</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Management Holdings, Inc., certain banks party thereto, and Bank of America, N.A., as administrative</w:t>
              </w:r>
            </w:hyperlink>
          </w:p>
        </w:tc>
        <w:tc>
          <w:tcPr>
            <w:tcW w:w="2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gridSpan w:val="3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agent [incorporated by reference to Exhibit 10.1 to Form 8-K dated May 27, 2022].</w:t>
              </w:r>
            </w:hyperlink>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EE"/>
                </w:rPr>
                <w:t>Commercial Paper Dealer Agreement, substantially in the form as executed with each of Mizuho</w:t>
              </w:r>
            </w:hyperlink>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Securities USA LLC, BofA Securities, Inc., J.P. Morgan Securities LLC, MUFG Securities Americas Inc.,</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Wells Fargo Securities, LLC, RBC Capital Markets, LLC, Siebert Williams Shank &amp; Co., LLC, and</w:t>
              </w:r>
            </w:hyperlink>
          </w:p>
        </w:tc>
        <w:tc>
          <w:tcPr>
            <w:tcW w:w="4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gridSpan w:val="3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Barclays Capital Inc. as Dealer [incorporated by reference to Exhibit 10.11 to Form 10-K for the year</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ended December 31, 2016].</w:t>
              </w:r>
            </w:hyperlink>
          </w:p>
        </w:tc>
        <w:tc>
          <w:tcPr>
            <w:tcW w:w="5300" w:type="dxa"/>
            <w:vAlign w:val="bottom"/>
            <w:tcBorders>
              <w:top w:val="single" w:sz="8" w:color="0000EE"/>
            </w:tcBorders>
            <w:gridSpan w:val="19"/>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color w:val="0000EE"/>
                </w:rPr>
                <w:t>Commercial Paper Issuing and Paying Agent Agreement between Waste Management, Inc. and U.S. Bank</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Trust Company, National Association dated October 28, 2022. [incorporated by reference to Exhibit 10.11</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4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to Form 10-K for the year ended December 31, 2022].</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color w:val="0000EE"/>
                </w:rPr>
                <w:t>First Amended and Restated Employment Agreement between USA Waste-Management Resources, LLC</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and James C. Fish, Jr. dated December 22, 2017 [incorporated by reference to Exhibit 10.2 to Form 8-K</w:t>
              </w:r>
            </w:hyperlink>
          </w:p>
        </w:tc>
        <w:tc>
          <w:tcPr>
            <w:tcW w:w="80" w:type="dxa"/>
            <w:vAlign w:val="bottom"/>
            <w:tcBorders>
              <w:top w:val="single" w:sz="8" w:color="0000EE"/>
            </w:tcBorders>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dated December 22, 2017].</w:t>
              </w:r>
            </w:hyperlink>
          </w:p>
        </w:tc>
        <w:tc>
          <w:tcPr>
            <w:tcW w:w="5700" w:type="dxa"/>
            <w:vAlign w:val="bottom"/>
            <w:gridSpan w:val="29"/>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Compensation Relinquishment Agreement between USA Waste-Management Resources, LLC and James</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C. Fish, Jr.</w:t>
            </w:r>
          </w:p>
        </w:tc>
        <w:tc>
          <w:tcPr>
            <w:tcW w:w="6780" w:type="dxa"/>
            <w:vAlign w:val="bottom"/>
            <w:tcBorders>
              <w:top w:val="single" w:sz="8" w:color="0000EE"/>
            </w:tcBorders>
            <w:gridSpan w:val="31"/>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First Amendment to Compensation Relinquishment Agreement between USA Waste-Management</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Resources, LLC and James C. Fish, Jr.</w:t>
            </w:r>
          </w:p>
        </w:tc>
        <w:tc>
          <w:tcPr>
            <w:tcW w:w="560" w:type="dxa"/>
            <w:vAlign w:val="bottom"/>
            <w:gridSpan w:val="1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color w:val="0000EE"/>
                </w:rPr>
                <w:t>Employment Agreement between USA Waste-Management Resources, LLC and Devina A. Rankin dated</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December 22, 2017 [incorporated by reference to Exhibit 10.3 to Form 8-K dated December 22, 2017].</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EE"/>
                </w:rPr>
                <w:t>First Amended and Restated Employment Agreement between USA Waste-Management Resources, LLC</w:t>
              </w:r>
            </w:hyperlink>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and John J. Morris, Jr. [incorporated by reference to Exhibit 10.4 to Form 8-K dated December 22, 2017].</w:t>
              </w:r>
            </w:hyperlink>
          </w:p>
        </w:tc>
        <w:tc>
          <w:tcPr>
            <w:tcW w:w="4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color w:val="0000EE"/>
                </w:rPr>
                <w:t>Employment Agreement between USA Waste-Management Resources, LLC and Charles C. Boettcher</w:t>
              </w:r>
            </w:hyperlink>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dated December 22, 2017 [incorporated by reference to Exhibit 10.23 to Form 10-K for the year ended</w:t>
              </w:r>
            </w:hyperlink>
          </w:p>
        </w:tc>
        <w:tc>
          <w:tcPr>
            <w:tcW w:w="240" w:type="dxa"/>
            <w:vAlign w:val="bottom"/>
            <w:gridSpan w:val="6"/>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gridSpan w:val="35"/>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December 31, 2017].</w:t>
              </w:r>
            </w:hyperlink>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color w:val="0000EE"/>
                </w:rPr>
                <w:t>Form of Director and Executive Officer Indemnity Agreement [incorporated by reference to Exhibit 10.43</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6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to Form 10-K for the year ended December 31, 2012].</w:t>
              </w:r>
            </w:hyperlink>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color w:val="0000EE"/>
                </w:rPr>
                <w:t>Waste Management Holdings, Inc. Executive Severance Plan [incorporated by reference to Exhibit 10.1 to</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8-K dated December 22, 2017].</w:t>
              </w:r>
            </w:hyperlink>
          </w:p>
        </w:tc>
        <w:tc>
          <w:tcPr>
            <w:tcW w:w="4880" w:type="dxa"/>
            <w:vAlign w:val="bottom"/>
            <w:tcBorders>
              <w:top w:val="single" w:sz="8" w:color="0000EE"/>
            </w:tcBorders>
            <w:gridSpan w:val="2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color w:val="0000EE"/>
                </w:rPr>
                <w:t>Form of 2021 Long Term Incentive Compensation Award Agreement for Senior Leadership Team</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[incorporated by reference to Exhibit 10.1 to Form 8-K dated February 23, 2021].</w:t>
              </w:r>
            </w:hyperlink>
          </w:p>
        </w:tc>
        <w:tc>
          <w:tcPr>
            <w:tcW w:w="600" w:type="dxa"/>
            <w:vAlign w:val="bottom"/>
            <w:gridSpan w:val="13"/>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0000EE"/>
                </w:rPr>
                <w:t>Form of 2021 Long Term Incentive Compensation RSU Award Agreement [incorporated by reference to</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Exhibit 10.19 to Form 10-K for the year ended December 31, 2021].</w:t>
              </w:r>
            </w:hyperlink>
          </w:p>
        </w:tc>
        <w:tc>
          <w:tcPr>
            <w:tcW w:w="2620" w:type="dxa"/>
            <w:vAlign w:val="bottom"/>
            <w:tcBorders>
              <w:top w:val="single" w:sz="8" w:color="0000EE"/>
            </w:tcBorders>
            <w:gridSpan w:val="1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color w:val="0000EE"/>
                </w:rPr>
                <w:t>Form of 2022 Long Term Incentive Compensation Award Agreement for Senior Leadership Team</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[incorporated by reference to Exhibit 10.1 to Form 8-K dated March 1, 2022].</w:t>
              </w:r>
            </w:hyperlink>
          </w:p>
        </w:tc>
        <w:tc>
          <w:tcPr>
            <w:tcW w:w="1420" w:type="dxa"/>
            <w:vAlign w:val="bottom"/>
            <w:tcBorders>
              <w:top w:val="single" w:sz="8" w:color="0000EE"/>
            </w:tcBorders>
            <w:gridSpan w:val="4"/>
          </w:tcPr>
          <w:p>
            <w:pPr>
              <w:spacing w:after="0"/>
              <w:rPr>
                <w:sz w:val="17"/>
                <w:szCs w:val="17"/>
                <w:color w:val="auto"/>
              </w:rPr>
            </w:pPr>
          </w:p>
        </w:tc>
        <w:tc>
          <w:tcPr>
            <w:tcW w:w="600" w:type="dxa"/>
            <w:vAlign w:val="bottom"/>
            <w:gridSpan w:val="1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color w:val="0000EE"/>
                </w:rPr>
                <w:t>Form of 2022 Long Term Incentive Compensation RSU Award Agreement [incorporated by reference to</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Exhibit 10.2 to Form 8-K dated March 1, 2022].</w:t>
              </w:r>
            </w:hyperlink>
          </w:p>
        </w:tc>
        <w:tc>
          <w:tcPr>
            <w:tcW w:w="4080" w:type="dxa"/>
            <w:vAlign w:val="bottom"/>
            <w:tcBorders>
              <w:top w:val="single" w:sz="8" w:color="0000EE"/>
            </w:tcBorders>
            <w:gridSpan w:val="21"/>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8080" w:type="dxa"/>
            <w:vAlign w:val="bottom"/>
            <w:gridSpan w:val="36"/>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color w:val="0000EE"/>
                </w:rPr>
                <w:t>Form of 2023 Long Term Incentive Compensation Award Agreement for Senior Leadership Team</w:t>
              </w:r>
            </w:hyperlink>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[incorporated by reference to Exhibit 10.1 to Form 8-K dated March 7, 2023].</w:t>
              </w:r>
            </w:hyperlink>
          </w:p>
        </w:tc>
        <w:tc>
          <w:tcPr>
            <w:tcW w:w="1440" w:type="dxa"/>
            <w:vAlign w:val="bottom"/>
            <w:tcBorders>
              <w:top w:val="single" w:sz="8" w:color="0000EE"/>
            </w:tcBorders>
            <w:gridSpan w:val="5"/>
          </w:tcPr>
          <w:p>
            <w:pPr>
              <w:spacing w:after="0"/>
              <w:rPr>
                <w:sz w:val="17"/>
                <w:szCs w:val="17"/>
                <w:color w:val="auto"/>
              </w:rPr>
            </w:pPr>
          </w:p>
        </w:tc>
        <w:tc>
          <w:tcPr>
            <w:tcW w:w="600" w:type="dxa"/>
            <w:vAlign w:val="bottom"/>
            <w:gridSpan w:val="1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Subsidiaries of the Registrant.</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4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Guarantor Subsidiary.</w:t>
            </w:r>
          </w:p>
        </w:tc>
        <w:tc>
          <w:tcPr>
            <w:tcW w:w="5480" w:type="dxa"/>
            <w:vAlign w:val="bottom"/>
            <w:gridSpan w:val="2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Independent Registered Public Accounting Firm.</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James C. Fish, Jr., President and Chief Executive Officer.</w:t>
            </w:r>
          </w:p>
        </w:tc>
        <w:tc>
          <w:tcPr>
            <w:tcW w:w="3240" w:type="dxa"/>
            <w:vAlign w:val="bottom"/>
            <w:tcBorders>
              <w:top w:val="single" w:sz="8" w:color="0000EE"/>
            </w:tcBorders>
            <w:gridSpan w:val="14"/>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Devina A. Rankin, Executive Vice President and Chief Financial Officer.</w:t>
            </w:r>
          </w:p>
        </w:tc>
        <w:tc>
          <w:tcPr>
            <w:tcW w:w="280" w:type="dxa"/>
            <w:vAlign w:val="bottom"/>
            <w:gridSpan w:val="8"/>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§1350 of James C. Fish, Jr., President and Chief Executive Officer.</w:t>
            </w: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4160" w:type="dxa"/>
            <w:vAlign w:val="bottom"/>
            <w:gridSpan w:val="1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§1350 of Devina A. Rankin, Executive Vice President and Chief</w:t>
            </w: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w:t>
            </w:r>
          </w:p>
        </w:tc>
        <w:tc>
          <w:tcPr>
            <w:tcW w:w="5940" w:type="dxa"/>
            <w:vAlign w:val="bottom"/>
            <w:tcBorders>
              <w:top w:val="single" w:sz="8" w:color="0000EE"/>
            </w:tcBorders>
            <w:gridSpan w:val="23"/>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840" w:type="dxa"/>
            <w:vAlign w:val="bottom"/>
            <w:gridSpan w:val="30"/>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8080" w:type="dxa"/>
            <w:vAlign w:val="bottom"/>
            <w:gridSpan w:val="36"/>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Waste Management, Inc. Clawback Policy</w:t>
            </w:r>
            <w:r>
              <w:rPr>
                <w:rFonts w:ascii="Times New Roman" w:cs="Times New Roman" w:eastAsia="Times New Roman" w:hAnsi="Times New Roman"/>
                <w:sz w:val="18"/>
                <w:szCs w:val="18"/>
                <w:color w:val="auto"/>
              </w:rPr>
              <w:t>.</w:t>
            </w:r>
          </w:p>
        </w:tc>
      </w:t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4600" w:type="dxa"/>
            <w:vAlign w:val="bottom"/>
            <w:gridSpan w:val="25"/>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9019"/>
          </w:cols>
          <w:pgMar w:left="1440" w:top="607"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101.SCH*</w:t>
        <w:tab/>
        <w:t>—</w:t>
      </w:r>
      <w:r>
        <w:rPr>
          <w:sz w:val="20"/>
          <w:szCs w:val="20"/>
          <w:color w:val="auto"/>
        </w:rPr>
        <w:tab/>
      </w:r>
      <w:r>
        <w:rPr>
          <w:rFonts w:ascii="Times New Roman" w:cs="Times New Roman" w:eastAsia="Times New Roman" w:hAnsi="Times New Roman"/>
          <w:sz w:val="17"/>
          <w:szCs w:val="17"/>
          <w:color w:val="auto"/>
        </w:rPr>
        <w:t>Inline XBRL Taxonomy Extension Schema.</w:t>
      </w:r>
    </w:p>
    <w:p>
      <w:pPr>
        <w:spacing w:after="0" w:line="27"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101.CAL*  —</w:t>
      </w:r>
      <w:r>
        <w:rPr>
          <w:sz w:val="20"/>
          <w:szCs w:val="20"/>
          <w:color w:val="auto"/>
        </w:rPr>
        <w:tab/>
      </w:r>
      <w:r>
        <w:rPr>
          <w:rFonts w:ascii="Times New Roman" w:cs="Times New Roman" w:eastAsia="Times New Roman" w:hAnsi="Times New Roman"/>
          <w:sz w:val="17"/>
          <w:szCs w:val="17"/>
          <w:color w:val="auto"/>
        </w:rPr>
        <w:t>Inline XBRL Taxonomy Extension Calculation.</w:t>
      </w:r>
    </w:p>
    <w:p>
      <w:pPr>
        <w:spacing w:after="0" w:line="9"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color w:val="auto"/>
        </w:rPr>
        <w:t>101.LAB*  —</w:t>
      </w:r>
      <w:r>
        <w:rPr>
          <w:sz w:val="20"/>
          <w:szCs w:val="20"/>
          <w:color w:val="auto"/>
        </w:rPr>
        <w:tab/>
      </w:r>
      <w:r>
        <w:rPr>
          <w:rFonts w:ascii="Times New Roman" w:cs="Times New Roman" w:eastAsia="Times New Roman" w:hAnsi="Times New Roman"/>
          <w:sz w:val="17"/>
          <w:szCs w:val="17"/>
          <w:color w:val="auto"/>
        </w:rPr>
        <w:t>Inline XBRL Taxonomy Extension Labels.</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101.PRE*</w:t>
        <w:tab/>
        <w:t>—</w:t>
      </w:r>
      <w:r>
        <w:rPr>
          <w:sz w:val="20"/>
          <w:szCs w:val="20"/>
          <w:color w:val="auto"/>
        </w:rPr>
        <w:tab/>
      </w:r>
      <w:r>
        <w:rPr>
          <w:rFonts w:ascii="Times New Roman" w:cs="Times New Roman" w:eastAsia="Times New Roman" w:hAnsi="Times New Roman"/>
          <w:sz w:val="17"/>
          <w:szCs w:val="17"/>
          <w:color w:val="auto"/>
        </w:rPr>
        <w:t>Inline XBRL Taxonomy Extension Presentation.</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101.DEF*</w:t>
        <w:tab/>
        <w:t>—</w:t>
      </w:r>
      <w:r>
        <w:rPr>
          <w:sz w:val="20"/>
          <w:szCs w:val="20"/>
          <w:color w:val="auto"/>
        </w:rPr>
        <w:tab/>
      </w:r>
      <w:r>
        <w:rPr>
          <w:rFonts w:ascii="Times New Roman" w:cs="Times New Roman" w:eastAsia="Times New Roman" w:hAnsi="Times New Roman"/>
          <w:sz w:val="17"/>
          <w:szCs w:val="17"/>
          <w:color w:val="auto"/>
        </w:rPr>
        <w:t>Inline XBRL Taxonomy Extension Definition.</w:t>
      </w:r>
    </w:p>
    <w:p>
      <w:pPr>
        <w:spacing w:after="0" w:line="9" w:lineRule="exact"/>
        <w:rPr>
          <w:sz w:val="20"/>
          <w:szCs w:val="20"/>
          <w:color w:val="auto"/>
        </w:rPr>
      </w:pPr>
    </w:p>
    <w:p>
      <w:pPr>
        <w:ind w:left="60"/>
        <w:spacing w:after="0"/>
        <w:tabs>
          <w:tab w:leader="none" w:pos="940" w:val="left"/>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t>
        <w:tab/>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7" w:lineRule="exact"/>
        <w:rPr>
          <w:sz w:val="20"/>
          <w:szCs w:val="20"/>
          <w:color w:val="auto"/>
        </w:rPr>
      </w:pPr>
    </w:p>
    <w:p>
      <w:pPr>
        <w:ind w:left="360" w:hanging="310"/>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60" w:hanging="310"/>
        <w:spacing w:after="0"/>
        <w:tabs>
          <w:tab w:leader="none" w:pos="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C. FISH, JR.</w:t>
            </w:r>
          </w:p>
        </w:tc>
      </w:tr>
      <w:tr>
        <w:trPr>
          <w:trHeight w:val="189"/>
        </w:trPr>
        <w:tc>
          <w:tcPr>
            <w:tcW w:w="32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Director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77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8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31"/>
              <w:spacing w:after="0"/>
              <w:rPr>
                <w:sz w:val="20"/>
                <w:szCs w:val="20"/>
                <w:color w:val="auto"/>
              </w:rPr>
            </w:pPr>
            <w:r>
              <w:rPr>
                <w:rFonts w:ascii="Times New Roman" w:cs="Times New Roman" w:eastAsia="Times New Roman" w:hAnsi="Times New Roman"/>
                <w:sz w:val="18"/>
                <w:szCs w:val="18"/>
                <w:color w:val="auto"/>
                <w:w w:val="99"/>
              </w:rPr>
              <w:t>JAMES C. FISH, JR.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w w:val="99"/>
              </w:rPr>
              <w:t>James C. Fish, Jr.</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8"/>
                <w:szCs w:val="18"/>
                <w:color w:val="auto"/>
                <w:w w:val="99"/>
              </w:rPr>
              <w:t>DEVINA A. RANKIN</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Executive Vice President and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191"/>
        </w:trPr>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jc w:val="center"/>
              <w:ind w:right="751"/>
              <w:spacing w:after="0" w:line="191" w:lineRule="exact"/>
              <w:rPr>
                <w:sz w:val="20"/>
                <w:szCs w:val="20"/>
                <w:color w:val="auto"/>
              </w:rPr>
            </w:pPr>
            <w:r>
              <w:rPr>
                <w:rFonts w:ascii="Times New Roman" w:cs="Times New Roman" w:eastAsia="Times New Roman" w:hAnsi="Times New Roman"/>
                <w:sz w:val="18"/>
                <w:szCs w:val="18"/>
                <w:color w:val="auto"/>
                <w:w w:val="99"/>
              </w:rPr>
              <w:t>Devina A. Rankin</w:t>
            </w:r>
          </w:p>
        </w:tc>
        <w:tc>
          <w:tcPr>
            <w:tcW w:w="280" w:type="dxa"/>
            <w:vAlign w:val="bottom"/>
          </w:tcPr>
          <w:p>
            <w:pPr>
              <w:spacing w:after="0"/>
              <w:rPr>
                <w:sz w:val="16"/>
                <w:szCs w:val="16"/>
                <w:color w:val="auto"/>
              </w:rPr>
            </w:pPr>
          </w:p>
        </w:tc>
        <w:tc>
          <w:tcPr>
            <w:tcW w:w="404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1520" w:type="dxa"/>
            <w:vAlign w:val="bottom"/>
          </w:tcPr>
          <w:p>
            <w:pPr>
              <w:spacing w:after="0"/>
              <w:rPr>
                <w:sz w:val="16"/>
                <w:szCs w:val="16"/>
                <w:color w:val="auto"/>
              </w:rPr>
            </w:pPr>
          </w:p>
        </w:tc>
      </w:tr>
      <w:tr>
        <w:trPr>
          <w:trHeight w:val="234"/>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520" w:type="dxa"/>
            <w:vAlign w:val="bottom"/>
          </w:tcPr>
          <w:p>
            <w:pPr>
              <w:spacing w:after="0"/>
              <w:rPr>
                <w:sz w:val="20"/>
                <w:szCs w:val="20"/>
                <w:color w:val="auto"/>
              </w:rPr>
            </w:pPr>
          </w:p>
        </w:tc>
      </w:tr>
      <w:tr>
        <w:trPr>
          <w:trHeight w:val="432"/>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1"/>
              <w:spacing w:after="0"/>
              <w:rPr>
                <w:sz w:val="20"/>
                <w:szCs w:val="20"/>
                <w:color w:val="auto"/>
              </w:rPr>
            </w:pPr>
            <w:r>
              <w:rPr>
                <w:rFonts w:ascii="Times New Roman" w:cs="Times New Roman" w:eastAsia="Times New Roman" w:hAnsi="Times New Roman"/>
                <w:sz w:val="18"/>
                <w:szCs w:val="18"/>
                <w:color w:val="auto"/>
              </w:rPr>
              <w:t>/s/  JOHN CARROLL</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rPr>
              <w:t>John Carroll</w:t>
            </w:r>
          </w:p>
        </w:tc>
        <w:tc>
          <w:tcPr>
            <w:tcW w:w="28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3"/>
              </w:rPr>
              <w:t>/s/</w:t>
            </w:r>
          </w:p>
        </w:tc>
        <w:tc>
          <w:tcPr>
            <w:tcW w:w="222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8"/>
                <w:szCs w:val="18"/>
                <w:color w:val="auto"/>
                <w:w w:val="98"/>
              </w:rPr>
              <w:t>BRUCE E. CHINN</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w w:val="98"/>
              </w:rPr>
              <w:t>Bruce E. Chinn</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8"/>
                <w:szCs w:val="18"/>
                <w:color w:val="auto"/>
              </w:rPr>
              <w:t>ANDRÉS R. GLUSKI</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rPr>
              <w:t>Andrés R. Gluski</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8"/>
                <w:szCs w:val="18"/>
                <w:color w:val="auto"/>
                <w:w w:val="97"/>
              </w:rPr>
              <w:t>VICTORIA M. HOLT</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w w:val="97"/>
              </w:rPr>
              <w:t>Victoria M. Holt</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Times New Roman" w:cs="Times New Roman" w:eastAsia="Times New Roman" w:hAnsi="Times New Roman"/>
                <w:sz w:val="18"/>
                <w:szCs w:val="18"/>
                <w:color w:val="auto"/>
                <w:w w:val="98"/>
              </w:rPr>
              <w:t>KATHLEEN M. MAZZARELLA</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Times New Roman" w:cs="Times New Roman" w:eastAsia="Times New Roman" w:hAnsi="Times New Roman"/>
                <w:sz w:val="18"/>
                <w:szCs w:val="18"/>
                <w:color w:val="auto"/>
                <w:w w:val="99"/>
              </w:rPr>
              <w:t>Kathleen M. Mazzarella</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1"/>
              <w:spacing w:after="0"/>
              <w:rPr>
                <w:sz w:val="20"/>
                <w:szCs w:val="20"/>
                <w:color w:val="auto"/>
              </w:rPr>
            </w:pPr>
            <w:r>
              <w:rPr>
                <w:rFonts w:ascii="Times New Roman" w:cs="Times New Roman" w:eastAsia="Times New Roman" w:hAnsi="Times New Roman"/>
                <w:sz w:val="18"/>
                <w:szCs w:val="18"/>
                <w:color w:val="auto"/>
              </w:rPr>
              <w:t>/s/  SEAN E. MENKE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rPr>
              <w:t>Sean E. Menke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3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WILLIAM B. PLUMMER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Times New Roman" w:cs="Times New Roman" w:eastAsia="Times New Roman" w:hAnsi="Times New Roman"/>
                <w:sz w:val="18"/>
                <w:szCs w:val="18"/>
                <w:color w:val="auto"/>
                <w:w w:val="99"/>
              </w:rPr>
              <w:t>William B. Plummer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center"/>
              <w:ind w:right="351"/>
              <w:spacing w:after="0"/>
              <w:rPr>
                <w:sz w:val="20"/>
                <w:szCs w:val="20"/>
                <w:color w:val="auto"/>
              </w:rPr>
            </w:pPr>
            <w:r>
              <w:rPr>
                <w:rFonts w:ascii="Times New Roman" w:cs="Times New Roman" w:eastAsia="Times New Roman" w:hAnsi="Times New Roman"/>
                <w:sz w:val="18"/>
                <w:szCs w:val="18"/>
                <w:color w:val="auto"/>
              </w:rPr>
              <w:t>/s/  JOHN C. POPE</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jc w:val="center"/>
              <w:ind w:right="751"/>
              <w:spacing w:after="0"/>
              <w:rPr>
                <w:sz w:val="20"/>
                <w:szCs w:val="20"/>
                <w:color w:val="auto"/>
              </w:rPr>
            </w:pPr>
            <w:r>
              <w:rPr>
                <w:rFonts w:ascii="Times New Roman" w:cs="Times New Roman" w:eastAsia="Times New Roman" w:hAnsi="Times New Roman"/>
                <w:sz w:val="18"/>
                <w:szCs w:val="18"/>
                <w:color w:val="auto"/>
                <w:w w:val="98"/>
              </w:rPr>
              <w:t>John C. Pope</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4"/>
        </w:trPr>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3"/>
              </w:rPr>
              <w:t>/s/</w:t>
            </w:r>
          </w:p>
        </w:tc>
        <w:tc>
          <w:tcPr>
            <w:tcW w:w="2620" w:type="dxa"/>
            <w:vAlign w:val="bottom"/>
            <w:tcBorders>
              <w:bottom w:val="single" w:sz="8" w:color="auto"/>
            </w:tcBorders>
            <w:gridSpan w:val="2"/>
          </w:tcPr>
          <w:p>
            <w:pPr>
              <w:jc w:val="center"/>
              <w:ind w:right="51"/>
              <w:spacing w:after="0"/>
              <w:rPr>
                <w:sz w:val="20"/>
                <w:szCs w:val="20"/>
                <w:color w:val="auto"/>
              </w:rPr>
            </w:pPr>
            <w:r>
              <w:rPr>
                <w:rFonts w:ascii="Times New Roman" w:cs="Times New Roman" w:eastAsia="Times New Roman" w:hAnsi="Times New Roman"/>
                <w:sz w:val="18"/>
                <w:szCs w:val="18"/>
                <w:color w:val="auto"/>
                <w:w w:val="98"/>
              </w:rPr>
              <w:t>MARYROSE T. SYLVESTER</w:t>
            </w:r>
          </w:p>
        </w:tc>
        <w:tc>
          <w:tcPr>
            <w:tcW w:w="280" w:type="dxa"/>
            <w:vAlign w:val="bottom"/>
          </w:tcPr>
          <w:p>
            <w:pPr>
              <w:spacing w:after="0"/>
              <w:rPr>
                <w:sz w:val="24"/>
                <w:szCs w:val="24"/>
                <w:color w:val="auto"/>
              </w:rPr>
            </w:pPr>
          </w:p>
        </w:tc>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440" w:type="dxa"/>
            <w:vAlign w:val="bottom"/>
          </w:tcPr>
          <w:p>
            <w:pPr>
              <w:spacing w:after="0"/>
              <w:rPr>
                <w:sz w:val="19"/>
                <w:szCs w:val="19"/>
                <w:color w:val="auto"/>
              </w:rPr>
            </w:pPr>
          </w:p>
        </w:tc>
        <w:tc>
          <w:tcPr>
            <w:tcW w:w="2620" w:type="dxa"/>
            <w:vAlign w:val="bottom"/>
            <w:gridSpan w:val="2"/>
          </w:tcPr>
          <w:p>
            <w:pPr>
              <w:jc w:val="center"/>
              <w:ind w:right="351"/>
              <w:spacing w:after="0"/>
              <w:rPr>
                <w:sz w:val="20"/>
                <w:szCs w:val="20"/>
                <w:color w:val="auto"/>
              </w:rPr>
            </w:pPr>
            <w:r>
              <w:rPr>
                <w:rFonts w:ascii="Times New Roman" w:cs="Times New Roman" w:eastAsia="Times New Roman" w:hAnsi="Times New Roman"/>
                <w:sz w:val="18"/>
                <w:szCs w:val="18"/>
                <w:color w:val="auto"/>
                <w:w w:val="98"/>
              </w:rPr>
              <w:t>Maryrose T. Sylvester</w:t>
            </w:r>
          </w:p>
        </w:tc>
        <w:tc>
          <w:tcPr>
            <w:tcW w:w="2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5" w:name="page136"/>
    <w:bookmarkEnd w:id="1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1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Schedule of Officers’ Certificates</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delivered pursuant to Section 301 of the Indenture dated September 10, 1997</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by and between Waste Management, Inc. and The Bank of New York Mellon Trust Company, N.A., as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 establishing the terms and form of Waste Management, Inc.’s Outstanding Senior Notes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8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280" w:type="dxa"/>
            <w:vAlign w:val="bottom"/>
          </w:tcPr>
          <w:p>
            <w:pPr>
              <w:spacing w:after="0"/>
              <w:rPr>
                <w:sz w:val="14"/>
                <w:szCs w:val="14"/>
                <w:color w:val="auto"/>
              </w:rPr>
            </w:pPr>
          </w:p>
        </w:tc>
      </w:tr>
      <w:tr>
        <w:trPr>
          <w:trHeight w:val="178"/>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(per annum)</w:t>
            </w:r>
          </w:p>
        </w:tc>
        <w:tc>
          <w:tcPr>
            <w:tcW w:w="240" w:type="dxa"/>
            <w:vAlign w:val="bottom"/>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240" w:type="dxa"/>
            <w:vAlign w:val="bottom"/>
          </w:tcPr>
          <w:p>
            <w:pPr>
              <w:spacing w:after="0"/>
              <w:rPr>
                <w:sz w:val="15"/>
                <w:szCs w:val="15"/>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5"/>
                <w:szCs w:val="15"/>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rPr>
              <w:t>Dates</w:t>
            </w:r>
          </w:p>
        </w:tc>
        <w:tc>
          <w:tcPr>
            <w:tcW w:w="280" w:type="dxa"/>
            <w:vAlign w:val="bottom"/>
            <w:tcBorders>
              <w:bottom w:val="single" w:sz="8" w:color="auto"/>
            </w:tcBorders>
          </w:tcPr>
          <w:p>
            <w:pPr>
              <w:spacing w:after="0"/>
              <w:rPr>
                <w:sz w:val="15"/>
                <w:szCs w:val="15"/>
                <w:color w:val="auto"/>
              </w:rPr>
            </w:pPr>
          </w:p>
        </w:tc>
      </w:tr>
      <w:tr>
        <w:trPr>
          <w:trHeight w:val="188"/>
        </w:trPr>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600 million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258 million</w:t>
            </w:r>
          </w:p>
        </w:tc>
        <w:tc>
          <w:tcPr>
            <w:tcW w:w="900" w:type="dxa"/>
            <w:vAlign w:val="bottom"/>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rPr>
              <w:t>7.00%</w:t>
            </w:r>
          </w:p>
        </w:tc>
        <w:tc>
          <w:tcPr>
            <w:tcW w:w="2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7/17/1998</w:t>
            </w:r>
          </w:p>
        </w:tc>
        <w:tc>
          <w:tcPr>
            <w:tcW w:w="24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7/15/2028*</w:t>
            </w:r>
          </w:p>
        </w:tc>
        <w:tc>
          <w:tcPr>
            <w:tcW w:w="160" w:type="dxa"/>
            <w:vAlign w:val="bottom"/>
          </w:tcPr>
          <w:p>
            <w:pPr>
              <w:spacing w:after="0"/>
              <w:rPr>
                <w:sz w:val="16"/>
                <w:szCs w:val="16"/>
                <w:color w:val="auto"/>
              </w:rPr>
            </w:pPr>
          </w:p>
        </w:tc>
        <w:tc>
          <w:tcPr>
            <w:tcW w:w="124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7"/>
                <w:szCs w:val="17"/>
                <w:color w:val="auto"/>
                <w:w w:val="99"/>
              </w:rPr>
              <w:t>902917AH6</w:t>
            </w:r>
          </w:p>
        </w:tc>
        <w:tc>
          <w:tcPr>
            <w:tcW w:w="1620" w:type="dxa"/>
            <w:vAlign w:val="bottom"/>
          </w:tcPr>
          <w:p>
            <w:pPr>
              <w:jc w:val="center"/>
              <w:ind w:left="197"/>
              <w:spacing w:after="0" w:line="189" w:lineRule="exact"/>
              <w:rPr>
                <w:sz w:val="20"/>
                <w:szCs w:val="20"/>
                <w:color w:val="auto"/>
              </w:rPr>
            </w:pPr>
            <w:r>
              <w:rPr>
                <w:rFonts w:ascii="Times New Roman" w:cs="Times New Roman" w:eastAsia="Times New Roman" w:hAnsi="Times New Roman"/>
                <w:sz w:val="17"/>
                <w:szCs w:val="17"/>
                <w:color w:val="auto"/>
              </w:rPr>
              <w:t>January 15; July 15</w:t>
            </w:r>
          </w:p>
        </w:tc>
        <w:tc>
          <w:tcPr>
            <w:tcW w:w="280" w:type="dxa"/>
            <w:vAlign w:val="bottom"/>
          </w:tcPr>
          <w:p>
            <w:pPr>
              <w:spacing w:after="0"/>
              <w:rPr>
                <w:sz w:val="16"/>
                <w:szCs w:val="16"/>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81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7.375%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1/21/2000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94106LAG4</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144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1/3/2003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5/15/2032*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94106LAN9</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246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11/17/2009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11/30/2039</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94106LAV1</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30; November 30</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156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5/8/2014</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5/15/2024</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94106LAZ2</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422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3.125%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3/1/2025</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94106LBA6</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297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3.90%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3/1/2035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94106LBB4</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416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3/1/2045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94106LBC2</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11/8/2017</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11/15/2027</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94106LBE8</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684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5/22/2019</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7/15/2049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94106LBK4</w:t>
            </w:r>
          </w:p>
        </w:tc>
        <w:tc>
          <w:tcPr>
            <w:tcW w:w="1620" w:type="dxa"/>
            <w:vAlign w:val="bottom"/>
          </w:tcPr>
          <w:p>
            <w:pPr>
              <w:jc w:val="center"/>
              <w:ind w:left="197"/>
              <w:spacing w:after="0"/>
              <w:rPr>
                <w:sz w:val="20"/>
                <w:szCs w:val="20"/>
                <w:color w:val="auto"/>
              </w:rPr>
            </w:pPr>
            <w:r>
              <w:rPr>
                <w:rFonts w:ascii="Times New Roman" w:cs="Times New Roman" w:eastAsia="Times New Roman" w:hAnsi="Times New Roman"/>
                <w:sz w:val="17"/>
                <w:szCs w:val="17"/>
                <w:color w:val="auto"/>
              </w:rPr>
              <w:t>January 15; July 15</w:t>
            </w:r>
          </w:p>
        </w:tc>
        <w:tc>
          <w:tcPr>
            <w:tcW w:w="280" w:type="dxa"/>
            <w:vAlign w:val="bottom"/>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11/15/2025</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94106LBL2</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3/15/2028</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94106LBN8</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3/15/2031</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94106LBP3</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15; September</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2.50%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11/17/2020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11/15/2050</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94106LBM0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May 15; November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475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475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2.00%</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5/12/2021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6/1/2029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94106LBQ1</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June 1; December 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475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475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2.95%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5/12/2021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6/1/2041</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94106LBR9</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June 1; December 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5/12/2022</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4/15/2032</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94106LBS7</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April 15; October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2/15/2023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2/15/2030</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94106LBT5</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4.625%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2/15/2023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2/15/2033</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94106LBU2</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750 million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4.875%</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8/3/2023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2/15/2029</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94106LBV0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r>
        <w:trPr>
          <w:trHeight w:val="249"/>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1.25 billion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 billion</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4.875%</w:t>
            </w:r>
          </w:p>
        </w:tc>
        <w:tc>
          <w:tcPr>
            <w:tcW w:w="2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8/3/2023</w:t>
            </w:r>
          </w:p>
        </w:tc>
        <w:tc>
          <w:tcPr>
            <w:tcW w:w="2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2/15/2034</w:t>
            </w:r>
          </w:p>
        </w:tc>
        <w:tc>
          <w:tcPr>
            <w:tcW w:w="16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94106LBW8</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February 15; August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78740</wp:posOffset>
            </wp:positionV>
            <wp:extent cx="14141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7" w:lineRule="exact"/>
        <w:rPr>
          <w:sz w:val="20"/>
          <w:szCs w:val="20"/>
          <w:color w:val="auto"/>
        </w:rPr>
      </w:pPr>
    </w:p>
    <w:p>
      <w:pPr>
        <w:jc w:val="both"/>
        <w:ind w:left="360" w:right="59" w:hanging="316"/>
        <w:spacing w:after="0" w:line="266" w:lineRule="auto"/>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these series of Senior Notes do not contain a Change of Control Offer covenant. Such covenant provides that, if a change of control triggering event occurs, each holder of the notes may require us to purchase all or a portion of such holder’s notes at a price equal to 101% of the principal amount, plus accrued interest, if any, to the date of purchase.</w:t>
      </w:r>
    </w:p>
    <w:p>
      <w:pPr>
        <w:spacing w:after="0" w:line="17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This schedule is provided in accordance with Instruction 2 to Regulation S-K Item 601, as each of the series of Senior Notes is governed by an instrument that differs only in the material respects set forth in the schedule above from the Officers’ Certificate identified as Exhibit 4.8 to this Form 10-K.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6" w:name="page137"/>
    <w:bookmarkEnd w:id="136"/>
    <w:p>
      <w:pPr>
        <w:jc w:val="right"/>
        <w:ind w:right="559"/>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WASTE MANAGEMENT, INC. EMPLOYEE STOCK PURCHASE PLAN</w:t>
      </w:r>
    </w:p>
    <w:p>
      <w:pPr>
        <w:spacing w:after="0" w:line="200" w:lineRule="exact"/>
        <w:rPr>
          <w:sz w:val="20"/>
          <w:szCs w:val="20"/>
          <w:color w:val="auto"/>
        </w:rPr>
      </w:pPr>
    </w:p>
    <w:p>
      <w:pPr>
        <w:spacing w:after="0" w:line="221" w:lineRule="exact"/>
        <w:rPr>
          <w:sz w:val="20"/>
          <w:szCs w:val="20"/>
          <w:color w:val="auto"/>
        </w:rPr>
      </w:pPr>
    </w:p>
    <w:p>
      <w:pPr>
        <w:jc w:val="both"/>
        <w:ind w:left="540" w:right="5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Waste Management, Inc. (the “Company”) maintains the Waste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Management, Inc. Employee Stock Purchase Plan, as Amended and Restated Effective May 12, 2020 (the “Plan”); and</w:t>
      </w:r>
    </w:p>
    <w:p>
      <w:pPr>
        <w:spacing w:after="0" w:line="167" w:lineRule="exact"/>
        <w:rPr>
          <w:sz w:val="20"/>
          <w:szCs w:val="20"/>
          <w:color w:val="auto"/>
        </w:rPr>
      </w:pPr>
    </w:p>
    <w:p>
      <w:pPr>
        <w:jc w:val="both"/>
        <w:ind w:left="540" w:right="5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Plan Sponsor Committee of the Waste Management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Plans (the “Committee”) has the authority to amend the Plan at any time pursuant to Section 14; and</w:t>
      </w:r>
    </w:p>
    <w:p>
      <w:pPr>
        <w:spacing w:after="0" w:line="167" w:lineRule="exact"/>
        <w:rPr>
          <w:sz w:val="20"/>
          <w:szCs w:val="20"/>
          <w:color w:val="auto"/>
        </w:rPr>
      </w:pPr>
    </w:p>
    <w:p>
      <w:pPr>
        <w:jc w:val="both"/>
        <w:ind w:left="540" w:right="55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Committee now desires to amend the Plan’s definition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Price” to only be the price per share of Common Stock offered in a given Offering Period based on 85% of the Fair Market Value on the Exercise Date of such Offering Period, which is the last business day of each Offering Period.</w:t>
      </w:r>
    </w:p>
    <w:p>
      <w:pPr>
        <w:spacing w:after="0" w:line="172" w:lineRule="exact"/>
        <w:rPr>
          <w:sz w:val="20"/>
          <w:szCs w:val="20"/>
          <w:color w:val="auto"/>
        </w:rPr>
      </w:pPr>
    </w:p>
    <w:p>
      <w:pPr>
        <w:jc w:val="both"/>
        <w:ind w:left="540" w:right="5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effective as of January 1, 2024, the Plan’s definition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Price” is hereby amended in its entirety and replaced by the following:</w:t>
      </w:r>
    </w:p>
    <w:p>
      <w:pPr>
        <w:spacing w:after="0" w:line="150" w:lineRule="exact"/>
        <w:rPr>
          <w:sz w:val="20"/>
          <w:szCs w:val="20"/>
          <w:color w:val="auto"/>
        </w:rPr>
      </w:pPr>
    </w:p>
    <w:p>
      <w:pPr>
        <w:ind w:left="1180" w:hanging="316"/>
        <w:spacing w:after="0"/>
        <w:tabs>
          <w:tab w:leader="none" w:pos="1180" w:val="left"/>
        </w:tabs>
        <w:numPr>
          <w:ilvl w:val="0"/>
          <w:numId w:val="8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u w:val="single" w:color="auto"/>
          <w:color w:val="auto"/>
        </w:rPr>
        <w:t>Definitions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As used in the Plan the following terms shall have the meanings set forth below:…</w:t>
      </w:r>
    </w:p>
    <w:p>
      <w:pPr>
        <w:spacing w:after="0" w:line="206" w:lineRule="exact"/>
        <w:rPr>
          <w:sz w:val="20"/>
          <w:szCs w:val="20"/>
          <w:color w:val="auto"/>
        </w:rPr>
      </w:pPr>
    </w:p>
    <w:p>
      <w:pPr>
        <w:jc w:val="both"/>
        <w:ind w:left="540" w:right="559" w:firstLine="324"/>
        <w:spacing w:after="0" w:line="244" w:lineRule="auto"/>
        <w:tabs>
          <w:tab w:leader="none" w:pos="11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Price” means the price per share of Common Stock offered in a given Offering Period, which shall be 85% of the Fair Market Value of a share of the Common Stock on the Exercise Date of such Offering Period.</w:t>
      </w:r>
    </w:p>
    <w:p>
      <w:pPr>
        <w:spacing w:after="0" w:line="169" w:lineRule="exact"/>
        <w:rPr>
          <w:rFonts w:ascii="Times New Roman" w:cs="Times New Roman" w:eastAsia="Times New Roman" w:hAnsi="Times New Roman"/>
          <w:sz w:val="22"/>
          <w:szCs w:val="22"/>
          <w:color w:val="auto"/>
        </w:rPr>
      </w:pPr>
    </w:p>
    <w:p>
      <w:pPr>
        <w:ind w:left="3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9"/>
          <w:szCs w:val="19"/>
          <w:b w:val="1"/>
          <w:bCs w:val="1"/>
          <w:color w:val="auto"/>
        </w:rPr>
        <w:t>*</w:t>
      </w:r>
    </w:p>
    <w:p>
      <w:pPr>
        <w:spacing w:after="0" w:line="206" w:lineRule="exact"/>
        <w:rPr>
          <w:sz w:val="20"/>
          <w:szCs w:val="20"/>
          <w:color w:val="auto"/>
        </w:rPr>
      </w:pPr>
    </w:p>
    <w:p>
      <w:pPr>
        <w:jc w:val="both"/>
        <w:ind w:left="540" w:right="5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IN WITNESS HEREOF, </w:t>
      </w:r>
      <w:r>
        <w:rPr>
          <w:rFonts w:ascii="Times New Roman" w:cs="Times New Roman" w:eastAsia="Times New Roman" w:hAnsi="Times New Roman"/>
          <w:sz w:val="22"/>
          <w:szCs w:val="22"/>
          <w:color w:val="auto"/>
        </w:rPr>
        <w:t>the Plan Sponsor Committee has caused this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be executed on its behalf by its duly authorized delegate this 11</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of September 2023.</w:t>
      </w:r>
    </w:p>
    <w:p>
      <w:pPr>
        <w:spacing w:after="0" w:line="171" w:lineRule="exact"/>
        <w:rPr>
          <w:sz w:val="20"/>
          <w:szCs w:val="20"/>
          <w:color w:val="auto"/>
        </w:rPr>
      </w:pPr>
    </w:p>
    <w:p>
      <w:pPr>
        <w:ind w:left="3780" w:right="559"/>
        <w:spacing w:after="0" w:line="258" w:lineRule="auto"/>
        <w:rPr>
          <w:sz w:val="20"/>
          <w:szCs w:val="20"/>
          <w:color w:val="auto"/>
        </w:rPr>
      </w:pPr>
      <w:r>
        <w:rPr>
          <w:rFonts w:ascii="Times New Roman" w:cs="Times New Roman" w:eastAsia="Times New Roman" w:hAnsi="Times New Roman"/>
          <w:sz w:val="22"/>
          <w:szCs w:val="22"/>
          <w:color w:val="auto"/>
        </w:rPr>
        <w:t>Plan Sponsor Committee of the Waste Management Employee Benefits Plans</w:t>
      </w:r>
    </w:p>
    <w:p>
      <w:pPr>
        <w:spacing w:after="0" w:line="397" w:lineRule="exact"/>
        <w:rPr>
          <w:sz w:val="20"/>
          <w:szCs w:val="20"/>
          <w:color w:val="auto"/>
        </w:rPr>
      </w:pPr>
    </w:p>
    <w:p>
      <w:pPr>
        <w:ind w:left="3780"/>
        <w:spacing w:after="0"/>
        <w:tabs>
          <w:tab w:leader="none" w:pos="6360" w:val="left"/>
        </w:tabs>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Kelly Rooney​</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-11430</wp:posOffset>
            </wp:positionV>
            <wp:extent cx="8197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819785" cy="8255"/>
                    </a:xfrm>
                    <a:prstGeom prst="rect">
                      <a:avLst/>
                    </a:prstGeom>
                    <a:noFill/>
                  </pic:spPr>
                </pic:pic>
              </a:graphicData>
            </a:graphic>
          </wp:anchor>
        </w:drawing>
      </w:r>
    </w:p>
    <w:p>
      <w:pPr>
        <w:spacing w:after="0" w:line="2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Kelly Rooney</w:t>
      </w:r>
    </w:p>
    <w:p>
      <w:pPr>
        <w:spacing w:after="0" w:line="233" w:lineRule="exact"/>
        <w:rPr>
          <w:sz w:val="20"/>
          <w:szCs w:val="20"/>
          <w:color w:val="auto"/>
        </w:rPr>
      </w:pPr>
    </w:p>
    <w:p>
      <w:pPr>
        <w:jc w:val="center"/>
        <w:ind w:left="3200"/>
        <w:spacing w:after="0"/>
        <w:tabs>
          <w:tab w:leader="none" w:pos="3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Delegate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353695</wp:posOffset>
            </wp:positionV>
            <wp:extent cx="504063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37" w:name="page138"/>
    <w:bookmarkEnd w:id="137"/>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i w:val="1"/>
          <w:iCs w:val="1"/>
          <w:color w:val="auto"/>
        </w:rPr>
        <w:t>Execution Version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 RELINQUISHMENT AGREEMENT</w:t>
      </w:r>
    </w:p>
    <w:p>
      <w:pPr>
        <w:spacing w:after="0" w:line="26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COMPENSATION RELINQUISHMENT AGREEMENT</w:t>
      </w:r>
      <w:r>
        <w:rPr>
          <w:rFonts w:ascii="Times New Roman" w:cs="Times New Roman" w:eastAsia="Times New Roman" w:hAnsi="Times New Roman"/>
          <w:sz w:val="22"/>
          <w:szCs w:val="22"/>
          <w:color w:val="auto"/>
        </w:rPr>
        <w:t xml:space="preserve"> (the “Agreement”) is made and entered into on this December 22, 2017, by and between </w:t>
      </w:r>
      <w:r>
        <w:rPr>
          <w:rFonts w:ascii="Times New Roman" w:cs="Times New Roman" w:eastAsia="Times New Roman" w:hAnsi="Times New Roman"/>
          <w:sz w:val="20"/>
          <w:szCs w:val="20"/>
          <w:color w:val="auto"/>
        </w:rPr>
        <w:t>USA Waste-Management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Resources, LLC, for itself and on behalf of Waste Management, Inc. (“WMI”) and subsidiaries and</w:t>
      </w:r>
    </w:p>
    <w:p>
      <w:pPr>
        <w:spacing w:after="0" w:line="1" w:lineRule="exact"/>
        <w:rPr>
          <w:sz w:val="20"/>
          <w:szCs w:val="20"/>
          <w:color w:val="auto"/>
        </w:rPr>
      </w:pPr>
    </w:p>
    <w:p>
      <w:pPr>
        <w:jc w:val="both"/>
        <w:ind w:left="200" w:right="219"/>
        <w:spacing w:after="0" w:line="287" w:lineRule="auto"/>
        <w:rPr>
          <w:sz w:val="20"/>
          <w:szCs w:val="20"/>
          <w:color w:val="auto"/>
        </w:rPr>
      </w:pPr>
      <w:r>
        <w:rPr>
          <w:rFonts w:ascii="Times New Roman" w:cs="Times New Roman" w:eastAsia="Times New Roman" w:hAnsi="Times New Roman"/>
          <w:sz w:val="21"/>
          <w:szCs w:val="21"/>
          <w:color w:val="auto"/>
        </w:rPr>
        <w:t>affiliated entities (collectively the “Company”) and James C. Fish, Jr. (the “Executive”). Executive and the Company are referred to individually herein as a “Party” and collectively as the “Parties.”</w:t>
      </w:r>
    </w:p>
    <w:p>
      <w:pPr>
        <w:spacing w:after="0" w:line="180" w:lineRule="exact"/>
        <w:rPr>
          <w:sz w:val="20"/>
          <w:szCs w:val="20"/>
          <w:color w:val="auto"/>
        </w:rPr>
      </w:pPr>
    </w:p>
    <w:p>
      <w:pPr>
        <w:jc w:val="both"/>
        <w:ind w:left="200" w:right="23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are currently parties to that certain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and Restated Employment Agreement, dated as of December 22, 2017 (as may be amended from time to time, the “Employment Agreement”);</w:t>
      </w:r>
    </w:p>
    <w:p>
      <w:pPr>
        <w:spacing w:after="0" w:line="207" w:lineRule="exact"/>
        <w:rPr>
          <w:sz w:val="20"/>
          <w:szCs w:val="20"/>
          <w:color w:val="auto"/>
        </w:rPr>
      </w:pPr>
    </w:p>
    <w:p>
      <w:pPr>
        <w:jc w:val="both"/>
        <w:ind w:left="200" w:right="23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Employment Agreement, the Executive receives 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in the Employment Agreement) as part of his compensation for serving as President and Chief Executive Officer of the Company; and</w:t>
      </w:r>
    </w:p>
    <w:p>
      <w:pPr>
        <w:spacing w:after="0" w:line="207"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the terms of this Agreement, the Executive wishes to relinquish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Base Salary.</w:t>
      </w:r>
    </w:p>
    <w:p>
      <w:pPr>
        <w:spacing w:after="0" w:line="190"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mutual promises,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contained herein, the Company and the Executive agree as follows:</w:t>
      </w:r>
    </w:p>
    <w:p>
      <w:pPr>
        <w:spacing w:after="0" w:line="190" w:lineRule="exact"/>
        <w:rPr>
          <w:sz w:val="20"/>
          <w:szCs w:val="20"/>
          <w:color w:val="auto"/>
        </w:rPr>
      </w:pPr>
    </w:p>
    <w:p>
      <w:pPr>
        <w:ind w:left="1500" w:hanging="643"/>
        <w:spacing w:after="0"/>
        <w:tabs>
          <w:tab w:leader="none" w:pos="150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Relinquishment of Base Salary.</w:t>
      </w:r>
    </w:p>
    <w:p>
      <w:pPr>
        <w:spacing w:after="0" w:line="264"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color w:val="auto"/>
        </w:rPr>
        <w:t xml:space="preserve">Subject to the other terms and conditions of this Agreement, Executive hereby relinquishes his right to receive the amounts of Base Salary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the corresponding year set forth therein. Unless the Parties reach alternative arrangements, the relinquished amounts shall be deducted in substantially equal installments from Executive’s paychecks over the course of the relevant year. By entering into this Agreement, Executive authorizes the Company to make such deductions. Once relinquished, Executive shall have (a) no right or interest in the corresponding Base Salary and (b) no ability to direct, manage or control the amounts relinquished.</w:t>
      </w:r>
    </w:p>
    <w:p>
      <w:pPr>
        <w:spacing w:after="0" w:line="209" w:lineRule="exact"/>
        <w:rPr>
          <w:sz w:val="20"/>
          <w:szCs w:val="20"/>
          <w:color w:val="auto"/>
        </w:rPr>
      </w:pPr>
    </w:p>
    <w:p>
      <w:pPr>
        <w:ind w:left="1500" w:hanging="643"/>
        <w:spacing w:after="0"/>
        <w:tabs>
          <w:tab w:leader="none" w:pos="150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Revocation of Base Salary Relinquishment.</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 xml:space="preserve">Executive’s agreement to relinquish the corresponding Base Salary amount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 a particular year shall become irrevocable upon the last day of the calendar year that precedes the relevant year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Executive shall be entitled to terminate this Agreement with respect to calendar years for which his agreement has not yet become irrevocable by providing written notice to the Board of Directors of Waste Management, Inc. For the avoidance of doubt, such election shall have no impact upon amounts for which Executive’s election has become irrevocable.</w:t>
      </w:r>
    </w:p>
    <w:p>
      <w:pPr>
        <w:spacing w:after="0" w:line="178" w:lineRule="exact"/>
        <w:rPr>
          <w:sz w:val="20"/>
          <w:szCs w:val="20"/>
          <w:color w:val="auto"/>
        </w:rPr>
      </w:pPr>
    </w:p>
    <w:p>
      <w:pPr>
        <w:ind w:left="1560" w:hanging="703"/>
        <w:spacing w:after="0"/>
        <w:tabs>
          <w:tab w:leader="none" w:pos="15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on Other Compensation Arrangements.</w:t>
      </w:r>
    </w:p>
    <w:p>
      <w:pPr>
        <w:spacing w:after="0" w:line="224" w:lineRule="exact"/>
        <w:rPr>
          <w:sz w:val="20"/>
          <w:szCs w:val="20"/>
          <w:color w:val="auto"/>
        </w:rPr>
      </w:pPr>
    </w:p>
    <w:p>
      <w:pPr>
        <w:jc w:val="both"/>
        <w:ind w:left="200" w:right="219" w:firstLine="778"/>
        <w:spacing w:after="0" w:line="257" w:lineRule="auto"/>
        <w:rPr>
          <w:sz w:val="20"/>
          <w:szCs w:val="20"/>
          <w:color w:val="auto"/>
        </w:rPr>
      </w:pPr>
      <w:r>
        <w:rPr>
          <w:rFonts w:ascii="Times New Roman" w:cs="Times New Roman" w:eastAsia="Times New Roman" w:hAnsi="Times New Roman"/>
          <w:sz w:val="22"/>
          <w:szCs w:val="22"/>
          <w:color w:val="auto"/>
        </w:rPr>
        <w:t>It is the intent of the Parties that amounts relinquished pursuant to this Agreement shall not adversely affect Executive’s benefits pursuant to other compensation arrangements sponsored or maintained by the Company. For purposes of determining Executive’s entitlement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8" w:name="page139"/>
    <w:bookmarkEnd w:id="138"/>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 xml:space="preserve">compensation that may otherwise relate or be linked to the Base Salary, amounts relinquished pursuant to this Agreement shall, notwithstanding anything to the contrary in the applicable plan or arrangement, be deemed to have been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of this sentence shall not apply to (i) any tax-qualified retirement plan (including, without limitation, the Waste Management Retirement Savings Plan) or (ii) any plan for which such amendment would otherwise require the approval of the shareholders of Waste Management, Inc. Without limiting the generality of the foregoing sentence, the Base Salary amounts relinquished pursuant to this Agreement shall be deemed to have been paid for purposes of determining: (a) Executive’s target and maximum bonus pursuant to the Company’s Annual Incentive Plan, (b) Executive’s severance entitlement pursuant to the Waste Management Holdings, Inc. Executive Severance Protection Plan and (c) the maximum amount of matching contribution that Executive is eligible for pursuant to the Company’s 409A Deferral Plan. To the extent necessary to implement this Section 3, the applicable other compensation plans and arrangements shall be deemed to have been amended except to the extent such amendment would otherwise require the approval of the shareholders of Waste Management, Inc.</w:t>
      </w:r>
    </w:p>
    <w:p>
      <w:pPr>
        <w:spacing w:after="0" w:line="183" w:lineRule="exact"/>
        <w:rPr>
          <w:sz w:val="20"/>
          <w:szCs w:val="20"/>
          <w:color w:val="auto"/>
        </w:rPr>
      </w:pPr>
    </w:p>
    <w:p>
      <w:pPr>
        <w:ind w:left="1720" w:hanging="863"/>
        <w:spacing w:after="0"/>
        <w:tabs>
          <w:tab w:leader="none" w:pos="17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p>
    <w:p>
      <w:pPr>
        <w:spacing w:after="0" w:line="264"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color w:val="auto"/>
        </w:rPr>
        <w:t>This Agreement may not be amended except by a written agreement signed by both Parties. No material term or obligation of a party may be waived except through written agreement by the party with the authority to enforce such right or obligation. Notwithstanding the foregoing, Executive’s right to revoke his obligations pursuant to this Agreement may be exercised unilaterally to the extent permitted under Section 2. This Agreement shall terminate automatically and without further action of the Parties upon termination of Executive’s employment.</w:t>
      </w:r>
    </w:p>
    <w:p>
      <w:pPr>
        <w:spacing w:after="0" w:line="204" w:lineRule="exact"/>
        <w:rPr>
          <w:sz w:val="20"/>
          <w:szCs w:val="20"/>
          <w:color w:val="auto"/>
        </w:rPr>
      </w:pPr>
    </w:p>
    <w:p>
      <w:pPr>
        <w:ind w:left="1500" w:hanging="643"/>
        <w:spacing w:after="0"/>
        <w:tabs>
          <w:tab w:leader="none" w:pos="15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264"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Texas applicable to agreements made and to be performed in that State, without regard to its conflict of laws provisions.</w:t>
      </w:r>
    </w:p>
    <w:p>
      <w:pPr>
        <w:spacing w:after="0" w:line="209" w:lineRule="exact"/>
        <w:rPr>
          <w:sz w:val="20"/>
          <w:szCs w:val="20"/>
          <w:color w:val="auto"/>
        </w:rPr>
      </w:pPr>
    </w:p>
    <w:p>
      <w:pPr>
        <w:ind w:left="1500" w:hanging="643"/>
        <w:spacing w:after="0"/>
        <w:tabs>
          <w:tab w:leader="none" w:pos="15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60" w:lineRule="exact"/>
        <w:rPr>
          <w:sz w:val="20"/>
          <w:szCs w:val="20"/>
          <w:color w:val="auto"/>
        </w:rPr>
      </w:pPr>
    </w:p>
    <w:p>
      <w:pPr>
        <w:jc w:val="both"/>
        <w:ind w:left="200" w:right="219" w:firstLine="657"/>
        <w:spacing w:after="0" w:line="265" w:lineRule="auto"/>
        <w:tabs>
          <w:tab w:leader="none" w:pos="149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The failure of a party to insist upon strict adherence to any term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on any occasion shall not be considered a waiver thereof or deprive that party of the right thereafter to insist upon strict adherence to that term or any other term of this Agreement.</w:t>
      </w:r>
    </w:p>
    <w:p>
      <w:pPr>
        <w:spacing w:after="0" w:line="201" w:lineRule="exact"/>
        <w:rPr>
          <w:rFonts w:ascii="Times New Roman" w:cs="Times New Roman" w:eastAsia="Times New Roman" w:hAnsi="Times New Roman"/>
          <w:sz w:val="22"/>
          <w:szCs w:val="22"/>
          <w:b w:val="1"/>
          <w:bCs w:val="1"/>
          <w:color w:val="auto"/>
        </w:rPr>
      </w:pPr>
    </w:p>
    <w:p>
      <w:pPr>
        <w:ind w:left="200" w:right="219" w:firstLine="657"/>
        <w:spacing w:after="0" w:line="275" w:lineRule="auto"/>
        <w:tabs>
          <w:tab w:leader="none" w:pos="149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Headings. </w:t>
      </w:r>
      <w:r>
        <w:rPr>
          <w:rFonts w:ascii="Times New Roman" w:cs="Times New Roman" w:eastAsia="Times New Roman" w:hAnsi="Times New Roman"/>
          <w:sz w:val="22"/>
          <w:szCs w:val="22"/>
          <w:color w:val="auto"/>
        </w:rPr>
        <w:t>Section headings are used herein for convenience of reference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affect the meaning of any provision of this Agreement.</w:t>
      </w:r>
    </w:p>
    <w:p>
      <w:pPr>
        <w:spacing w:after="0" w:line="189" w:lineRule="exact"/>
        <w:rPr>
          <w:rFonts w:ascii="Times New Roman" w:cs="Times New Roman" w:eastAsia="Times New Roman" w:hAnsi="Times New Roman"/>
          <w:sz w:val="22"/>
          <w:szCs w:val="22"/>
          <w:b w:val="1"/>
          <w:bCs w:val="1"/>
          <w:color w:val="auto"/>
        </w:rPr>
      </w:pPr>
    </w:p>
    <w:p>
      <w:pPr>
        <w:ind w:left="200" w:right="239" w:firstLine="657"/>
        <w:spacing w:after="0" w:line="275" w:lineRule="auto"/>
        <w:tabs>
          <w:tab w:leader="none" w:pos="149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Rules of Construction. </w:t>
      </w:r>
      <w:r>
        <w:rPr>
          <w:rFonts w:ascii="Times New Roman" w:cs="Times New Roman" w:eastAsia="Times New Roman" w:hAnsi="Times New Roman"/>
          <w:sz w:val="22"/>
          <w:szCs w:val="22"/>
          <w:color w:val="auto"/>
        </w:rPr>
        <w:t>Whenever the context so requires, the use of the singular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include the plural and vice versa.</w:t>
      </w:r>
    </w:p>
    <w:p>
      <w:pPr>
        <w:spacing w:after="0" w:line="243" w:lineRule="exact"/>
        <w:rPr>
          <w:rFonts w:ascii="Times New Roman" w:cs="Times New Roman" w:eastAsia="Times New Roman" w:hAnsi="Times New Roman"/>
          <w:sz w:val="22"/>
          <w:szCs w:val="22"/>
          <w:b w:val="1"/>
          <w:bCs w:val="1"/>
          <w:color w:val="auto"/>
        </w:rPr>
      </w:pPr>
    </w:p>
    <w:p>
      <w:pPr>
        <w:jc w:val="both"/>
        <w:ind w:left="200" w:right="219" w:firstLine="657"/>
        <w:spacing w:after="0" w:line="259" w:lineRule="auto"/>
        <w:tabs>
          <w:tab w:leader="none" w:pos="149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Agreement may be executed in any number of 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so executed shall be deemed to be an original, and such counterparts will together constitute but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468630</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9" w:name="page140"/>
    <w:bookmarkEnd w:id="139"/>
    <w:p>
      <w:pPr>
        <w:ind w:left="320" w:right="279" w:firstLine="630"/>
        <w:spacing w:after="0" w:line="284" w:lineRule="auto"/>
        <w:rPr>
          <w:sz w:val="20"/>
          <w:szCs w:val="20"/>
          <w:color w:val="auto"/>
        </w:rPr>
      </w:pPr>
      <w:r>
        <w:rPr>
          <w:rFonts w:ascii="Times New Roman" w:cs="Times New Roman" w:eastAsia="Times New Roman" w:hAnsi="Times New Roman"/>
          <w:sz w:val="22"/>
          <w:szCs w:val="22"/>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3"/>
          <w:szCs w:val="23"/>
          <w:b w:val="1"/>
          <w:bCs w:val="1"/>
          <w:color w:val="auto"/>
        </w:rPr>
        <w:t>JAMES C. FISH, JR.</w:t>
      </w:r>
    </w:p>
    <w:p>
      <w:pPr>
        <w:spacing w:after="0" w:line="4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0"/>
                <w:szCs w:val="20"/>
                <w:i w:val="1"/>
                <w:iCs w:val="1"/>
                <w:color w:val="auto"/>
              </w:rPr>
              <w:t>/s/ James C. Fish, Jr. ​</w:t>
            </w: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w:t>
            </w:r>
          </w:p>
        </w:tc>
      </w:tr>
      <w:tr>
        <w:trPr>
          <w:trHeight w:val="20"/>
        </w:trPr>
        <w:tc>
          <w:tcPr>
            <w:tcW w:w="3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2"/>
        </w:trPr>
        <w:tc>
          <w:tcPr>
            <w:tcW w:w="6220" w:type="dxa"/>
            <w:vAlign w:val="bottom"/>
            <w:gridSpan w:val="4"/>
          </w:tcPr>
          <w:p>
            <w:pPr>
              <w:ind w:left="3880"/>
              <w:spacing w:after="0"/>
              <w:rPr>
                <w:sz w:val="20"/>
                <w:szCs w:val="20"/>
                <w:color w:val="auto"/>
              </w:rPr>
            </w:pPr>
            <w:r>
              <w:rPr>
                <w:rFonts w:ascii="Times New Roman" w:cs="Times New Roman" w:eastAsia="Times New Roman" w:hAnsi="Times New Roman"/>
                <w:sz w:val="20"/>
                <w:szCs w:val="20"/>
                <w:color w:val="auto"/>
              </w:rPr>
              <w:t>James C. Fish, Jr.</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6"/>
        </w:trPr>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51" w:right="1440" w:bottom="1440" w:gutter="0" w:footer="0" w:header="0"/>
        </w:sectPr>
      </w:pPr>
    </w:p>
    <w:bookmarkStart w:id="140" w:name="page141"/>
    <w:bookmarkEnd w:id="140"/>
    <w:p>
      <w:pPr>
        <w:ind w:left="320" w:right="279" w:firstLine="630"/>
        <w:spacing w:after="0" w:line="284" w:lineRule="auto"/>
        <w:rPr>
          <w:sz w:val="20"/>
          <w:szCs w:val="20"/>
          <w:color w:val="auto"/>
        </w:rPr>
      </w:pPr>
      <w:r>
        <w:rPr>
          <w:rFonts w:ascii="Times New Roman" w:cs="Times New Roman" w:eastAsia="Times New Roman" w:hAnsi="Times New Roman"/>
          <w:sz w:val="22"/>
          <w:szCs w:val="22"/>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3"/>
          <w:szCs w:val="23"/>
          <w:b w:val="1"/>
          <w:bCs w:val="1"/>
          <w:color w:val="auto"/>
        </w:rPr>
        <w:t>USA WASTE-MANAGEMENT</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3"/>
          <w:szCs w:val="23"/>
          <w:b w:val="1"/>
          <w:bCs w:val="1"/>
          <w:color w:val="auto"/>
        </w:rPr>
        <w:t xml:space="preserve">RESOURCES, LLC </w:t>
      </w:r>
      <w:r>
        <w:rPr>
          <w:rFonts w:ascii="Times New Roman" w:cs="Times New Roman" w:eastAsia="Times New Roman" w:hAnsi="Times New Roman"/>
          <w:sz w:val="23"/>
          <w:szCs w:val="23"/>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00"/>
        <w:spacing w:after="0"/>
        <w:tabs>
          <w:tab w:leader="none" w:pos="49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-8255</wp:posOffset>
            </wp:positionV>
            <wp:extent cx="26219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2621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Courtney A. Tippy</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1788795</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1" w:name="page142"/>
    <w:bookmarkEnd w:id="141"/>
    <w:tbl>
      <w:tblPr>
        <w:tblLayout w:type="fixed"/>
        <w:tblInd w:w="230" w:type="dxa"/>
        <w:tblCellMar>
          <w:top w:w="0" w:type="dxa"/>
          <w:left w:w="0" w:type="dxa"/>
          <w:bottom w:w="0" w:type="dxa"/>
          <w:right w:w="0" w:type="dxa"/>
        </w:tblCellMar>
      </w:tblPr>
      <w:tr>
        <w:trPr>
          <w:trHeight w:val="328"/>
        </w:trPr>
        <w:tc>
          <w:tcPr>
            <w:tcW w:w="2660" w:type="dxa"/>
            <w:vAlign w:val="bottom"/>
          </w:tcPr>
          <w:p>
            <w:pPr>
              <w:spacing w:after="0"/>
              <w:rPr>
                <w:sz w:val="24"/>
                <w:szCs w:val="24"/>
                <w:color w:val="auto"/>
              </w:rPr>
            </w:pPr>
          </w:p>
        </w:tc>
        <w:tc>
          <w:tcPr>
            <w:tcW w:w="5920" w:type="dxa"/>
            <w:vAlign w:val="bottom"/>
            <w:gridSpan w:val="3"/>
          </w:tcPr>
          <w:p>
            <w:pPr>
              <w:ind w:left="1120"/>
              <w:spacing w:after="0"/>
              <w:rPr>
                <w:sz w:val="20"/>
                <w:szCs w:val="20"/>
                <w:color w:val="auto"/>
              </w:rPr>
            </w:pPr>
            <w:r>
              <w:rPr>
                <w:rFonts w:ascii="Times New Roman" w:cs="Times New Roman" w:eastAsia="Times New Roman" w:hAnsi="Times New Roman"/>
                <w:sz w:val="25"/>
                <w:szCs w:val="25"/>
                <w:color w:val="auto"/>
              </w:rPr>
              <w:t>E</w:t>
            </w:r>
            <w:r>
              <w:rPr>
                <w:rFonts w:ascii="Times New Roman" w:cs="Times New Roman" w:eastAsia="Times New Roman" w:hAnsi="Times New Roman"/>
                <w:sz w:val="17"/>
                <w:szCs w:val="17"/>
                <w:color w:val="auto"/>
              </w:rPr>
              <w:t>xhibit</w:t>
            </w:r>
            <w:r>
              <w:rPr>
                <w:rFonts w:ascii="Times New Roman" w:cs="Times New Roman" w:eastAsia="Times New Roman" w:hAnsi="Times New Roman"/>
                <w:sz w:val="25"/>
                <w:szCs w:val="25"/>
                <w:color w:val="auto"/>
              </w:rPr>
              <w:t xml:space="preserve"> A</w:t>
            </w:r>
          </w:p>
        </w:tc>
        <w:tc>
          <w:tcPr>
            <w:tcW w:w="0" w:type="dxa"/>
            <w:vAlign w:val="bottom"/>
          </w:tcPr>
          <w:p>
            <w:pPr>
              <w:spacing w:after="0"/>
              <w:rPr>
                <w:sz w:val="1"/>
                <w:szCs w:val="1"/>
                <w:color w:val="auto"/>
              </w:rPr>
            </w:pPr>
          </w:p>
        </w:tc>
      </w:tr>
      <w:tr>
        <w:trPr>
          <w:trHeight w:val="153"/>
        </w:trPr>
        <w:tc>
          <w:tcPr>
            <w:tcW w:w="2660" w:type="dxa"/>
            <w:vAlign w:val="bottom"/>
            <w:tcBorders>
              <w:bottom w:val="single" w:sz="8" w:color="666666"/>
            </w:tcBorders>
          </w:tcPr>
          <w:p>
            <w:pPr>
              <w:spacing w:after="0"/>
              <w:rPr>
                <w:sz w:val="13"/>
                <w:szCs w:val="13"/>
                <w:color w:val="auto"/>
              </w:rPr>
            </w:pPr>
          </w:p>
        </w:tc>
        <w:tc>
          <w:tcPr>
            <w:tcW w:w="1620" w:type="dxa"/>
            <w:vAlign w:val="bottom"/>
            <w:tcBorders>
              <w:bottom w:val="single" w:sz="8" w:color="666666"/>
            </w:tcBorders>
          </w:tcPr>
          <w:p>
            <w:pPr>
              <w:spacing w:after="0"/>
              <w:rPr>
                <w:sz w:val="13"/>
                <w:szCs w:val="13"/>
                <w:color w:val="auto"/>
              </w:rPr>
            </w:pPr>
          </w:p>
        </w:tc>
        <w:tc>
          <w:tcPr>
            <w:tcW w:w="4280" w:type="dxa"/>
            <w:vAlign w:val="bottom"/>
            <w:tcBorders>
              <w:bottom w:val="single" w:sz="8" w:color="666666"/>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666666"/>
              <w:bottom w:val="single" w:sz="8" w:color="666666"/>
            </w:tcBorders>
          </w:tcPr>
          <w:p>
            <w:pPr>
              <w:ind w:left="100"/>
              <w:spacing w:after="0" w:line="223" w:lineRule="exact"/>
              <w:rPr>
                <w:sz w:val="20"/>
                <w:szCs w:val="20"/>
                <w:color w:val="auto"/>
              </w:rPr>
            </w:pPr>
            <w:r>
              <w:rPr>
                <w:rFonts w:ascii="Times New Roman" w:cs="Times New Roman" w:eastAsia="Times New Roman" w:hAnsi="Times New Roman"/>
                <w:sz w:val="20"/>
                <w:szCs w:val="20"/>
                <w:b w:val="1"/>
                <w:bCs w:val="1"/>
                <w:color w:val="auto"/>
              </w:rPr>
              <w:t>Year</w:t>
            </w:r>
          </w:p>
        </w:tc>
        <w:tc>
          <w:tcPr>
            <w:tcW w:w="1620" w:type="dxa"/>
            <w:vAlign w:val="bottom"/>
            <w:tcBorders>
              <w:bottom w:val="single" w:sz="8" w:color="666666"/>
              <w:right w:val="single" w:sz="8" w:color="666666"/>
            </w:tcBorders>
          </w:tcPr>
          <w:p>
            <w:pPr>
              <w:spacing w:after="0"/>
              <w:rPr>
                <w:sz w:val="20"/>
                <w:szCs w:val="20"/>
                <w:color w:val="auto"/>
              </w:rPr>
            </w:pPr>
          </w:p>
        </w:tc>
        <w:tc>
          <w:tcPr>
            <w:tcW w:w="4280" w:type="dxa"/>
            <w:vAlign w:val="bottom"/>
            <w:tcBorders>
              <w:bottom w:val="single" w:sz="8" w:color="666666"/>
              <w:right w:val="single" w:sz="8" w:color="666666"/>
            </w:tcBorders>
          </w:tcPr>
          <w:p>
            <w:pPr>
              <w:ind w:left="80"/>
              <w:spacing w:after="0" w:line="223" w:lineRule="exact"/>
              <w:rPr>
                <w:sz w:val="20"/>
                <w:szCs w:val="20"/>
                <w:color w:val="auto"/>
              </w:rPr>
            </w:pPr>
            <w:r>
              <w:rPr>
                <w:rFonts w:ascii="Times New Roman" w:cs="Times New Roman" w:eastAsia="Times New Roman" w:hAnsi="Times New Roman"/>
                <w:sz w:val="20"/>
                <w:szCs w:val="20"/>
                <w:b w:val="1"/>
                <w:bCs w:val="1"/>
                <w:color w:val="auto"/>
              </w:rPr>
              <w:t>Amount Relinquished</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tcBorders>
              <w:left w:val="single" w:sz="8" w:color="666666"/>
              <w:bottom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2018</w:t>
            </w:r>
          </w:p>
        </w:tc>
        <w:tc>
          <w:tcPr>
            <w:tcW w:w="1620" w:type="dxa"/>
            <w:vAlign w:val="bottom"/>
            <w:tcBorders>
              <w:bottom w:val="single" w:sz="8" w:color="666666"/>
              <w:right w:val="single" w:sz="8" w:color="666666"/>
            </w:tcBorders>
            <w:shd w:val="clear" w:color="auto" w:fill="CCCCCC"/>
          </w:tcPr>
          <w:p>
            <w:pPr>
              <w:spacing w:after="0"/>
              <w:rPr>
                <w:sz w:val="19"/>
                <w:szCs w:val="19"/>
                <w:color w:val="auto"/>
              </w:rPr>
            </w:pPr>
          </w:p>
        </w:tc>
        <w:tc>
          <w:tcPr>
            <w:tcW w:w="428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666666"/>
              <w:bottom w:val="single" w:sz="8" w:color="666666"/>
            </w:tcBorders>
          </w:tcPr>
          <w:p>
            <w:pPr>
              <w:ind w:left="100"/>
              <w:spacing w:after="0" w:line="223" w:lineRule="exact"/>
              <w:rPr>
                <w:sz w:val="20"/>
                <w:szCs w:val="20"/>
                <w:color w:val="auto"/>
              </w:rPr>
            </w:pPr>
            <w:r>
              <w:rPr>
                <w:rFonts w:ascii="Times New Roman" w:cs="Times New Roman" w:eastAsia="Times New Roman" w:hAnsi="Times New Roman"/>
                <w:sz w:val="20"/>
                <w:szCs w:val="20"/>
                <w:b w:val="1"/>
                <w:bCs w:val="1"/>
                <w:color w:val="auto"/>
              </w:rPr>
              <w:t>2019</w:t>
            </w:r>
          </w:p>
        </w:tc>
        <w:tc>
          <w:tcPr>
            <w:tcW w:w="1620" w:type="dxa"/>
            <w:vAlign w:val="bottom"/>
            <w:tcBorders>
              <w:bottom w:val="single" w:sz="8" w:color="666666"/>
              <w:right w:val="single" w:sz="8" w:color="666666"/>
            </w:tcBorders>
          </w:tcPr>
          <w:p>
            <w:pPr>
              <w:spacing w:after="0"/>
              <w:rPr>
                <w:sz w:val="19"/>
                <w:szCs w:val="19"/>
                <w:color w:val="auto"/>
              </w:rPr>
            </w:pPr>
          </w:p>
        </w:tc>
        <w:tc>
          <w:tcPr>
            <w:tcW w:w="4280" w:type="dxa"/>
            <w:vAlign w:val="bottom"/>
            <w:tcBorders>
              <w:bottom w:val="single" w:sz="8" w:color="666666"/>
              <w:right w:val="single" w:sz="8" w:color="666666"/>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left w:val="single" w:sz="8" w:color="666666"/>
              <w:bottom w:val="single" w:sz="8" w:color="666666"/>
            </w:tcBorders>
            <w:shd w:val="clear" w:color="auto" w:fill="CCCCCC"/>
          </w:tcPr>
          <w:p>
            <w:pPr>
              <w:ind w:left="100"/>
              <w:spacing w:after="0" w:line="223" w:lineRule="exact"/>
              <w:rPr>
                <w:sz w:val="20"/>
                <w:szCs w:val="20"/>
                <w:color w:val="auto"/>
              </w:rPr>
            </w:pPr>
            <w:r>
              <w:rPr>
                <w:rFonts w:ascii="Times New Roman" w:cs="Times New Roman" w:eastAsia="Times New Roman" w:hAnsi="Times New Roman"/>
                <w:sz w:val="20"/>
                <w:szCs w:val="20"/>
                <w:b w:val="1"/>
                <w:bCs w:val="1"/>
                <w:color w:val="auto"/>
              </w:rPr>
              <w:t>2020 and Beyond</w:t>
            </w:r>
          </w:p>
        </w:tc>
        <w:tc>
          <w:tcPr>
            <w:tcW w:w="1620" w:type="dxa"/>
            <w:vAlign w:val="bottom"/>
            <w:tcBorders>
              <w:bottom w:val="single" w:sz="8" w:color="666666"/>
              <w:right w:val="single" w:sz="8" w:color="666666"/>
            </w:tcBorders>
            <w:shd w:val="clear" w:color="auto" w:fill="CCCCCC"/>
          </w:tcPr>
          <w:p>
            <w:pPr>
              <w:spacing w:after="0"/>
              <w:rPr>
                <w:sz w:val="19"/>
                <w:szCs w:val="19"/>
                <w:color w:val="auto"/>
              </w:rPr>
            </w:pPr>
          </w:p>
        </w:tc>
        <w:tc>
          <w:tcPr>
            <w:tcW w:w="4280" w:type="dxa"/>
            <w:vAlign w:val="bottom"/>
            <w:tcBorders>
              <w:bottom w:val="single" w:sz="8" w:color="666666"/>
              <w:right w:val="single" w:sz="8" w:color="666666"/>
            </w:tcBorders>
            <w:shd w:val="clear" w:color="auto" w:fill="CCCCCC"/>
          </w:tcPr>
          <w:p>
            <w:pPr>
              <w:ind w:left="80"/>
              <w:spacing w:after="0" w:line="223" w:lineRule="exact"/>
              <w:rPr>
                <w:sz w:val="20"/>
                <w:szCs w:val="20"/>
                <w:color w:val="auto"/>
              </w:rPr>
            </w:pPr>
            <w:r>
              <w:rPr>
                <w:rFonts w:ascii="Times New Roman" w:cs="Times New Roman" w:eastAsia="Times New Roman" w:hAnsi="Times New Roman"/>
                <w:sz w:val="20"/>
                <w:szCs w:val="20"/>
                <w:color w:val="auto"/>
              </w:rPr>
              <w:t>$100,000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5"/>
        </w:trPr>
        <w:tc>
          <w:tcPr>
            <w:tcW w:w="26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9" w:right="1440" w:bottom="1440" w:gutter="0" w:footer="0" w:header="0"/>
        </w:sectPr>
      </w:pPr>
    </w:p>
    <w:bookmarkStart w:id="142" w:name="page143"/>
    <w:bookmarkEnd w:id="142"/>
    <w:p>
      <w:pPr>
        <w:jc w:val="right"/>
        <w:ind w:right="479"/>
        <w:spacing w:after="0"/>
        <w:rPr>
          <w:sz w:val="20"/>
          <w:szCs w:val="20"/>
          <w:color w:val="auto"/>
        </w:rPr>
      </w:pPr>
      <w:r>
        <w:rPr>
          <w:rFonts w:ascii="Times New Roman" w:cs="Times New Roman" w:eastAsia="Times New Roman" w:hAnsi="Times New Roman"/>
          <w:sz w:val="20"/>
          <w:szCs w:val="20"/>
          <w:b w:val="1"/>
          <w:bCs w:val="1"/>
          <w:color w:val="3B3F3D"/>
        </w:rPr>
        <w:t>EXHIBIT 10.15</w:t>
      </w:r>
    </w:p>
    <w:p>
      <w:pPr>
        <w:spacing w:after="0" w:line="2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3B3F3D"/>
        </w:rPr>
        <w:t>FIRST AMENDMENT TO</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3B3F3D"/>
        </w:rPr>
        <w:t>COMPENSATION RELINQUISHMENT AGREEMENT</w:t>
      </w:r>
    </w:p>
    <w:p>
      <w:pPr>
        <w:spacing w:after="0" w:line="207" w:lineRule="exact"/>
        <w:rPr>
          <w:sz w:val="20"/>
          <w:szCs w:val="20"/>
          <w:color w:val="auto"/>
        </w:rPr>
      </w:pPr>
    </w:p>
    <w:p>
      <w:pPr>
        <w:jc w:val="both"/>
        <w:ind w:left="220" w:right="619" w:firstLine="648"/>
        <w:spacing w:after="0" w:line="295" w:lineRule="auto"/>
        <w:rPr>
          <w:sz w:val="20"/>
          <w:szCs w:val="20"/>
          <w:color w:val="auto"/>
        </w:rPr>
      </w:pPr>
      <w:r>
        <w:rPr>
          <w:rFonts w:ascii="Times New Roman" w:cs="Times New Roman" w:eastAsia="Times New Roman" w:hAnsi="Times New Roman"/>
          <w:sz w:val="19"/>
          <w:szCs w:val="19"/>
          <w:color w:val="3B3F3D"/>
        </w:rPr>
        <w:t>USA Waste-Management Resources, LLC (“Company”) and James C. Fish (the “Executive”) enter into this First Amendment to the Compensation Relinquishment Agreement on October 17, 2023.</w:t>
      </w:r>
    </w:p>
    <w:p>
      <w:pPr>
        <w:spacing w:after="0" w:line="138" w:lineRule="exact"/>
        <w:rPr>
          <w:sz w:val="20"/>
          <w:szCs w:val="20"/>
          <w:color w:val="auto"/>
        </w:rPr>
      </w:pPr>
    </w:p>
    <w:p>
      <w:pPr>
        <w:jc w:val="both"/>
        <w:ind w:left="220" w:right="619" w:firstLine="648"/>
        <w:spacing w:after="0" w:line="269" w:lineRule="auto"/>
        <w:rPr>
          <w:sz w:val="20"/>
          <w:szCs w:val="20"/>
          <w:color w:val="auto"/>
        </w:rPr>
      </w:pPr>
      <w:r>
        <w:rPr>
          <w:rFonts w:ascii="Times New Roman" w:cs="Times New Roman" w:eastAsia="Times New Roman" w:hAnsi="Times New Roman"/>
          <w:sz w:val="20"/>
          <w:szCs w:val="20"/>
          <w:color w:val="3B3F3D"/>
        </w:rPr>
        <w:t>WHEREAS, Company and Executive are currently parties to that First Amended and Restated Employment Agreement, dated as of December 22, 2017 (“Employment Agreement”);</w:t>
      </w:r>
    </w:p>
    <w:p>
      <w:pPr>
        <w:spacing w:after="0" w:line="159" w:lineRule="exact"/>
        <w:rPr>
          <w:sz w:val="20"/>
          <w:szCs w:val="20"/>
          <w:color w:val="auto"/>
        </w:rPr>
      </w:pPr>
    </w:p>
    <w:p>
      <w:pPr>
        <w:jc w:val="both"/>
        <w:ind w:left="220" w:right="639" w:firstLine="648"/>
        <w:spacing w:after="0" w:line="254" w:lineRule="auto"/>
        <w:rPr>
          <w:sz w:val="20"/>
          <w:szCs w:val="20"/>
          <w:color w:val="auto"/>
        </w:rPr>
      </w:pPr>
      <w:r>
        <w:rPr>
          <w:rFonts w:ascii="Times New Roman" w:cs="Times New Roman" w:eastAsia="Times New Roman" w:hAnsi="Times New Roman"/>
          <w:sz w:val="20"/>
          <w:szCs w:val="20"/>
          <w:color w:val="3B3F3D"/>
        </w:rPr>
        <w:t>WHEREAS, Company and Executive are also currently parties to that Compensation Relinquishment Agreement, dated as of December 22, 2017 (“Compensation Relinquishment Agreement”);</w:t>
      </w:r>
    </w:p>
    <w:p>
      <w:pPr>
        <w:spacing w:after="0" w:line="174" w:lineRule="exact"/>
        <w:rPr>
          <w:sz w:val="20"/>
          <w:szCs w:val="20"/>
          <w:color w:val="auto"/>
        </w:rPr>
      </w:pPr>
    </w:p>
    <w:p>
      <w:pPr>
        <w:jc w:val="both"/>
        <w:ind w:left="220" w:right="619" w:firstLine="648"/>
        <w:spacing w:after="0" w:line="269" w:lineRule="auto"/>
        <w:rPr>
          <w:sz w:val="20"/>
          <w:szCs w:val="20"/>
          <w:color w:val="auto"/>
        </w:rPr>
      </w:pPr>
      <w:r>
        <w:rPr>
          <w:rFonts w:ascii="Times New Roman" w:cs="Times New Roman" w:eastAsia="Times New Roman" w:hAnsi="Times New Roman"/>
          <w:sz w:val="20"/>
          <w:szCs w:val="20"/>
          <w:color w:val="3B3F3D"/>
        </w:rPr>
        <w:t>WHEREAS, pursuant to the Employment Agreement, Executive receives Base Salary as part of his compensation for serving as President and Chief Executive Officer;</w:t>
      </w:r>
    </w:p>
    <w:p>
      <w:pPr>
        <w:spacing w:after="0" w:line="159" w:lineRule="exact"/>
        <w:rPr>
          <w:sz w:val="20"/>
          <w:szCs w:val="20"/>
          <w:color w:val="auto"/>
        </w:rPr>
      </w:pPr>
    </w:p>
    <w:p>
      <w:pPr>
        <w:jc w:val="both"/>
        <w:ind w:left="220" w:right="639"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the Compensation Relinquishment Agreement, Executive agreed to relinquish a portion of his annual Base Salary;</w:t>
      </w:r>
    </w:p>
    <w:p>
      <w:pPr>
        <w:spacing w:after="0" w:line="159" w:lineRule="exact"/>
        <w:rPr>
          <w:sz w:val="20"/>
          <w:szCs w:val="20"/>
          <w:color w:val="auto"/>
        </w:rPr>
      </w:pPr>
    </w:p>
    <w:p>
      <w:pPr>
        <w:jc w:val="both"/>
        <w:ind w:left="220" w:right="619" w:firstLine="648"/>
        <w:spacing w:after="0" w:line="254" w:lineRule="auto"/>
        <w:rPr>
          <w:sz w:val="20"/>
          <w:szCs w:val="20"/>
          <w:color w:val="auto"/>
        </w:rPr>
      </w:pPr>
      <w:r>
        <w:rPr>
          <w:rFonts w:ascii="Times New Roman" w:cs="Times New Roman" w:eastAsia="Times New Roman" w:hAnsi="Times New Roman"/>
          <w:sz w:val="20"/>
          <w:szCs w:val="20"/>
          <w:color w:val="auto"/>
        </w:rPr>
        <w:t>WHEREAS, commencing on January 1, 2023, and ending on December 31, 2023, Executive desires to amend the Compensation Relinquishment to increase the amount of Base Salary relinquished; and</w:t>
      </w:r>
    </w:p>
    <w:p>
      <w:pPr>
        <w:spacing w:after="0" w:line="174" w:lineRule="exact"/>
        <w:rPr>
          <w:sz w:val="20"/>
          <w:szCs w:val="20"/>
          <w:color w:val="auto"/>
        </w:rPr>
      </w:pPr>
    </w:p>
    <w:p>
      <w:pPr>
        <w:jc w:val="both"/>
        <w:ind w:left="220" w:right="619" w:firstLine="648"/>
        <w:spacing w:after="0" w:line="254" w:lineRule="auto"/>
        <w:rPr>
          <w:sz w:val="20"/>
          <w:szCs w:val="20"/>
          <w:color w:val="auto"/>
        </w:rPr>
      </w:pPr>
      <w:r>
        <w:rPr>
          <w:rFonts w:ascii="Times New Roman" w:cs="Times New Roman" w:eastAsia="Times New Roman" w:hAnsi="Times New Roman"/>
          <w:sz w:val="20"/>
          <w:szCs w:val="20"/>
          <w:color w:val="auto"/>
        </w:rPr>
        <w:t>WHEREAS, commencing on January 1, 2024, and continuing thereafter indefinitely, Executive desires to amend the Compensation Relinquishment to decrease the amount of Base Salary relinquished.</w:t>
      </w:r>
    </w:p>
    <w:p>
      <w:pPr>
        <w:spacing w:after="0" w:line="174" w:lineRule="exact"/>
        <w:rPr>
          <w:sz w:val="20"/>
          <w:szCs w:val="20"/>
          <w:color w:val="auto"/>
        </w:rPr>
      </w:pPr>
    </w:p>
    <w:p>
      <w:pPr>
        <w:jc w:val="both"/>
        <w:ind w:left="220" w:right="619" w:firstLine="648"/>
        <w:spacing w:after="0" w:line="249" w:lineRule="auto"/>
        <w:rPr>
          <w:sz w:val="20"/>
          <w:szCs w:val="20"/>
          <w:color w:val="auto"/>
        </w:rPr>
      </w:pPr>
      <w:r>
        <w:rPr>
          <w:rFonts w:ascii="Times New Roman" w:cs="Times New Roman" w:eastAsia="Times New Roman" w:hAnsi="Times New Roman"/>
          <w:sz w:val="20"/>
          <w:szCs w:val="20"/>
          <w:color w:val="auto"/>
        </w:rPr>
        <w:t>NOW, THEREFORE, for and in consideration of the mutual promises, covenants, and obligations contained herein and in the Compensation Relinquishment Agreement, Company and Executive agree to amend and replace Exhibit A to the Compensation Relinquishment Agreement in its entirety as attached hereto effective as of January 1, 2023 (“Effective Date”).</w:t>
      </w:r>
    </w:p>
    <w:p>
      <w:pPr>
        <w:spacing w:after="0" w:line="180" w:lineRule="exact"/>
        <w:rPr>
          <w:sz w:val="20"/>
          <w:szCs w:val="20"/>
          <w:color w:val="auto"/>
        </w:rPr>
      </w:pPr>
    </w:p>
    <w:p>
      <w:pPr>
        <w:jc w:val="both"/>
        <w:ind w:left="220" w:right="63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this Amendment is EXECUTED as of the date first set forth above and effective as set forth herein.</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-8255</wp:posOffset>
            </wp:positionV>
            <wp:extent cx="18103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James C. Fish, Jr.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USA WASTE-MANAGEMENT RESOURCES,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580" w:type="dxa"/>
            <w:vAlign w:val="bottom"/>
            <w:gridSpan w:val="5"/>
          </w:tcPr>
          <w:p>
            <w:pPr>
              <w:spacing w:after="0"/>
              <w:rPr>
                <w:sz w:val="20"/>
                <w:szCs w:val="20"/>
                <w:color w:val="auto"/>
              </w:rPr>
            </w:pPr>
            <w:r>
              <w:rPr>
                <w:rFonts w:ascii="Times New Roman" w:cs="Times New Roman" w:eastAsia="Times New Roman" w:hAnsi="Times New Roman"/>
                <w:sz w:val="20"/>
                <w:szCs w:val="20"/>
                <w:i w:val="1"/>
                <w:iCs w:val="1"/>
                <w:color w:val="auto"/>
              </w:rPr>
              <w:t xml:space="preserve">/s/ Courtney A. Tippy   </w:t>
            </w:r>
            <w:r>
              <w:rPr>
                <w:rFonts w:ascii="Times New Roman" w:cs="Times New Roman" w:eastAsia="Times New Roman" w:hAnsi="Times New Roman"/>
                <w:sz w:val="20"/>
                <w:szCs w:val="20"/>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7"/>
        </w:trPr>
        <w:tc>
          <w:tcPr>
            <w:tcW w:w="16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Courtney A. Tippy</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0" w:type="dxa"/>
            <w:vAlign w:val="bottom"/>
          </w:tcPr>
          <w:p>
            <w:pPr>
              <w:spacing w:after="0"/>
              <w:rPr>
                <w:sz w:val="19"/>
                <w:szCs w:val="19"/>
                <w:color w:val="auto"/>
              </w:rPr>
            </w:pPr>
          </w:p>
        </w:tc>
      </w:tr>
      <w:tr>
        <w:trPr>
          <w:trHeight w:val="258"/>
        </w:trPr>
        <w:tc>
          <w:tcPr>
            <w:tcW w:w="25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Vice President and Secretary</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1000"/>
        </w:trPr>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43" w:name="page144"/>
    <w:bookmarkEnd w:id="14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34"/>
        </w:trPr>
        <w:tc>
          <w:tcPr>
            <w:tcW w:w="3100" w:type="dxa"/>
            <w:vAlign w:val="bottom"/>
          </w:tcPr>
          <w:p>
            <w:pPr>
              <w:spacing w:after="0"/>
              <w:rPr>
                <w:sz w:val="24"/>
                <w:szCs w:val="24"/>
                <w:color w:val="auto"/>
              </w:rPr>
            </w:pPr>
          </w:p>
        </w:tc>
        <w:tc>
          <w:tcPr>
            <w:tcW w:w="5220" w:type="dxa"/>
            <w:vAlign w:val="bottom"/>
            <w:gridSpan w:val="2"/>
          </w:tcPr>
          <w:p>
            <w:pPr>
              <w:ind w:left="400"/>
              <w:spacing w:after="0"/>
              <w:rPr>
                <w:sz w:val="20"/>
                <w:szCs w:val="20"/>
                <w:color w:val="auto"/>
              </w:rPr>
            </w:pPr>
            <w:r>
              <w:rPr>
                <w:rFonts w:ascii="Times New Roman" w:cs="Times New Roman" w:eastAsia="Times New Roman" w:hAnsi="Times New Roman"/>
                <w:sz w:val="25"/>
                <w:szCs w:val="25"/>
                <w:b w:val="1"/>
                <w:bCs w:val="1"/>
                <w:color w:val="auto"/>
              </w:rPr>
              <w:t>EXHIBIT A</w:t>
            </w:r>
          </w:p>
        </w:tc>
      </w:tr>
      <w:tr>
        <w:trPr>
          <w:trHeight w:val="221"/>
        </w:trPr>
        <w:tc>
          <w:tcPr>
            <w:tcW w:w="3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258"/>
        </w:trPr>
        <w:tc>
          <w:tcPr>
            <w:tcW w:w="3100" w:type="dxa"/>
            <w:vAlign w:val="bottom"/>
            <w:tcBorders>
              <w:left w:val="single" w:sz="8" w:color="auto"/>
            </w:tcBorders>
            <w:shd w:val="clear" w:color="auto" w:fill="000000"/>
          </w:tcPr>
          <w:p>
            <w:pPr>
              <w:jc w:val="center"/>
              <w:ind w:left="801"/>
              <w:spacing w:after="0"/>
              <w:rPr>
                <w:sz w:val="20"/>
                <w:szCs w:val="20"/>
                <w:color w:val="auto"/>
              </w:rPr>
            </w:pPr>
            <w:r>
              <w:rPr>
                <w:rFonts w:ascii="Times New Roman" w:cs="Times New Roman" w:eastAsia="Times New Roman" w:hAnsi="Times New Roman"/>
                <w:sz w:val="20"/>
                <w:szCs w:val="20"/>
                <w:color w:val="FFFFFF"/>
                <w:w w:val="92"/>
              </w:rPr>
              <w:t>Year</w:t>
            </w:r>
          </w:p>
        </w:tc>
        <w:tc>
          <w:tcPr>
            <w:tcW w:w="1060" w:type="dxa"/>
            <w:vAlign w:val="bottom"/>
            <w:tcBorders>
              <w:right w:val="single" w:sz="8" w:color="auto"/>
            </w:tcBorders>
            <w:shd w:val="clear" w:color="auto" w:fill="000000"/>
          </w:tcPr>
          <w:p>
            <w:pPr>
              <w:spacing w:after="0"/>
              <w:rPr>
                <w:sz w:val="22"/>
                <w:szCs w:val="22"/>
                <w:color w:val="auto"/>
              </w:rPr>
            </w:pPr>
          </w:p>
        </w:tc>
        <w:tc>
          <w:tcPr>
            <w:tcW w:w="4160" w:type="dxa"/>
            <w:vAlign w:val="bottom"/>
            <w:tcBorders>
              <w:right w:val="single" w:sz="8" w:color="auto"/>
            </w:tcBorders>
            <w:shd w:val="clear" w:color="auto" w:fill="000000"/>
          </w:tcPr>
          <w:p>
            <w:pPr>
              <w:ind w:left="1100"/>
              <w:spacing w:after="0"/>
              <w:rPr>
                <w:sz w:val="20"/>
                <w:szCs w:val="20"/>
                <w:color w:val="auto"/>
              </w:rPr>
            </w:pPr>
            <w:r>
              <w:rPr>
                <w:rFonts w:ascii="Times New Roman" w:cs="Times New Roman" w:eastAsia="Times New Roman" w:hAnsi="Times New Roman"/>
                <w:sz w:val="20"/>
                <w:szCs w:val="20"/>
                <w:color w:val="FFFFFF"/>
              </w:rPr>
              <w:t>Amount Relinquished</w:t>
            </w:r>
          </w:p>
        </w:tc>
      </w:tr>
      <w:tr>
        <w:trPr>
          <w:trHeight w:val="228"/>
        </w:trPr>
        <w:tc>
          <w:tcPr>
            <w:tcW w:w="3100" w:type="dxa"/>
            <w:vAlign w:val="bottom"/>
            <w:tcBorders>
              <w:left w:val="single" w:sz="8" w:color="auto"/>
            </w:tcBorders>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c>
          <w:tcPr>
            <w:tcW w:w="4160" w:type="dxa"/>
            <w:vAlign w:val="bottom"/>
            <w:tcBorders>
              <w:right w:val="single" w:sz="8" w:color="auto"/>
            </w:tcBorders>
            <w:shd w:val="clear" w:color="auto" w:fill="000000"/>
          </w:tcPr>
          <w:p>
            <w:pPr>
              <w:spacing w:after="0"/>
              <w:rPr>
                <w:sz w:val="19"/>
                <w:szCs w:val="19"/>
                <w:color w:val="auto"/>
              </w:rPr>
            </w:pPr>
          </w:p>
        </w:tc>
      </w:tr>
      <w:tr>
        <w:trPr>
          <w:trHeight w:val="262"/>
        </w:trPr>
        <w:tc>
          <w:tcPr>
            <w:tcW w:w="3100" w:type="dxa"/>
            <w:vAlign w:val="bottom"/>
            <w:tcBorders>
              <w:left w:val="single" w:sz="8" w:color="666666"/>
            </w:tcBorders>
            <w:shd w:val="clear" w:color="auto" w:fill="CCCCCC"/>
          </w:tcPr>
          <w:p>
            <w:pPr>
              <w:jc w:val="center"/>
              <w:ind w:left="801"/>
              <w:spacing w:after="0"/>
              <w:rPr>
                <w:sz w:val="20"/>
                <w:szCs w:val="20"/>
                <w:color w:val="auto"/>
              </w:rPr>
            </w:pPr>
            <w:r>
              <w:rPr>
                <w:rFonts w:ascii="Times New Roman" w:cs="Times New Roman" w:eastAsia="Times New Roman" w:hAnsi="Times New Roman"/>
                <w:sz w:val="20"/>
                <w:szCs w:val="20"/>
                <w:color w:val="auto"/>
                <w:w w:val="99"/>
              </w:rPr>
              <w:t>2018</w:t>
            </w:r>
          </w:p>
        </w:tc>
        <w:tc>
          <w:tcPr>
            <w:tcW w:w="1060" w:type="dxa"/>
            <w:vAlign w:val="bottom"/>
            <w:tcBorders>
              <w:right w:val="single" w:sz="8" w:color="666666"/>
            </w:tcBorders>
            <w:shd w:val="clear" w:color="auto" w:fill="CCCCCC"/>
          </w:tcPr>
          <w:p>
            <w:pPr>
              <w:spacing w:after="0"/>
              <w:rPr>
                <w:sz w:val="22"/>
                <w:szCs w:val="22"/>
                <w:color w:val="auto"/>
              </w:rPr>
            </w:pPr>
          </w:p>
        </w:tc>
        <w:tc>
          <w:tcPr>
            <w:tcW w:w="4160" w:type="dxa"/>
            <w:vAlign w:val="bottom"/>
            <w:tcBorders>
              <w:right w:val="single" w:sz="8" w:color="666666"/>
            </w:tcBorders>
            <w:shd w:val="clear" w:color="auto" w:fill="CCCCCC"/>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$50,000</w:t>
            </w:r>
          </w:p>
        </w:tc>
      </w:tr>
      <w:tr>
        <w:trPr>
          <w:trHeight w:val="197"/>
        </w:trPr>
        <w:tc>
          <w:tcPr>
            <w:tcW w:w="3100" w:type="dxa"/>
            <w:vAlign w:val="bottom"/>
            <w:tcBorders>
              <w:left w:val="single" w:sz="8" w:color="666666"/>
              <w:bottom w:val="single" w:sz="8" w:color="666666"/>
            </w:tcBorders>
            <w:shd w:val="clear" w:color="auto" w:fill="CCCCCC"/>
          </w:tcPr>
          <w:p>
            <w:pPr>
              <w:spacing w:after="0"/>
              <w:rPr>
                <w:sz w:val="17"/>
                <w:szCs w:val="17"/>
                <w:color w:val="auto"/>
              </w:rPr>
            </w:pPr>
          </w:p>
        </w:tc>
        <w:tc>
          <w:tcPr>
            <w:tcW w:w="1060" w:type="dxa"/>
            <w:vAlign w:val="bottom"/>
            <w:tcBorders>
              <w:bottom w:val="single" w:sz="8" w:color="666666"/>
              <w:right w:val="single" w:sz="8" w:color="666666"/>
            </w:tcBorders>
            <w:shd w:val="clear" w:color="auto" w:fill="CCCCCC"/>
          </w:tcPr>
          <w:p>
            <w:pPr>
              <w:spacing w:after="0"/>
              <w:rPr>
                <w:sz w:val="17"/>
                <w:szCs w:val="17"/>
                <w:color w:val="auto"/>
              </w:rPr>
            </w:pPr>
          </w:p>
        </w:tc>
        <w:tc>
          <w:tcPr>
            <w:tcW w:w="4160" w:type="dxa"/>
            <w:vAlign w:val="bottom"/>
            <w:tcBorders>
              <w:bottom w:val="single" w:sz="8" w:color="666666"/>
              <w:right w:val="single" w:sz="8" w:color="666666"/>
            </w:tcBorders>
            <w:shd w:val="clear" w:color="auto" w:fill="CCCCCC"/>
          </w:tcPr>
          <w:p>
            <w:pPr>
              <w:spacing w:after="0"/>
              <w:rPr>
                <w:sz w:val="17"/>
                <w:szCs w:val="17"/>
                <w:color w:val="auto"/>
              </w:rPr>
            </w:pPr>
          </w:p>
        </w:tc>
      </w:tr>
      <w:tr>
        <w:trPr>
          <w:trHeight w:val="256"/>
        </w:trPr>
        <w:tc>
          <w:tcPr>
            <w:tcW w:w="3100" w:type="dxa"/>
            <w:vAlign w:val="bottom"/>
            <w:tcBorders>
              <w:left w:val="single" w:sz="8" w:color="666666"/>
            </w:tcBorders>
          </w:tcPr>
          <w:p>
            <w:pPr>
              <w:jc w:val="center"/>
              <w:ind w:left="801"/>
              <w:spacing w:after="0"/>
              <w:rPr>
                <w:sz w:val="20"/>
                <w:szCs w:val="20"/>
                <w:color w:val="auto"/>
              </w:rPr>
            </w:pPr>
            <w:r>
              <w:rPr>
                <w:rFonts w:ascii="Times New Roman" w:cs="Times New Roman" w:eastAsia="Times New Roman" w:hAnsi="Times New Roman"/>
                <w:sz w:val="20"/>
                <w:szCs w:val="20"/>
                <w:color w:val="auto"/>
                <w:w w:val="99"/>
              </w:rPr>
              <w:t>2019</w:t>
            </w:r>
          </w:p>
        </w:tc>
        <w:tc>
          <w:tcPr>
            <w:tcW w:w="1060" w:type="dxa"/>
            <w:vAlign w:val="bottom"/>
            <w:tcBorders>
              <w:right w:val="single" w:sz="8" w:color="666666"/>
            </w:tcBorders>
          </w:tcPr>
          <w:p>
            <w:pPr>
              <w:spacing w:after="0"/>
              <w:rPr>
                <w:sz w:val="22"/>
                <w:szCs w:val="22"/>
                <w:color w:val="auto"/>
              </w:rPr>
            </w:pPr>
          </w:p>
        </w:tc>
        <w:tc>
          <w:tcPr>
            <w:tcW w:w="4160" w:type="dxa"/>
            <w:vAlign w:val="bottom"/>
            <w:tcBorders>
              <w:right w:val="single" w:sz="8" w:color="666666"/>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$75,000</w:t>
            </w:r>
          </w:p>
        </w:tc>
      </w:tr>
      <w:tr>
        <w:trPr>
          <w:trHeight w:val="197"/>
        </w:trPr>
        <w:tc>
          <w:tcPr>
            <w:tcW w:w="3100" w:type="dxa"/>
            <w:vAlign w:val="bottom"/>
            <w:tcBorders>
              <w:left w:val="single" w:sz="8" w:color="666666"/>
              <w:bottom w:val="single" w:sz="8" w:color="666666"/>
            </w:tcBorders>
          </w:tcPr>
          <w:p>
            <w:pPr>
              <w:spacing w:after="0"/>
              <w:rPr>
                <w:sz w:val="17"/>
                <w:szCs w:val="17"/>
                <w:color w:val="auto"/>
              </w:rPr>
            </w:pPr>
          </w:p>
        </w:tc>
        <w:tc>
          <w:tcPr>
            <w:tcW w:w="1060" w:type="dxa"/>
            <w:vAlign w:val="bottom"/>
            <w:tcBorders>
              <w:bottom w:val="single" w:sz="8" w:color="666666"/>
              <w:right w:val="single" w:sz="8" w:color="666666"/>
            </w:tcBorders>
          </w:tcPr>
          <w:p>
            <w:pPr>
              <w:spacing w:after="0"/>
              <w:rPr>
                <w:sz w:val="17"/>
                <w:szCs w:val="17"/>
                <w:color w:val="auto"/>
              </w:rPr>
            </w:pPr>
          </w:p>
        </w:tc>
        <w:tc>
          <w:tcPr>
            <w:tcW w:w="4160" w:type="dxa"/>
            <w:vAlign w:val="bottom"/>
            <w:tcBorders>
              <w:bottom w:val="single" w:sz="8" w:color="666666"/>
              <w:right w:val="single" w:sz="8" w:color="666666"/>
            </w:tcBorders>
          </w:tcPr>
          <w:p>
            <w:pPr>
              <w:spacing w:after="0"/>
              <w:rPr>
                <w:sz w:val="17"/>
                <w:szCs w:val="17"/>
                <w:color w:val="auto"/>
              </w:rPr>
            </w:pPr>
          </w:p>
        </w:tc>
      </w:tr>
      <w:tr>
        <w:trPr>
          <w:trHeight w:val="256"/>
        </w:trPr>
        <w:tc>
          <w:tcPr>
            <w:tcW w:w="3100" w:type="dxa"/>
            <w:vAlign w:val="bottom"/>
            <w:tcBorders>
              <w:left w:val="single" w:sz="8" w:color="666666"/>
            </w:tcBorders>
            <w:shd w:val="clear" w:color="auto" w:fill="CCCCCC"/>
          </w:tcPr>
          <w:p>
            <w:pPr>
              <w:jc w:val="center"/>
              <w:ind w:left="801"/>
              <w:spacing w:after="0"/>
              <w:rPr>
                <w:sz w:val="20"/>
                <w:szCs w:val="20"/>
                <w:color w:val="auto"/>
              </w:rPr>
            </w:pPr>
            <w:r>
              <w:rPr>
                <w:rFonts w:ascii="Times New Roman" w:cs="Times New Roman" w:eastAsia="Times New Roman" w:hAnsi="Times New Roman"/>
                <w:sz w:val="20"/>
                <w:szCs w:val="20"/>
                <w:color w:val="auto"/>
                <w:w w:val="96"/>
              </w:rPr>
              <w:t>2020-2022</w:t>
            </w:r>
          </w:p>
        </w:tc>
        <w:tc>
          <w:tcPr>
            <w:tcW w:w="1060" w:type="dxa"/>
            <w:vAlign w:val="bottom"/>
            <w:tcBorders>
              <w:right w:val="single" w:sz="8" w:color="666666"/>
            </w:tcBorders>
            <w:shd w:val="clear" w:color="auto" w:fill="CCCCCC"/>
          </w:tcPr>
          <w:p>
            <w:pPr>
              <w:spacing w:after="0"/>
              <w:rPr>
                <w:sz w:val="22"/>
                <w:szCs w:val="22"/>
                <w:color w:val="auto"/>
              </w:rPr>
            </w:pPr>
          </w:p>
        </w:tc>
        <w:tc>
          <w:tcPr>
            <w:tcW w:w="4160" w:type="dxa"/>
            <w:vAlign w:val="bottom"/>
            <w:tcBorders>
              <w:right w:val="single" w:sz="8" w:color="666666"/>
            </w:tcBorders>
            <w:shd w:val="clear" w:color="auto" w:fill="CCCCCC"/>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$100,000</w:t>
            </w:r>
          </w:p>
        </w:tc>
      </w:tr>
      <w:tr>
        <w:trPr>
          <w:trHeight w:val="197"/>
        </w:trPr>
        <w:tc>
          <w:tcPr>
            <w:tcW w:w="3100" w:type="dxa"/>
            <w:vAlign w:val="bottom"/>
            <w:tcBorders>
              <w:left w:val="single" w:sz="8" w:color="666666"/>
              <w:bottom w:val="single" w:sz="8" w:color="666666"/>
            </w:tcBorders>
            <w:shd w:val="clear" w:color="auto" w:fill="CCCCCC"/>
          </w:tcPr>
          <w:p>
            <w:pPr>
              <w:spacing w:after="0"/>
              <w:rPr>
                <w:sz w:val="17"/>
                <w:szCs w:val="17"/>
                <w:color w:val="auto"/>
              </w:rPr>
            </w:pPr>
          </w:p>
        </w:tc>
        <w:tc>
          <w:tcPr>
            <w:tcW w:w="1060" w:type="dxa"/>
            <w:vAlign w:val="bottom"/>
            <w:tcBorders>
              <w:bottom w:val="single" w:sz="8" w:color="666666"/>
              <w:right w:val="single" w:sz="8" w:color="666666"/>
            </w:tcBorders>
            <w:shd w:val="clear" w:color="auto" w:fill="CCCCCC"/>
          </w:tcPr>
          <w:p>
            <w:pPr>
              <w:spacing w:after="0"/>
              <w:rPr>
                <w:sz w:val="17"/>
                <w:szCs w:val="17"/>
                <w:color w:val="auto"/>
              </w:rPr>
            </w:pPr>
          </w:p>
        </w:tc>
        <w:tc>
          <w:tcPr>
            <w:tcW w:w="4160" w:type="dxa"/>
            <w:vAlign w:val="bottom"/>
            <w:tcBorders>
              <w:bottom w:val="single" w:sz="8" w:color="666666"/>
              <w:right w:val="single" w:sz="8" w:color="666666"/>
            </w:tcBorders>
            <w:shd w:val="clear" w:color="auto" w:fill="CCCCCC"/>
          </w:tcPr>
          <w:p>
            <w:pPr>
              <w:spacing w:after="0"/>
              <w:rPr>
                <w:sz w:val="17"/>
                <w:szCs w:val="17"/>
                <w:color w:val="auto"/>
              </w:rPr>
            </w:pPr>
          </w:p>
        </w:tc>
      </w:tr>
      <w:tr>
        <w:trPr>
          <w:trHeight w:val="256"/>
        </w:trPr>
        <w:tc>
          <w:tcPr>
            <w:tcW w:w="3100" w:type="dxa"/>
            <w:vAlign w:val="bottom"/>
            <w:tcBorders>
              <w:left w:val="single" w:sz="8" w:color="666666"/>
            </w:tcBorders>
          </w:tcPr>
          <w:p>
            <w:pPr>
              <w:jc w:val="center"/>
              <w:ind w:left="801"/>
              <w:spacing w:after="0"/>
              <w:rPr>
                <w:sz w:val="20"/>
                <w:szCs w:val="20"/>
                <w:color w:val="auto"/>
              </w:rPr>
            </w:pPr>
            <w:r>
              <w:rPr>
                <w:rFonts w:ascii="Times New Roman" w:cs="Times New Roman" w:eastAsia="Times New Roman" w:hAnsi="Times New Roman"/>
                <w:sz w:val="20"/>
                <w:szCs w:val="20"/>
                <w:color w:val="auto"/>
                <w:w w:val="99"/>
              </w:rPr>
              <w:t>2023</w:t>
            </w:r>
          </w:p>
        </w:tc>
        <w:tc>
          <w:tcPr>
            <w:tcW w:w="1060" w:type="dxa"/>
            <w:vAlign w:val="bottom"/>
            <w:tcBorders>
              <w:right w:val="single" w:sz="8" w:color="666666"/>
            </w:tcBorders>
          </w:tcPr>
          <w:p>
            <w:pPr>
              <w:spacing w:after="0"/>
              <w:rPr>
                <w:sz w:val="22"/>
                <w:szCs w:val="22"/>
                <w:color w:val="auto"/>
              </w:rPr>
            </w:pPr>
          </w:p>
        </w:tc>
        <w:tc>
          <w:tcPr>
            <w:tcW w:w="4160" w:type="dxa"/>
            <w:vAlign w:val="bottom"/>
            <w:tcBorders>
              <w:right w:val="single" w:sz="8" w:color="666666"/>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$200,000</w:t>
            </w:r>
          </w:p>
        </w:tc>
      </w:tr>
      <w:tr>
        <w:trPr>
          <w:trHeight w:val="197"/>
        </w:trPr>
        <w:tc>
          <w:tcPr>
            <w:tcW w:w="3100" w:type="dxa"/>
            <w:vAlign w:val="bottom"/>
            <w:tcBorders>
              <w:left w:val="single" w:sz="8" w:color="666666"/>
              <w:bottom w:val="single" w:sz="8" w:color="666666"/>
            </w:tcBorders>
          </w:tcPr>
          <w:p>
            <w:pPr>
              <w:spacing w:after="0"/>
              <w:rPr>
                <w:sz w:val="17"/>
                <w:szCs w:val="17"/>
                <w:color w:val="auto"/>
              </w:rPr>
            </w:pPr>
          </w:p>
        </w:tc>
        <w:tc>
          <w:tcPr>
            <w:tcW w:w="1060" w:type="dxa"/>
            <w:vAlign w:val="bottom"/>
            <w:tcBorders>
              <w:bottom w:val="single" w:sz="8" w:color="666666"/>
              <w:right w:val="single" w:sz="8" w:color="666666"/>
            </w:tcBorders>
          </w:tcPr>
          <w:p>
            <w:pPr>
              <w:spacing w:after="0"/>
              <w:rPr>
                <w:sz w:val="17"/>
                <w:szCs w:val="17"/>
                <w:color w:val="auto"/>
              </w:rPr>
            </w:pPr>
          </w:p>
        </w:tc>
        <w:tc>
          <w:tcPr>
            <w:tcW w:w="4160" w:type="dxa"/>
            <w:vAlign w:val="bottom"/>
            <w:tcBorders>
              <w:bottom w:val="single" w:sz="8" w:color="666666"/>
              <w:right w:val="single" w:sz="8" w:color="666666"/>
            </w:tcBorders>
          </w:tcPr>
          <w:p>
            <w:pPr>
              <w:spacing w:after="0"/>
              <w:rPr>
                <w:sz w:val="17"/>
                <w:szCs w:val="17"/>
                <w:color w:val="auto"/>
              </w:rPr>
            </w:pPr>
          </w:p>
        </w:tc>
      </w:tr>
      <w:tr>
        <w:trPr>
          <w:trHeight w:val="256"/>
        </w:trPr>
        <w:tc>
          <w:tcPr>
            <w:tcW w:w="3100" w:type="dxa"/>
            <w:vAlign w:val="bottom"/>
            <w:tcBorders>
              <w:left w:val="single" w:sz="8" w:color="666666"/>
            </w:tcBorders>
            <w:shd w:val="clear" w:color="auto" w:fill="CCCCCC"/>
          </w:tcPr>
          <w:p>
            <w:pPr>
              <w:jc w:val="center"/>
              <w:ind w:left="801"/>
              <w:spacing w:after="0"/>
              <w:rPr>
                <w:sz w:val="20"/>
                <w:szCs w:val="20"/>
                <w:color w:val="auto"/>
              </w:rPr>
            </w:pPr>
            <w:r>
              <w:rPr>
                <w:rFonts w:ascii="Times New Roman" w:cs="Times New Roman" w:eastAsia="Times New Roman" w:hAnsi="Times New Roman"/>
                <w:sz w:val="20"/>
                <w:szCs w:val="20"/>
                <w:color w:val="auto"/>
                <w:w w:val="99"/>
              </w:rPr>
              <w:t>2024 and Beyond</w:t>
            </w:r>
          </w:p>
        </w:tc>
        <w:tc>
          <w:tcPr>
            <w:tcW w:w="1060" w:type="dxa"/>
            <w:vAlign w:val="bottom"/>
            <w:tcBorders>
              <w:right w:val="single" w:sz="8" w:color="666666"/>
            </w:tcBorders>
            <w:shd w:val="clear" w:color="auto" w:fill="CCCCCC"/>
          </w:tcPr>
          <w:p>
            <w:pPr>
              <w:spacing w:after="0"/>
              <w:rPr>
                <w:sz w:val="22"/>
                <w:szCs w:val="22"/>
                <w:color w:val="auto"/>
              </w:rPr>
            </w:pPr>
          </w:p>
        </w:tc>
        <w:tc>
          <w:tcPr>
            <w:tcW w:w="4160" w:type="dxa"/>
            <w:vAlign w:val="bottom"/>
            <w:tcBorders>
              <w:right w:val="single" w:sz="8" w:color="666666"/>
            </w:tcBorders>
            <w:shd w:val="clear" w:color="auto" w:fill="CCCCCC"/>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$100,000</w:t>
            </w:r>
          </w:p>
        </w:tc>
      </w:tr>
      <w:tr>
        <w:trPr>
          <w:trHeight w:val="197"/>
        </w:trPr>
        <w:tc>
          <w:tcPr>
            <w:tcW w:w="3100" w:type="dxa"/>
            <w:vAlign w:val="bottom"/>
            <w:tcBorders>
              <w:left w:val="single" w:sz="8" w:color="666666"/>
              <w:bottom w:val="single" w:sz="8" w:color="666666"/>
            </w:tcBorders>
            <w:shd w:val="clear" w:color="auto" w:fill="CCCCCC"/>
          </w:tcPr>
          <w:p>
            <w:pPr>
              <w:spacing w:after="0"/>
              <w:rPr>
                <w:sz w:val="17"/>
                <w:szCs w:val="17"/>
                <w:color w:val="auto"/>
              </w:rPr>
            </w:pPr>
          </w:p>
        </w:tc>
        <w:tc>
          <w:tcPr>
            <w:tcW w:w="1060" w:type="dxa"/>
            <w:vAlign w:val="bottom"/>
            <w:tcBorders>
              <w:bottom w:val="single" w:sz="8" w:color="666666"/>
              <w:right w:val="single" w:sz="8" w:color="666666"/>
            </w:tcBorders>
            <w:shd w:val="clear" w:color="auto" w:fill="CCCCCC"/>
          </w:tcPr>
          <w:p>
            <w:pPr>
              <w:spacing w:after="0"/>
              <w:rPr>
                <w:sz w:val="17"/>
                <w:szCs w:val="17"/>
                <w:color w:val="auto"/>
              </w:rPr>
            </w:pPr>
          </w:p>
        </w:tc>
        <w:tc>
          <w:tcPr>
            <w:tcW w:w="4160" w:type="dxa"/>
            <w:vAlign w:val="bottom"/>
            <w:tcBorders>
              <w:bottom w:val="single" w:sz="8" w:color="666666"/>
              <w:right w:val="single" w:sz="8" w:color="666666"/>
            </w:tcBorders>
            <w:shd w:val="clear" w:color="auto" w:fill="CCCCCC"/>
          </w:tcPr>
          <w:p>
            <w:pPr>
              <w:spacing w:after="0"/>
              <w:rPr>
                <w:sz w:val="17"/>
                <w:szCs w:val="17"/>
                <w:color w:val="auto"/>
              </w:rPr>
            </w:pPr>
          </w:p>
        </w:tc>
      </w:tr>
      <w:tr>
        <w:trPr>
          <w:trHeight w:val="783"/>
        </w:trPr>
        <w:tc>
          <w:tcPr>
            <w:tcW w:w="3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0" w:right="1440" w:bottom="1440" w:gutter="0" w:footer="0" w:header="0"/>
        </w:sectPr>
      </w:pPr>
    </w:p>
    <w:bookmarkStart w:id="144" w:name="page145"/>
    <w:bookmarkEnd w:id="14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59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Entity Name</w:t>
            </w: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 / Incorporation</w:t>
            </w:r>
          </w:p>
        </w:tc>
      </w:tr>
      <w:tr>
        <w:trPr>
          <w:trHeight w:val="142"/>
        </w:trPr>
        <w:tc>
          <w:tcPr>
            <w:tcW w:w="53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635952 Ontario Inc.</w:t>
            </w:r>
          </w:p>
        </w:tc>
        <w:tc>
          <w:tcPr>
            <w:tcW w:w="24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ADS Renewable Energy - Stones Throw,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ADS Renewable Energy - Wolf Creek,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ADS Solid Waste of NJ,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Acquisition Sub,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Recycling Services Atlanta,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Recycling Services Gulf Coast,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Alabama Holdings,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Alabama,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Biloxi MRF,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Birmingham,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Blackfoot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Blue Ridge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Carolinas,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Cedar Hill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Central Florida,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Cobb County Recycling Facility,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Cranberry Creek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Cypress Acres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East,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Evergreen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Grand Bahama Limited</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Providence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Hancock County,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Jones Road,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Lancaster Landfill,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Magnolia Ridge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Maple Hill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Midwest,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Mississippi Holdings,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Mississippi,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Morehead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National Accounts Holdings,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National Accounts,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North Alabama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Oak Ridge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Orchard Hills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Pasco County,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Pecan Row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Pontiac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Renewable Energy,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Rogers Lake,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Leasing Corp.</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Midwest,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Solid Waste Southeast,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South,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Star Ridge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Sumner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Taylor County Landfill,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Tennessee Holdings,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Transport,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Valley Meadows Landfill,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Valley View Landfill,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Vasko Rubbish Removal,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Vasko Solid Waste,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Wayne County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Services,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Disposal Subsidiary Holding Company,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Advanced Environmental Technical Services,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Agave Investment Holdings, LLC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Agri Service Recycling, Inc.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Akron Regional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Alabama Waste Disposal Solutions,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Alliance Sanitary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5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Alpharetta Transfer Station, LLC</w:t>
            </w: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5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American Landfill, Inc.</w:t>
            </w:r>
          </w:p>
        </w:tc>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8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Ameriwaste, LLC</w:t>
            </w: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6"/>
                <w:szCs w:val="16"/>
                <w:color w:val="auto"/>
              </w:rPr>
            </w:pPr>
          </w:p>
        </w:tc>
      </w:tr>
      <w:tr>
        <w:trPr>
          <w:trHeight w:val="521"/>
        </w:trPr>
        <w:tc>
          <w:tcPr>
            <w:tcW w:w="5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5" w:name="page146"/>
    <w:bookmarkEnd w:id="14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Anderson Landfill, Inc.</w:t>
            </w:r>
          </w:p>
        </w:tc>
        <w:tc>
          <w:tcPr>
            <w:tcW w:w="45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3"/>
                <w:szCs w:val="13"/>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Antelope Valley Recycling and Disposal Facility,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Arden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Atlantic Waste Disposal,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Automated Salvage Transport Co.,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Avalon South,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Azusa Land Reclamation,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B&amp;B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Baton Rouge Renewable Energy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Big Dipper Enterprises,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Blackwood Land Development,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Bluegrass Containment,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Burlington Transfer Station,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Burney Disposal,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Burnsville Sanitary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 Newco,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Cal Sierra Disposal</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Caldwell Partnership,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California Asbestos Monofill,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Canadian Waste Services Holdings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Sanitation Company</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Capitol Disposal,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Alaska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Carolina Grading,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Caruthers Mill C&amp;D Landfill,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Cedar Ridge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Central Disposal Systems,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CGS Leasing,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CGS Services,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Chadwick Road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Clearview Environmental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Development Company,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Development of Ohio,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of Georgia,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Chambers of Mississippi,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of Indiana,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of the Northwest,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Washington</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Chemical Waste Management,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Chesser Island Road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City Environmental Services, Inc. of Waters</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Cleburne Landfill Company Corp.</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 Waste Management,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Coastal Recyclers Landfill,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Community Refuse Service,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Connecticut Valley Sanitary Waste Disposal,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Conservation Services,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Group,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HoldCo,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Intellectual Property,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Fairless Hills,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Iowa,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of PA,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Continuus Materials,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Coshocton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Cougar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Countryside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CR Group,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Curtis Creek Recovery Systems,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Cuyahoga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CWM Chemical Services,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Dauphin Meadows,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Deep Valley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Deer Track Park Landfill,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Disposal,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Group Holdings,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Industries,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of Arkansas,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Deffenbaugh Recycling Company,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Del Almo Landfill, L.L.C.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Delaware Basin Landfills, LLC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Delaware Recyclable Products, Inc.</w:t>
            </w:r>
          </w:p>
        </w:tc>
        <w:tc>
          <w:tcPr>
            <w:tcW w:w="456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Dickinson Landfill, Inc.</w:t>
            </w:r>
          </w:p>
        </w:tc>
        <w:tc>
          <w:tcPr>
            <w:tcW w:w="4560" w:type="dxa"/>
            <w:vAlign w:val="bottom"/>
            <w:shd w:val="clear" w:color="auto" w:fill="CCEEFF"/>
          </w:tcPr>
          <w:p>
            <w:pPr>
              <w:ind w:left="12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46" w:name="page147"/>
    <w:bookmarkEnd w:id="14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 Service, Incorporated</w:t>
            </w:r>
          </w:p>
        </w:tc>
        <w:tc>
          <w:tcPr>
            <w:tcW w:w="474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West Virginia</w:t>
            </w: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DLD Limited Partnership</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Dolphin Services &amp; Chemicals,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Dolphin-One,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Earthmovers Landfill,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East Liverpool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Eastern One Land Corporation</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Eco-Safe Systems,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Eco-Vista,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eCycling Services,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ELDA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Elk River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Energy Injection Services of Mississippi,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Envirofil of Illinois,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Dulles,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Holdings,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EnviroSolutions Real Property Holdings,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Evergreen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Evergreen Recycling and Disposal Facility,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Farm Properties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FDS Disposal II,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Firetower Landfill,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Fred J. Eckert Sanitary Service,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Furnace Associates,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 Industries</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 Landfills,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Gallia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Garnet of Maryland,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Gateway Transfer Station,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Georgia Waste Systems,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Giordano Recycling,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Glades Landfill,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Glen's Sanitary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Central Sanitary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Greenbow,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Allentown,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Mid-America,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Paterson,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Pittsburgh,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Greenstar,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Guadalupe Mines Mutual Water Company</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Guadalupe Rubbish Disposal Co.,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Ham Lake Haulers,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Harmony Landfill, LP</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Harris Sanitation,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Harwood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Hedco Landfill Limited</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England</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High Mountain Fuels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Highstar Royal Oaks I,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Highstar Royal Oaks II,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Hillsboro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Holyoke Sanitary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HWStar Holdings Corp.</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 Landfills,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IWStar Waste Holdings Corp.</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Jahner Sanitation,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Jay County Landfill,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Jones Road Landfill and Recycling, Ltd.</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 and W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Keene Road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Kelly Run Sanitation,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King George Landfill Properties,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King George Landfill,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Kirby Canyon Holdings, LLC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L&amp;K Group Holdings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Lakeville Recycling, L.P.</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Land South Holdings, LLC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Landfill Services of Charleston,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Landsouth, Inc.</w:t>
            </w:r>
          </w:p>
        </w:tc>
        <w:tc>
          <w:tcPr>
            <w:tcW w:w="4720" w:type="dxa"/>
            <w:vAlign w:val="bottom"/>
          </w:tcPr>
          <w:p>
            <w:pPr>
              <w:ind w:left="140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1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Laurel Highlands Landfill, Inc.</w:t>
            </w:r>
          </w:p>
        </w:tc>
        <w:tc>
          <w:tcPr>
            <w:tcW w:w="472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LCS Services, Inc.</w:t>
            </w:r>
          </w:p>
        </w:tc>
        <w:tc>
          <w:tcPr>
            <w:tcW w:w="472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6"/>
                <w:szCs w:val="16"/>
                <w:color w:val="auto"/>
              </w:rPr>
            </w:pPr>
          </w:p>
        </w:tc>
      </w:tr>
      <w:tr>
        <w:trPr>
          <w:trHeight w:val="521"/>
        </w:trPr>
        <w:tc>
          <w:tcPr>
            <w:tcW w:w="41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47" w:name="page148"/>
    <w:bookmarkEnd w:id="14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Landfill, L.L.C.</w:t>
            </w:r>
          </w:p>
        </w:tc>
        <w:tc>
          <w:tcPr>
            <w:tcW w:w="4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3"/>
                <w:szCs w:val="13"/>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Liquid Waste Management,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Longleaf C&amp;D Disposal Facility,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Looney Bins,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Mac Land Disposal, Inc. II</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Mahoning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Maine Regional Conversion Facility,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Mass Gravel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Mc Ginnes Industrial Maintenance Corporation</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McDaniel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McGill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Meadowfill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Michigan Environs,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Midwest One Land Corporation</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Modesto Garbage Co.,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Moor Refuse,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Moretown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Mostoller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Mountain Indemnity Insurance Company</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Mountainview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Nassau County Landfill,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Nassau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National Guaranty Insurance Company of Vermont</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Vermont</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 PCR,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England CR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 Milford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 Orleans Landfill,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MA Holdings,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Mid-Atlantic Holdings,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NEWS North East Holdings,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NEWStar Waste Holdings Corp.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East Waste Services,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East Waste Transport,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Manatee Recycling and Disposal Facility,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Northwestern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Nu-Way Live Oak Reclamation,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 Grove Disposal Co.,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Oakleaf Global Holdings,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Oakleaf Waste Management,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Oakridge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Oakwood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OGH Acquisition Corporation</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Okeechobee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Old Kings Road Solid Waste,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Old Kings Road,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Orla Landfill,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Ozark Ridge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 &amp; R Environmental Industries,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Pacific Waste Management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Pappy,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Parker Sanitation II,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Pasco Lakes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PDC Disposal Co.,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Peltz H.C., LLC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Pen-Rob,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People's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Peterson Demolition,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DeWitt-Hohn Disposal Facility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Disposal GP,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Environmental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Holdings LP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Howard County Disposal Facility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McMullen County Disposal Facility LP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Pecos County Disposal Facility LP</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Petro Waste Reagan County Disposal Facility LP</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Phoenix Resources,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9"/>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Pine Grove Landfill, Inc.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Pine Tree Acres,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Prime Westport, LLC</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Quail Hollow Landfill, Inc.</w:t>
            </w:r>
          </w:p>
        </w:tc>
        <w:tc>
          <w:tcPr>
            <w:tcW w:w="450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4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Questquill Limited</w:t>
            </w:r>
          </w:p>
        </w:tc>
        <w:tc>
          <w:tcPr>
            <w:tcW w:w="4500" w:type="dxa"/>
            <w:vAlign w:val="bottom"/>
            <w:shd w:val="clear" w:color="auto" w:fill="CCEEFF"/>
          </w:tcPr>
          <w:p>
            <w:pPr>
              <w:ind w:left="1180"/>
              <w:spacing w:after="0" w:line="149" w:lineRule="exact"/>
              <w:rPr>
                <w:sz w:val="20"/>
                <w:szCs w:val="20"/>
                <w:color w:val="auto"/>
              </w:rPr>
            </w:pPr>
            <w:r>
              <w:rPr>
                <w:rFonts w:ascii="Times New Roman" w:cs="Times New Roman" w:eastAsia="Times New Roman" w:hAnsi="Times New Roman"/>
                <w:sz w:val="14"/>
                <w:szCs w:val="14"/>
                <w:color w:val="auto"/>
              </w:rPr>
              <w:t>England</w:t>
            </w:r>
          </w:p>
        </w:tc>
        <w:tc>
          <w:tcPr>
            <w:tcW w:w="20" w:type="dxa"/>
            <w:vAlign w:val="bottom"/>
          </w:tcPr>
          <w:p>
            <w:pPr>
              <w:spacing w:after="0"/>
              <w:rPr>
                <w:sz w:val="12"/>
                <w:szCs w:val="12"/>
                <w:color w:val="auto"/>
              </w:rPr>
            </w:pPr>
          </w:p>
        </w:tc>
      </w:tr>
      <w:tr>
        <w:trPr>
          <w:trHeight w:val="560"/>
        </w:trPr>
        <w:tc>
          <w:tcPr>
            <w:tcW w:w="4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48" w:name="page149"/>
    <w:bookmarkEnd w:id="14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 &amp; B Landfill, Inc.</w:t>
            </w:r>
          </w:p>
        </w:tc>
        <w:tc>
          <w:tcPr>
            <w:tcW w:w="468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Georgia</w:t>
            </w: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RAA Colorado,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RAA Trucking,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RCI Hudson,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America Co.,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America Holdings,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Recycle Benelux B.V.</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Redwood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Refuse Services,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Refuse,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Reliable Landfill,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Remote Landfill Services,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Reno Disposal Co.</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Resco Holdings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Resource Control Composting,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Resource Control,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Richland County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Riverbend Landfill Co.</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RTS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Rust Engineering &amp; Construction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Rust International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 &amp; J Landfill Limited Partnership</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 &amp; S Grading,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S&amp;T Materials,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Sanifill de Mexico (US),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Sanitation Services Company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Bahamas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SC Holdings,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Shade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Shawnee Rock Company</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Sierra Estrella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Sister's Sanitation Services,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 Hadley Landfill,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 Suburban,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Southern One Land Corporation</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Southern Waste Services,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Spruce Ridge,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SSI Southland Holdings,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 Johnsbury Transfer Station,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 Paul Haulers,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Stony Hollow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Suburban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Summit Disposal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Summit,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Superior Waste Services of New York City,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T2L Trucking,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Texarkana Landfill,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 Peltz Group,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The Waste Management Charitable Foundation</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The Woodlands of Van Buren,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TN'T Sands,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Trail Ridge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Transamerican Waste Central Landfill,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Trash Hunters,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TW PWE GP,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Twin Bridges Golf Club, L.P.</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TX Newco,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United Waste Systems Leasing,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Urban Sanitation Limited</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Bahamas</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South Hills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Valley Facility,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Geneva Landfill,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Landfill Operations and Transfer,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California,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Texas Landfills,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of Virginia Landfills, Inc.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 Services of NYC, Inc.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USA Waste-Management Resources,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20" w:type="dxa"/>
            <w:vAlign w:val="bottom"/>
          </w:tcPr>
          <w:p>
            <w:pPr>
              <w:spacing w:after="0"/>
              <w:rPr>
                <w:sz w:val="12"/>
                <w:szCs w:val="12"/>
                <w:color w:val="auto"/>
              </w:rPr>
            </w:pPr>
          </w:p>
        </w:tc>
      </w:tr>
      <w:tr>
        <w:trPr>
          <w:trHeight w:val="148"/>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USA-Crinc,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 Fund 2010-1, LLC</w:t>
            </w:r>
          </w:p>
        </w:tc>
        <w:tc>
          <w:tcPr>
            <w:tcW w:w="466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2018-2, LLC</w:t>
            </w:r>
          </w:p>
        </w:tc>
        <w:tc>
          <w:tcPr>
            <w:tcW w:w="4660" w:type="dxa"/>
            <w:vAlign w:val="bottom"/>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88"/>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USB LIHTC-NMTC FUND 2019-1, LLC</w:t>
            </w:r>
          </w:p>
        </w:tc>
        <w:tc>
          <w:tcPr>
            <w:tcW w:w="46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6"/>
                <w:szCs w:val="16"/>
                <w:color w:val="auto"/>
              </w:rPr>
            </w:pPr>
          </w:p>
        </w:tc>
      </w:tr>
      <w:tr>
        <w:trPr>
          <w:trHeight w:val="521"/>
        </w:trPr>
        <w:tc>
          <w:tcPr>
            <w:tcW w:w="42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49" w:name="page150"/>
    <w:bookmarkEnd w:id="14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USB LIHTC-NMTC Fund 2022-1, LLC</w:t>
            </w:r>
          </w:p>
        </w:tc>
        <w:tc>
          <w:tcPr>
            <w:tcW w:w="4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3"/>
                <w:szCs w:val="13"/>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USB LIHTC-NMTC Fund 2023-1, LLC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UWS Barre,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9"/>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Valley Garbage and Rubbish Company,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Vermont Hauling,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Vern's Refuse Service,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Vickery Environmental,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Vista Landfill, LLC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Voyageur Disposal Processing,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Waitsfield Transfer Station,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Warner Company</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Away Group,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Alabama</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Arizona Landfills,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Buckeye, L.L.C.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Collection and Recycling,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Colorado,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Maine,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Maryland,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Massachusetts,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9"/>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Oregon,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Pennsylvania,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Disposal Services of Virginia,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Energy Services of Texas, LLC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Holdings,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Inc. of Florida</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Indycoke, L.L.C.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International,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Milam Property, LLC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National Services,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National Transportation Services,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Alameda County,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Alaska,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Arizona,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Arkansas,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California,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9"/>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Canada Corporation</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Nova Scotia</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Carolinas,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Colorado,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Connecticut,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Delaware,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Fairless, L.L.C.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Five Oaks Recycling and Disposal Facility,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Georgia,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Hawaii,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Idaho,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Idaho</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Illinois,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Holdings One,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Holdings Two,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Indiana, L.L.C.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Iowa,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Kansas,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Kentucky Holdings,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Kentucky, L.L.C.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Leon County,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Londonderry,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Louisiana Holdings One,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Louisiana, L.L.C.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Maine,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Maryland,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Massachusetts,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Metro Atlanta,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Michigan,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Minnesota,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20" w:type="dxa"/>
            <w:vAlign w:val="bottom"/>
          </w:tcPr>
          <w:p>
            <w:pPr>
              <w:spacing w:after="0"/>
              <w:rPr>
                <w:sz w:val="12"/>
                <w:szCs w:val="12"/>
                <w:color w:val="auto"/>
              </w:rPr>
            </w:pPr>
          </w:p>
        </w:tc>
      </w:tr>
      <w:tr>
        <w:trPr>
          <w:trHeight w:val="149"/>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Mississippi,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Missouri,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Montana,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Nebraska,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Nevada,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20" w:type="dxa"/>
            <w:vAlign w:val="bottom"/>
          </w:tcPr>
          <w:p>
            <w:pPr>
              <w:spacing w:after="0"/>
              <w:rPr>
                <w:sz w:val="12"/>
                <w:szCs w:val="12"/>
                <w:color w:val="auto"/>
              </w:rPr>
            </w:pPr>
          </w:p>
        </w:tc>
      </w:tr>
      <w:tr>
        <w:trPr>
          <w:trHeight w:val="149"/>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Hampshire,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Connecticut</w:t>
            </w:r>
          </w:p>
        </w:tc>
        <w:tc>
          <w:tcPr>
            <w:tcW w:w="20" w:type="dxa"/>
            <w:vAlign w:val="bottom"/>
          </w:tcPr>
          <w:p>
            <w:pPr>
              <w:spacing w:after="0"/>
              <w:rPr>
                <w:sz w:val="12"/>
                <w:szCs w:val="12"/>
                <w:color w:val="auto"/>
              </w:rPr>
            </w:pPr>
          </w:p>
        </w:tc>
      </w:tr>
      <w:tr>
        <w:trPr>
          <w:trHeight w:val="148"/>
        </w:trPr>
        <w:tc>
          <w:tcPr>
            <w:tcW w:w="4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Jersey, Inc.</w:t>
            </w:r>
          </w:p>
        </w:tc>
        <w:tc>
          <w:tcPr>
            <w:tcW w:w="4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New Mexico, Inc.</w:t>
            </w:r>
          </w:p>
        </w:tc>
        <w:tc>
          <w:tcPr>
            <w:tcW w:w="406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20" w:type="dxa"/>
            <w:vAlign w:val="bottom"/>
          </w:tcPr>
          <w:p>
            <w:pPr>
              <w:spacing w:after="0"/>
              <w:rPr>
                <w:sz w:val="12"/>
                <w:szCs w:val="12"/>
                <w:color w:val="auto"/>
              </w:rPr>
            </w:pPr>
          </w:p>
        </w:tc>
      </w:tr>
      <w:tr>
        <w:trPr>
          <w:trHeight w:val="560"/>
        </w:trPr>
        <w:tc>
          <w:tcPr>
            <w:tcW w:w="48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50" w:name="page151"/>
    <w:bookmarkEnd w:id="15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Waste Management of New York, L.L.C.</w:t>
            </w:r>
          </w:p>
        </w:tc>
        <w:tc>
          <w:tcPr>
            <w:tcW w:w="40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Delaware</w:t>
            </w: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North Dakota,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Ohio,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Oklahoma,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Oklahoma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Oregon,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Pennsylvania Gas Recovery,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Pennsylvania,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Rhode Island,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South Carolina,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South Dakota,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South Dakota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Texas Holdings,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Texas,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Tunica Landfill,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Utah,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Virginia,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Washington,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West Virginia,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Wisconsin,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Wisconsin</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of Wyoming,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Partners,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Recycling and Disposal Services of California,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Recycling of New Jersey,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Service Center,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 Inc. of Tennessee</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Waste Management-Green Ridge RDF,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WBLF Acquisition Company,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One Land Corporation</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Waste Industries</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Western Waste of Texas,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Westminster Land Acquisition,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Wheelabrator Technologies International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White Lake Landfill,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Willow Oak Landfill,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Avon,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Bagco,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Billerica,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Biloxi Hauling,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Biloxi Transfer Station,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Boston CORE,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CCP Solutions,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Compactor Solutions,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Conversion Fund,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Corporate Services,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Curbside,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Dutch Holdings B.V.</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Emergency Employee Support Fund,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Resources,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Services Holdings,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Energy Solutions,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European Holdings,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Green Squad,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GreenOps,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GTL JV Holdings,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GTL,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GTL,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Healthcare Solutions,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Illinois Renewable Energy,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Intellectual Property Holdings,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International Holdings,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LampTracker,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Landfills of Ohio,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Landfills of Tennessee,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of Arizona,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of Texas, L.P.</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Leasing Services of Texas,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LNG, Inc.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Logistics, LLC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Middle Tennessee Environmental Center,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Mobile Bay Environmental Center, Inc.</w:t>
            </w:r>
          </w:p>
        </w:tc>
        <w:tc>
          <w:tcPr>
            <w:tcW w:w="40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National Field Services, LLC</w:t>
            </w:r>
          </w:p>
        </w:tc>
        <w:tc>
          <w:tcPr>
            <w:tcW w:w="404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88"/>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WM Nevada Renewable Energy, L.L.C.</w:t>
            </w:r>
          </w:p>
        </w:tc>
        <w:tc>
          <w:tcPr>
            <w:tcW w:w="4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6"/>
                <w:szCs w:val="16"/>
                <w:color w:val="auto"/>
              </w:rPr>
            </w:pPr>
          </w:p>
        </w:tc>
      </w:tr>
      <w:tr>
        <w:trPr>
          <w:trHeight w:val="521"/>
        </w:trPr>
        <w:tc>
          <w:tcPr>
            <w:tcW w:w="48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51" w:name="page152"/>
    <w:bookmarkEnd w:id="15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WM North Broward, Inc.</w:t>
            </w:r>
          </w:p>
        </w:tc>
        <w:tc>
          <w:tcPr>
            <w:tcW w:w="45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3"/>
                <w:szCs w:val="13"/>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of North Dakota Energy Disposal Solutions,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20" w:type="dxa"/>
            <w:vAlign w:val="bottom"/>
          </w:tcPr>
          <w:p>
            <w:pPr>
              <w:spacing w:after="0"/>
              <w:rPr>
                <w:sz w:val="12"/>
                <w:szCs w:val="12"/>
                <w:color w:val="auto"/>
              </w:rPr>
            </w:pPr>
          </w:p>
        </w:tc>
      </w:tr>
      <w:tr>
        <w:trPr>
          <w:trHeight w:val="149"/>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Organic Growth,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Organics,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PA Holdings,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Partnership Holdings, Inc.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Phoenix Energy Resources,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PRG,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20" w:type="dxa"/>
            <w:vAlign w:val="bottom"/>
          </w:tcPr>
          <w:p>
            <w:pPr>
              <w:spacing w:after="0"/>
              <w:rPr>
                <w:sz w:val="12"/>
                <w:szCs w:val="12"/>
                <w:color w:val="auto"/>
              </w:rPr>
            </w:pPr>
          </w:p>
        </w:tc>
      </w:tr>
      <w:tr>
        <w:trPr>
          <w:trHeight w:val="149"/>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Propane,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Quebec Inc.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Federally Chartered</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RA Canada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Ontario</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Recycle America,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Recycle Europe,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Refined Coal,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Renewable Energy,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Resource Recovery &amp; Recycling Center, Inc.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Resources,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Safety Services,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Security Services,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Storage, Inc.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Transport of Indiana,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Trash Monitor Plus,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 Universal Solutions Private Limited</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 Waste, Inc.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WMI Mexico Holdings,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WMNA Container Recycling,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Arkansas,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Kentucky,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Michigan,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Ohio,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Ohio-American, LLC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WMRE of Texas,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WMSALSA,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20" w:type="dxa"/>
            <w:vAlign w:val="bottom"/>
          </w:tcPr>
          <w:p>
            <w:pPr>
              <w:spacing w:after="0"/>
              <w:rPr>
                <w:sz w:val="12"/>
                <w:szCs w:val="12"/>
                <w:color w:val="auto"/>
              </w:rPr>
            </w:pPr>
          </w:p>
        </w:tc>
      </w:tr>
      <w:tr>
        <w:trPr>
          <w:trHeight w:val="148"/>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Wolf Creek Landfill, LLC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WSI Medical Waste Systems,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9"/>
        </w:trPr>
        <w:tc>
          <w:tcPr>
            <w:tcW w:w="4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WSI of New York, Inc.</w:t>
            </w:r>
          </w:p>
        </w:tc>
        <w:tc>
          <w:tcPr>
            <w:tcW w:w="452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48"/>
        </w:trPr>
        <w:tc>
          <w:tcPr>
            <w:tcW w:w="4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WTI Air Pollution Control Inc.</w:t>
            </w:r>
          </w:p>
        </w:tc>
        <w:tc>
          <w:tcPr>
            <w:tcW w:w="4520" w:type="dxa"/>
            <w:vAlign w:val="bottom"/>
            <w:shd w:val="clear" w:color="auto" w:fill="CCEEFF"/>
          </w:tcPr>
          <w:p>
            <w:pPr>
              <w:ind w:left="12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r>
      <w:tr>
        <w:trPr>
          <w:trHeight w:val="18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WTI Rust Holdings Inc.</w:t>
            </w:r>
          </w:p>
        </w:tc>
        <w:tc>
          <w:tcPr>
            <w:tcW w:w="452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6"/>
                <w:szCs w:val="16"/>
                <w:color w:val="auto"/>
              </w:rPr>
            </w:pPr>
          </w:p>
        </w:tc>
      </w:tr>
      <w:tr>
        <w:trPr>
          <w:trHeight w:val="737"/>
        </w:trPr>
        <w:tc>
          <w:tcPr>
            <w:tcW w:w="43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5/8/2014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1.250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763"/>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53" w:name="page154"/>
    <w:bookmarkEnd w:id="1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280" w:right="59" w:hanging="9"/>
        <w:spacing w:after="0" w:line="282" w:lineRule="auto"/>
        <w:tabs>
          <w:tab w:leader="none" w:pos="5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333-240211) of Waste Management, Inc. pertaining to the issuance of shares of common stock pursuant to the Waste Management, Inc. Employee Stock Purchase Plan,</w:t>
      </w:r>
    </w:p>
    <w:p>
      <w:pPr>
        <w:spacing w:after="0" w:line="161" w:lineRule="exact"/>
        <w:rPr>
          <w:rFonts w:ascii="Times New Roman" w:cs="Times New Roman" w:eastAsia="Times New Roman" w:hAnsi="Times New Roman"/>
          <w:sz w:val="18"/>
          <w:szCs w:val="18"/>
          <w:color w:val="auto"/>
        </w:rPr>
      </w:pPr>
    </w:p>
    <w:p>
      <w:pPr>
        <w:jc w:val="both"/>
        <w:ind w:left="280" w:right="59" w:hanging="9"/>
        <w:spacing w:after="0" w:line="266" w:lineRule="auto"/>
        <w:tabs>
          <w:tab w:leader="none" w:pos="5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333-195980 and Post-Effective Amendment No. 1 thereto) of Waste Management, Inc. pertaining to the issuance of shares of common stock pursuant to the 2014 Stock Incentive Plan or the 2023 Stock Incentive Plan,</w:t>
      </w:r>
    </w:p>
    <w:p>
      <w:pPr>
        <w:spacing w:after="0" w:line="175" w:lineRule="exact"/>
        <w:rPr>
          <w:rFonts w:ascii="Times New Roman" w:cs="Times New Roman" w:eastAsia="Times New Roman" w:hAnsi="Times New Roman"/>
          <w:sz w:val="18"/>
          <w:szCs w:val="18"/>
          <w:color w:val="auto"/>
        </w:rPr>
      </w:pPr>
    </w:p>
    <w:p>
      <w:pPr>
        <w:ind w:left="280" w:right="59" w:hanging="9"/>
        <w:spacing w:after="0" w:line="282" w:lineRule="auto"/>
        <w:tabs>
          <w:tab w:leader="none" w:pos="5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333-253683) of Waste Management, Inc. pertaining to the issuance of shares of common stock pursuant to the Waste Management Retirement Savings Plan,</w:t>
      </w:r>
    </w:p>
    <w:p>
      <w:pPr>
        <w:spacing w:after="0" w:line="161" w:lineRule="exact"/>
        <w:rPr>
          <w:rFonts w:ascii="Times New Roman" w:cs="Times New Roman" w:eastAsia="Times New Roman" w:hAnsi="Times New Roman"/>
          <w:sz w:val="18"/>
          <w:szCs w:val="18"/>
          <w:color w:val="auto"/>
        </w:rPr>
      </w:pPr>
    </w:p>
    <w:p>
      <w:pPr>
        <w:ind w:left="280" w:right="59" w:hanging="9"/>
        <w:spacing w:after="0" w:line="282" w:lineRule="auto"/>
        <w:tabs>
          <w:tab w:leader="none" w:pos="59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333-32805 and Post-Effective Amendment No. 1 thereto) of Waste Management, Inc.,</w:t>
      </w:r>
    </w:p>
    <w:p>
      <w:pPr>
        <w:spacing w:after="0" w:line="161" w:lineRule="exact"/>
        <w:rPr>
          <w:rFonts w:ascii="Times New Roman" w:cs="Times New Roman" w:eastAsia="Times New Roman" w:hAnsi="Times New Roman"/>
          <w:sz w:val="18"/>
          <w:szCs w:val="18"/>
          <w:color w:val="auto"/>
        </w:rPr>
      </w:pPr>
    </w:p>
    <w:p>
      <w:pPr>
        <w:ind w:left="280" w:right="79" w:hanging="9"/>
        <w:spacing w:after="0" w:line="282" w:lineRule="auto"/>
        <w:tabs>
          <w:tab w:leader="none" w:pos="5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333-159476 and Post-Effective Amendment No. 1 thereto) of Waste Management, Inc. pertaining to the issuance of shares of common stock pursuant to the 2009 Stock Incentive Plan, and</w:t>
      </w:r>
    </w:p>
    <w:p>
      <w:pPr>
        <w:spacing w:after="0" w:line="161" w:lineRule="exact"/>
        <w:rPr>
          <w:rFonts w:ascii="Times New Roman" w:cs="Times New Roman" w:eastAsia="Times New Roman" w:hAnsi="Times New Roman"/>
          <w:sz w:val="18"/>
          <w:szCs w:val="18"/>
          <w:color w:val="auto"/>
        </w:rPr>
      </w:pPr>
    </w:p>
    <w:p>
      <w:pPr>
        <w:ind w:left="520" w:hanging="249"/>
        <w:spacing w:after="0"/>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Automatic Shelf Registration No. 333-264493) of Waste Management, Inc.,</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of our reports dated February 13, 2024, with respect to the consolidated financial statements of Waste Management, Inc. and the effectiveness of internal control over financial reporting of Waste Management, Inc. included in this Annual Report (Form 10-K) of Waste Management, Inc. for the year ended December 31, 2023.</w:t>
      </w:r>
    </w:p>
    <w:p>
      <w:pPr>
        <w:spacing w:after="0" w:line="200" w:lineRule="exact"/>
        <w:rPr>
          <w:sz w:val="20"/>
          <w:szCs w:val="20"/>
          <w:color w:val="auto"/>
        </w:rPr>
      </w:pPr>
    </w:p>
    <w:p>
      <w:pPr>
        <w:spacing w:after="0" w:line="20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531495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4" w:name="page155"/>
    <w:bookmarkEnd w:id="1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85" w:lineRule="exact"/>
        <w:rPr>
          <w:sz w:val="20"/>
          <w:szCs w:val="20"/>
          <w:color w:val="auto"/>
        </w:rPr>
      </w:pPr>
    </w:p>
    <w:p>
      <w:pPr>
        <w:ind w:left="760" w:hanging="269"/>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jc w:val="both"/>
        <w:ind w:left="60" w:right="79" w:firstLine="431"/>
        <w:spacing w:after="0" w:line="266" w:lineRule="auto"/>
        <w:tabs>
          <w:tab w:leader="none" w:pos="7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sz w:val="20"/>
          <w:szCs w:val="20"/>
          <w:color w:val="auto"/>
        </w:rPr>
      </w:pPr>
    </w:p>
    <w:p>
      <w:pPr>
        <w:jc w:val="both"/>
        <w:ind w:left="500" w:right="59" w:firstLine="441"/>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6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55" w:name="page156"/>
    <w:bookmarkEnd w:id="1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85" w:lineRule="exact"/>
        <w:rPr>
          <w:sz w:val="20"/>
          <w:szCs w:val="20"/>
          <w:color w:val="auto"/>
        </w:rPr>
      </w:pPr>
    </w:p>
    <w:p>
      <w:pPr>
        <w:ind w:left="760" w:hanging="269"/>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sz w:val="20"/>
          <w:szCs w:val="20"/>
          <w:color w:val="auto"/>
        </w:rPr>
      </w:pPr>
    </w:p>
    <w:p>
      <w:pPr>
        <w:jc w:val="both"/>
        <w:ind w:left="500" w:right="59" w:firstLine="441"/>
        <w:spacing w:after="0" w:line="261"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jc w:val="both"/>
        <w:ind w:left="60" w:right="79" w:firstLine="431"/>
        <w:spacing w:after="0" w:line="266" w:lineRule="auto"/>
        <w:tabs>
          <w:tab w:leader="none" w:pos="7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sz w:val="20"/>
          <w:szCs w:val="20"/>
          <w:color w:val="auto"/>
        </w:rPr>
      </w:pPr>
    </w:p>
    <w:p>
      <w:pPr>
        <w:jc w:val="both"/>
        <w:ind w:left="500" w:right="59" w:firstLine="441"/>
        <w:spacing w:after="0" w:line="266"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sz w:val="20"/>
          <w:szCs w:val="20"/>
          <w:color w:val="auto"/>
        </w:rPr>
      </w:pPr>
    </w:p>
    <w:p>
      <w:pPr>
        <w:jc w:val="both"/>
        <w:ind w:left="500" w:right="59" w:firstLine="441"/>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8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6" w:name="page157"/>
    <w:bookmarkEnd w:id="1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2023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4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57" w:name="page158"/>
    <w:bookmarkEnd w:id="1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2023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00" w:type="dxa"/>
            <w:vAlign w:val="bottom"/>
          </w:tcPr>
          <w:p>
            <w:pPr>
              <w:spacing w:after="0"/>
              <w:rPr>
                <w:sz w:val="16"/>
                <w:szCs w:val="16"/>
                <w:color w:val="auto"/>
              </w:rPr>
            </w:pPr>
          </w:p>
        </w:tc>
        <w:tc>
          <w:tcPr>
            <w:tcW w:w="4140" w:type="dxa"/>
            <w:vAlign w:val="bottom"/>
          </w:tcPr>
          <w:p>
            <w:pPr>
              <w:ind w:left="1480"/>
              <w:spacing w:after="0" w:line="189" w:lineRule="exact"/>
              <w:rPr>
                <w:sz w:val="20"/>
                <w:szCs w:val="20"/>
                <w:color w:val="auto"/>
              </w:rPr>
            </w:pPr>
            <w:r>
              <w:rPr>
                <w:rFonts w:ascii="Times New Roman" w:cs="Times New Roman" w:eastAsia="Times New Roman" w:hAnsi="Times New Roman"/>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8" w:name="page159"/>
    <w:bookmarkEnd w:id="15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During the quarter ended September 30, 2023, CGS Services, Inc., an indirect wholly-owned subsidiary of Waste Management, Inc., was assessed penalties totaling $429 by the MSHA in connection with its Caldwell PT &amp; ML mine in Indiana.</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during the year ended December 31, 2023,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9" w:name="page160"/>
    <w:bookmarkEnd w:id="159"/>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Waste Management, Inc.</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2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0"/>
          <w:szCs w:val="20"/>
          <w:color w:val="auto"/>
        </w:rPr>
        <w:t>This Clawback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is hereby adopted by the Management Development and Compensation Committee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Waste Management,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on August 21, 2023. Definitions of capitalized terms not otherwise defined are set forth in Section 10 below.</w:t>
      </w:r>
    </w:p>
    <w:p>
      <w:pPr>
        <w:spacing w:after="0" w:line="189" w:lineRule="exact"/>
        <w:rPr>
          <w:sz w:val="20"/>
          <w:szCs w:val="20"/>
          <w:color w:val="auto"/>
        </w:rPr>
      </w:pPr>
    </w:p>
    <w:p>
      <w:pPr>
        <w:jc w:val="both"/>
        <w:ind w:left="200" w:right="219" w:firstLine="657"/>
        <w:spacing w:after="0" w:line="243" w:lineRule="auto"/>
        <w:tabs>
          <w:tab w:leader="none" w:pos="1055"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of Policy. </w:t>
      </w:r>
      <w:r>
        <w:rPr>
          <w:rFonts w:ascii="Times New Roman" w:cs="Times New Roman" w:eastAsia="Times New Roman" w:hAnsi="Times New Roman"/>
          <w:sz w:val="20"/>
          <w:szCs w:val="20"/>
          <w:color w:val="auto"/>
        </w:rPr>
        <w:t>The Committee has full authority to administer, interpret, amend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 this Policy. The Committee shall, subject to the provisions of this Policy, make such determinations and take such actions in connection with this Policy as it deems necessary, appropriate or advisable. All determinations and interpretations made by the Committee shall be final, binding and conclusive. Notwithstanding anything in this Section 1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the rules of any national securities exchange or national securities association on which the Company’s securities are then listed.</w:t>
      </w:r>
    </w:p>
    <w:p>
      <w:pPr>
        <w:spacing w:after="0" w:line="195" w:lineRule="exact"/>
        <w:rPr>
          <w:rFonts w:ascii="Times New Roman" w:cs="Times New Roman" w:eastAsia="Times New Roman" w:hAnsi="Times New Roman"/>
          <w:sz w:val="20"/>
          <w:szCs w:val="20"/>
          <w:b w:val="1"/>
          <w:bCs w:val="1"/>
          <w:color w:val="auto"/>
        </w:rPr>
      </w:pPr>
    </w:p>
    <w:p>
      <w:pPr>
        <w:jc w:val="both"/>
        <w:ind w:left="200" w:right="219" w:firstLine="657"/>
        <w:spacing w:after="0" w:line="244" w:lineRule="auto"/>
        <w:tabs>
          <w:tab w:leader="none" w:pos="1046"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If the Company is required to prepare a Restatement, the Committee shall,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to be Impracticable, take reasonably prompt action to recoup all Recoverable Compensation from any Covered Person. This Policy is in addition to (and not in lieu of) any right of repayment, forfeiture or off-set against any Covered Person that may be available under applicable law or otherwise (whether implemented prior to or after adoption of this Policy). The Committee may, in its sole discretion and in the exercise of its business judgment, determine whether and to what extent additional action is appropriate to address the circumstances surrounding any Restatement to minimize the likelihood of any recurrence and to impose such other discipline as it deems appropriate.</w:t>
      </w:r>
    </w:p>
    <w:p>
      <w:pPr>
        <w:spacing w:after="0" w:line="195" w:lineRule="exact"/>
        <w:rPr>
          <w:rFonts w:ascii="Times New Roman" w:cs="Times New Roman" w:eastAsia="Times New Roman" w:hAnsi="Times New Roman"/>
          <w:sz w:val="20"/>
          <w:szCs w:val="20"/>
          <w:b w:val="1"/>
          <w:bCs w:val="1"/>
          <w:color w:val="auto"/>
        </w:rPr>
      </w:pPr>
    </w:p>
    <w:p>
      <w:pPr>
        <w:jc w:val="both"/>
        <w:ind w:left="200" w:right="219" w:firstLine="657"/>
        <w:spacing w:after="0" w:line="243" w:lineRule="auto"/>
        <w:tabs>
          <w:tab w:leader="none" w:pos="1109"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Method of Recoupment. </w:t>
      </w:r>
      <w:r>
        <w:rPr>
          <w:rFonts w:ascii="Times New Roman" w:cs="Times New Roman" w:eastAsia="Times New Roman" w:hAnsi="Times New Roman"/>
          <w:sz w:val="20"/>
          <w:szCs w:val="20"/>
          <w:color w:val="auto"/>
        </w:rPr>
        <w:t>Subject to applicable law, the Committee may seek to recoup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Recoverable Compensation by (i) requiring a Covered Person to repay such amount to the Company; (ii) offsetting a Covered Person’s other compensation; or (iii) such other means or combination of means as the Committee, in its sole discretion, determines to be appropriate. The default and preferred method of recoupment will be a single lump-sum cash payment made by a Covered Person to the Company. To the extent that a Covered Person fails to repay all Recoverable Compensation to the Company as determined pursuant to this Policy, the Company shall take all actions reasonable and appropriate, including litigation, to recover such amount, subject to applicable law. The applicable Covered Person shall be required to reimburse the Company for any and all expenses reasonably incurred (including legal fees) by the Company in recovering such amount.</w:t>
      </w:r>
    </w:p>
    <w:p>
      <w:pPr>
        <w:spacing w:after="0" w:line="195" w:lineRule="exact"/>
        <w:rPr>
          <w:rFonts w:ascii="Times New Roman" w:cs="Times New Roman" w:eastAsia="Times New Roman" w:hAnsi="Times New Roman"/>
          <w:sz w:val="20"/>
          <w:szCs w:val="20"/>
          <w:b w:val="1"/>
          <w:bCs w:val="1"/>
          <w:color w:val="auto"/>
        </w:rPr>
      </w:pPr>
    </w:p>
    <w:p>
      <w:pPr>
        <w:jc w:val="both"/>
        <w:ind w:left="200" w:right="219" w:firstLine="657"/>
        <w:spacing w:after="0" w:line="250" w:lineRule="auto"/>
        <w:tabs>
          <w:tab w:leader="none" w:pos="1073"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Acknowledgement by Executive Officers. </w:t>
      </w:r>
      <w:r>
        <w:rPr>
          <w:rFonts w:ascii="Times New Roman" w:cs="Times New Roman" w:eastAsia="Times New Roman" w:hAnsi="Times New Roman"/>
          <w:sz w:val="20"/>
          <w:szCs w:val="20"/>
          <w:color w:val="auto"/>
        </w:rPr>
        <w:t>The Committee shall provide notice to and seek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acknowledgement, typically through award agreements, of this Policy from each Executive Officer; provided that the failure to provide such notice or obtain such acknowledgement shall not affect the applicability or enforceability of this Policy.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494030</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60" w:name="page161"/>
    <w:bookmarkEnd w:id="160"/>
    <w:p>
      <w:pPr>
        <w:jc w:val="both"/>
        <w:ind w:left="200" w:right="219" w:firstLine="657"/>
        <w:spacing w:after="0" w:line="256" w:lineRule="auto"/>
        <w:tabs>
          <w:tab w:leader="none" w:pos="110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w:t>
      </w:r>
      <w:r>
        <w:rPr>
          <w:rFonts w:ascii="Times New Roman" w:cs="Times New Roman" w:eastAsia="Times New Roman" w:hAnsi="Times New Roman"/>
          <w:sz w:val="20"/>
          <w:szCs w:val="20"/>
          <w:color w:val="auto"/>
        </w:rPr>
        <w:t>Notwithstanding the terms of any of the Company’s organizational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any corporate policy or any contract, the Company shall not indemnify any Covered Person against the loss of any Recoverable Compensation.</w:t>
      </w:r>
    </w:p>
    <w:p>
      <w:pPr>
        <w:spacing w:after="0" w:line="182" w:lineRule="exact"/>
        <w:rPr>
          <w:rFonts w:ascii="Times New Roman" w:cs="Times New Roman" w:eastAsia="Times New Roman" w:hAnsi="Times New Roman"/>
          <w:sz w:val="20"/>
          <w:szCs w:val="20"/>
          <w:b w:val="1"/>
          <w:bCs w:val="1"/>
          <w:color w:val="auto"/>
        </w:rPr>
      </w:pPr>
    </w:p>
    <w:p>
      <w:pPr>
        <w:jc w:val="both"/>
        <w:ind w:left="200" w:right="219" w:firstLine="657"/>
        <w:spacing w:after="0" w:line="250" w:lineRule="auto"/>
        <w:tabs>
          <w:tab w:leader="none" w:pos="1059"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Disclosures and Record Keeping. </w:t>
      </w:r>
      <w:r>
        <w:rPr>
          <w:rFonts w:ascii="Times New Roman" w:cs="Times New Roman" w:eastAsia="Times New Roman" w:hAnsi="Times New Roman"/>
          <w:sz w:val="20"/>
          <w:szCs w:val="20"/>
          <w:color w:val="auto"/>
        </w:rPr>
        <w:t>The Company shall make all disclosures and filings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this Policy and maintain all documents and records that are required by the applicable rules and forms of the SEC (including, without limitation, Rule 10D-1 under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any applicable exchange listing standard.</w:t>
      </w:r>
    </w:p>
    <w:p>
      <w:pPr>
        <w:spacing w:after="0" w:line="189" w:lineRule="exact"/>
        <w:rPr>
          <w:rFonts w:ascii="Times New Roman" w:cs="Times New Roman" w:eastAsia="Times New Roman" w:hAnsi="Times New Roman"/>
          <w:sz w:val="20"/>
          <w:szCs w:val="20"/>
          <w:b w:val="1"/>
          <w:bCs w:val="1"/>
          <w:color w:val="auto"/>
        </w:rPr>
      </w:pPr>
    </w:p>
    <w:p>
      <w:pPr>
        <w:jc w:val="both"/>
        <w:ind w:left="200" w:right="219" w:firstLine="657"/>
        <w:spacing w:after="0" w:line="256" w:lineRule="auto"/>
        <w:tabs>
          <w:tab w:leader="none" w:pos="1143"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The validity, construction, and effect of this Policy and any determinations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relating to this Policy shall be construed in accordance with the laws of the State of Texas without regard to its conflicts of laws principles.</w:t>
      </w:r>
    </w:p>
    <w:p>
      <w:pPr>
        <w:spacing w:after="0" w:line="182" w:lineRule="exact"/>
        <w:rPr>
          <w:rFonts w:ascii="Times New Roman" w:cs="Times New Roman" w:eastAsia="Times New Roman" w:hAnsi="Times New Roman"/>
          <w:sz w:val="20"/>
          <w:szCs w:val="20"/>
          <w:b w:val="1"/>
          <w:bCs w:val="1"/>
          <w:color w:val="auto"/>
        </w:rPr>
      </w:pPr>
    </w:p>
    <w:p>
      <w:pPr>
        <w:ind w:left="200" w:right="219" w:firstLine="657"/>
        <w:spacing w:after="0" w:line="273" w:lineRule="auto"/>
        <w:tabs>
          <w:tab w:leader="none" w:pos="1113"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Policy shall be binding and enforceable against all Covered Persons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heirs, executors, administrators or other legal representatives.</w:t>
      </w:r>
    </w:p>
    <w:p>
      <w:pPr>
        <w:spacing w:after="0" w:line="165" w:lineRule="exact"/>
        <w:rPr>
          <w:rFonts w:ascii="Times New Roman" w:cs="Times New Roman" w:eastAsia="Times New Roman" w:hAnsi="Times New Roman"/>
          <w:sz w:val="20"/>
          <w:szCs w:val="20"/>
          <w:b w:val="1"/>
          <w:bCs w:val="1"/>
          <w:color w:val="auto"/>
        </w:rPr>
      </w:pPr>
    </w:p>
    <w:p>
      <w:pPr>
        <w:jc w:val="both"/>
        <w:ind w:left="200" w:right="219" w:firstLine="657"/>
        <w:spacing w:after="0" w:line="247" w:lineRule="auto"/>
        <w:tabs>
          <w:tab w:leader="none" w:pos="1122"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Relation to Other Company Policies. </w:t>
      </w:r>
      <w:r>
        <w:rPr>
          <w:rFonts w:ascii="Times New Roman" w:cs="Times New Roman" w:eastAsia="Times New Roman" w:hAnsi="Times New Roman"/>
          <w:sz w:val="20"/>
          <w:szCs w:val="20"/>
          <w:color w:val="auto"/>
        </w:rPr>
        <w:t>Nothing in this Policy is intended to limit any right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recovery of the Company pursuant to any other Company clawback or compensation recoupment policies or agreements in effect from time to time (“</w:t>
      </w:r>
      <w:r>
        <w:rPr>
          <w:rFonts w:ascii="Times New Roman" w:cs="Times New Roman" w:eastAsia="Times New Roman" w:hAnsi="Times New Roman"/>
          <w:sz w:val="20"/>
          <w:szCs w:val="20"/>
          <w:b w:val="1"/>
          <w:bCs w:val="1"/>
          <w:color w:val="auto"/>
        </w:rPr>
        <w:t>Other Clawback Policies</w:t>
      </w:r>
      <w:r>
        <w:rPr>
          <w:rFonts w:ascii="Times New Roman" w:cs="Times New Roman" w:eastAsia="Times New Roman" w:hAnsi="Times New Roman"/>
          <w:sz w:val="20"/>
          <w:szCs w:val="20"/>
          <w:color w:val="auto"/>
        </w:rPr>
        <w:t>”), Section 304 of the Sarbanes-Oxley Act of 2002 or other applicable law. If there is any conflict between this policy and any Other Clawback Policies, this Policy shall control.</w:t>
      </w:r>
    </w:p>
    <w:p>
      <w:pPr>
        <w:spacing w:after="0" w:line="193" w:lineRule="exact"/>
        <w:rPr>
          <w:rFonts w:ascii="Times New Roman" w:cs="Times New Roman" w:eastAsia="Times New Roman" w:hAnsi="Times New Roman"/>
          <w:sz w:val="20"/>
          <w:szCs w:val="20"/>
          <w:b w:val="1"/>
          <w:bCs w:val="1"/>
          <w:color w:val="auto"/>
        </w:rPr>
      </w:pPr>
    </w:p>
    <w:p>
      <w:pPr>
        <w:ind w:left="200" w:right="219" w:firstLine="657"/>
        <w:spacing w:after="0" w:line="273" w:lineRule="auto"/>
        <w:tabs>
          <w:tab w:leader="none" w:pos="1221"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In addition to terms otherwise defined in this Policy, the following terms, when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this Policy, shall have the following meanings:</w:t>
      </w:r>
    </w:p>
    <w:p>
      <w:pPr>
        <w:spacing w:after="0" w:line="165"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“Applicable Period” </w:t>
      </w:r>
      <w:r>
        <w:rPr>
          <w:rFonts w:ascii="Times New Roman" w:cs="Times New Roman" w:eastAsia="Times New Roman" w:hAnsi="Times New Roman"/>
          <w:sz w:val="20"/>
          <w:szCs w:val="20"/>
          <w:color w:val="auto"/>
        </w:rPr>
        <w:t>means the three completed fiscal years preceding the earlier of: (i)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Committee, or the officer or officers of the Company authorized to take such action if Committee action is not required, concludes, or reasonably should have concluded, that the Company is required to prepare a Restatement; or (ii) the date a court, regulator, or other legally authorized body directs the Company to prepare a Restatement.</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 xml:space="preserve">“Covered Person” </w:t>
      </w:r>
      <w:r>
        <w:rPr>
          <w:rFonts w:ascii="Times New Roman" w:cs="Times New Roman" w:eastAsia="Times New Roman" w:hAnsi="Times New Roman"/>
          <w:sz w:val="20"/>
          <w:szCs w:val="20"/>
          <w:color w:val="auto"/>
        </w:rPr>
        <w:t>means any person who receives Recoverable Compensation.</w:t>
      </w:r>
    </w:p>
    <w:p>
      <w:pPr>
        <w:spacing w:after="0" w:line="22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“Executive Officer” </w:t>
      </w:r>
      <w:r>
        <w:rPr>
          <w:rFonts w:ascii="Times New Roman" w:cs="Times New Roman" w:eastAsia="Times New Roman" w:hAnsi="Times New Roman"/>
          <w:sz w:val="20"/>
          <w:szCs w:val="20"/>
          <w:color w:val="auto"/>
        </w:rPr>
        <w:t>includes the Company’s president, principal financial officer,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The Board shall identify the individuals that are designated to be Executive Officers annually and on an interim basis as needed when changes are made to officer slates.</w:t>
      </w:r>
    </w:p>
    <w:p>
      <w:pPr>
        <w:spacing w:after="0" w:line="19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“Financial Reporting Measure” </w:t>
      </w:r>
      <w:r>
        <w:rPr>
          <w:rFonts w:ascii="Times New Roman" w:cs="Times New Roman" w:eastAsia="Times New Roman" w:hAnsi="Times New Roman"/>
          <w:sz w:val="20"/>
          <w:szCs w:val="20"/>
          <w:color w:val="auto"/>
        </w:rPr>
        <w:t>means a measure that is determined and presented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accounting principles used in preparing the Company’s financial statements (including “non-GAAP” financial measures, such as those appearing in earnings releases), and any measure that is derived wholly or in part from such measure. Examples of Financial Reporting Measures include measures based on: operating EBITDA, income from operations, income from operations margin, internal revenue growth, cash flow generation, revenues, net income, financial ratios, liquidity measures, return measures (such as return on assets), or profitability of one or more segments. Stock price and total shareholder return (“</w:t>
      </w:r>
      <w:r>
        <w:rPr>
          <w:rFonts w:ascii="Times New Roman" w:cs="Times New Roman" w:eastAsia="Times New Roman" w:hAnsi="Times New Roman"/>
          <w:sz w:val="20"/>
          <w:szCs w:val="20"/>
          <w:b w:val="1"/>
          <w:bCs w:val="1"/>
          <w:color w:val="auto"/>
        </w:rPr>
        <w:t>TSR</w:t>
      </w:r>
      <w:r>
        <w:rPr>
          <w:rFonts w:ascii="Times New Roman" w:cs="Times New Roman" w:eastAsia="Times New Roman" w:hAnsi="Times New Roman"/>
          <w:sz w:val="20"/>
          <w:szCs w:val="20"/>
          <w:color w:val="auto"/>
        </w:rPr>
        <w:t>”) also are Financial Reporting Measures.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494030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61" w:name="page162"/>
    <w:bookmarkEnd w:id="161"/>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“Impracticable” </w:t>
      </w:r>
      <w:r>
        <w:rPr>
          <w:rFonts w:ascii="Times New Roman" w:cs="Times New Roman" w:eastAsia="Times New Roman" w:hAnsi="Times New Roman"/>
          <w:sz w:val="20"/>
          <w:szCs w:val="20"/>
          <w:color w:val="auto"/>
        </w:rPr>
        <w:t>means, after exercising a normal due process review of relevant facts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and taking all steps required by 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w:t>
      </w:r>
    </w:p>
    <w:p>
      <w:pPr>
        <w:spacing w:after="0" w:line="4" w:lineRule="exact"/>
        <w:rPr>
          <w:sz w:val="20"/>
          <w:szCs w:val="20"/>
          <w:color w:val="auto"/>
        </w:rPr>
      </w:pPr>
    </w:p>
    <w:p>
      <w:pPr>
        <w:jc w:val="both"/>
        <w:ind w:left="200" w:right="219" w:firstLine="9"/>
        <w:spacing w:after="0" w:line="241" w:lineRule="auto"/>
        <w:tabs>
          <w:tab w:leader="none" w:pos="51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spacing w:after="0" w:line="19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“Incentive-Based Compensation” </w:t>
      </w:r>
      <w:r>
        <w:rPr>
          <w:rFonts w:ascii="Times New Roman" w:cs="Times New Roman" w:eastAsia="Times New Roman" w:hAnsi="Times New Roman"/>
          <w:sz w:val="20"/>
          <w:szCs w:val="20"/>
          <w:color w:val="auto"/>
        </w:rPr>
        <w:t>includes any compensation that is granted, earned, or vested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wholly or in part upon the attainment of a Financial Reporting Measure; however it does not include:</w:t>
      </w:r>
    </w:p>
    <w:p>
      <w:pPr>
        <w:jc w:val="both"/>
        <w:ind w:left="200" w:right="219" w:firstLine="9"/>
        <w:spacing w:after="0" w:line="242" w:lineRule="auto"/>
        <w:tabs>
          <w:tab w:leader="none" w:pos="43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salaries; (ii) discretionary cash bonuses; (iii) awards (either cash or equity) that are based upon non-financial, subjective, strategic or operational standards; and (iv) awards that vest solely on the passage of time.</w:t>
      </w:r>
    </w:p>
    <w:p>
      <w:pPr>
        <w:spacing w:after="0" w:line="19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“Received” </w:t>
      </w:r>
      <w:r>
        <w:rPr>
          <w:rFonts w:ascii="Times New Roman" w:cs="Times New Roman" w:eastAsia="Times New Roman" w:hAnsi="Times New Roman"/>
          <w:sz w:val="20"/>
          <w:szCs w:val="20"/>
          <w:color w:val="auto"/>
        </w:rPr>
        <w:t>Incentive-Based Compensation is deemed “Received” in any Company fiscal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which the Financial Reporting Measure specified in the Incentive-Based Compensation award is attained, even if the payment or grant of the Incentive-Based Compensation occurs after the end of that period.</w:t>
      </w:r>
    </w:p>
    <w:p>
      <w:pPr>
        <w:spacing w:after="0" w:line="189"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“Recoverable Compensation” </w:t>
      </w:r>
      <w:r>
        <w:rPr>
          <w:rFonts w:ascii="Times New Roman" w:cs="Times New Roman" w:eastAsia="Times New Roman" w:hAnsi="Times New Roman"/>
          <w:sz w:val="19"/>
          <w:szCs w:val="19"/>
          <w:color w:val="auto"/>
        </w:rPr>
        <w:t>means all Incentive-Based Compensation (calculated on a pre-tax</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basis) Received on or after October 2, 2023 by a person: (i) after beginning service as an Executive Officer;</w:t>
      </w:r>
    </w:p>
    <w:p>
      <w:pPr>
        <w:spacing w:after="0" w:line="1" w:lineRule="exact"/>
        <w:rPr>
          <w:sz w:val="20"/>
          <w:szCs w:val="20"/>
          <w:color w:val="auto"/>
        </w:rPr>
      </w:pPr>
    </w:p>
    <w:p>
      <w:pPr>
        <w:jc w:val="both"/>
        <w:ind w:left="200" w:right="219" w:firstLine="9"/>
        <w:spacing w:after="0"/>
        <w:tabs>
          <w:tab w:leader="none" w:pos="49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a Financial Reporting Measure, as reflected in the Restatement. With respect to Incentive-Based Compensation based on stock price or TSR, when the amount of Recoverable Compensation is not subject to mathematical calculation directly from the information in a Restatement, the amount must be based on a reasonable estimate of the effect of the Restatement on the stock price or TSR upon which the Incentive-Based Compensation was received.</w:t>
      </w:r>
    </w:p>
    <w:p>
      <w:pPr>
        <w:spacing w:after="0" w:line="199"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“Restatement” </w:t>
      </w:r>
      <w:r>
        <w:rPr>
          <w:rFonts w:ascii="Times New Roman" w:cs="Times New Roman" w:eastAsia="Times New Roman" w:hAnsi="Times New Roman"/>
          <w:sz w:val="20"/>
          <w:szCs w:val="20"/>
          <w:color w:val="auto"/>
        </w:rPr>
        <w:t>means an accounting restatement of any of the Company’s financial statements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Company’s material noncompliance 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 As of the effective date of this Policy (but subject to changes that may occur in accounting principles and rules following the effective date), a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494030</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lowerRoman"/>
      <w:start w:val="1"/>
    </w:lvl>
  </w:abstractNum>
  <w:abstractNum w:abstractNumId="4">
    <w:nsid w:val="4F4EF005"/>
    <w:multiLevelType w:val="hybridMultilevel"/>
    <w:lvl w:ilvl="0">
      <w:lvlJc w:val="left"/>
      <w:lvlText w:val="(%1)"/>
      <w:numFmt w:val="lowerRoman"/>
      <w:start w:val="3"/>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emdash "/>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lowerLetter"/>
      <w:start w:val="1"/>
    </w:lvl>
  </w:abstractNum>
  <w:abstractNum w:abstractNumId="13">
    <w:nsid w:val="354FE9F9"/>
    <w:multiLevelType w:val="hybridMultilevel"/>
    <w:lvl w:ilvl="0">
      <w:lvlJc w:val="left"/>
      <w:lvlText w:val="●"/>
      <w:numFmt w:val="bullet"/>
      <w:start w:val="1"/>
    </w:lvl>
    <w:lvl w:ilvl="1">
      <w:lvlJc w:val="left"/>
      <w:lvlText w:val="(%2)"/>
      <w:numFmt w:val="lowerRoman"/>
      <w:start w:val="2"/>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1"/>
    </w:lvl>
  </w:abstractNum>
  <w:abstractNum w:abstractNumId="17">
    <w:nsid w:val="10233C99"/>
    <w:multiLevelType w:val="hybridMultilevel"/>
    <w:lvl w:ilvl="0">
      <w:lvlJc w:val="left"/>
      <w:lvlText w:val="(%1)"/>
      <w:numFmt w:val="lowerRoman"/>
      <w:start w:val="1"/>
    </w:lvl>
  </w:abstractNum>
  <w:abstractNum w:abstractNumId="18">
    <w:nsid w:val="3F6AB60F"/>
    <w:multiLevelType w:val="hybridMultilevel"/>
    <w:lvl w:ilvl="0">
      <w:lvlJc w:val="left"/>
      <w:lvlText w:val="(%1)"/>
      <w:numFmt w:val="lowerRoman"/>
      <w:start w:val="8"/>
    </w:lvl>
  </w:abstractNum>
  <w:abstractNum w:abstractNumId="19">
    <w:nsid w:val="61574095"/>
    <w:multiLevelType w:val="hybridMultilevel"/>
    <w:lvl w:ilvl="0">
      <w:lvlJc w:val="left"/>
      <w:lvlText w:val="(%1)"/>
      <w:numFmt w:val="lowerRoman"/>
      <w:start w:val="3"/>
    </w:lvl>
  </w:abstractNum>
  <w:abstractNum w:abstractNumId="20">
    <w:nsid w:val="7E0C57B1"/>
    <w:multiLevelType w:val="hybridMultilevel"/>
    <w:lvl w:ilvl="0">
      <w:lvlJc w:val="left"/>
      <w:lvlText w:val="(%1)"/>
      <w:numFmt w:val="lowerRoman"/>
      <w:start w:val="1"/>
    </w:lvl>
  </w:abstractNum>
  <w:abstractNum w:abstractNumId="21">
    <w:nsid w:val="77AE35EB"/>
    <w:multiLevelType w:val="hybridMultilevel"/>
    <w:lvl w:ilvl="0">
      <w:lvlJc w:val="left"/>
      <w:lvlText w:val="(%1)"/>
      <w:numFmt w:val="lowerRoman"/>
      <w:start w:val="2"/>
    </w:lvl>
  </w:abstractNum>
  <w:abstractNum w:abstractNumId="22">
    <w:nsid w:val="579BE4F1"/>
    <w:multiLevelType w:val="hybridMultilevel"/>
    <w:lvl w:ilvl="0">
      <w:lvlJc w:val="left"/>
      <w:lvlText w:val="(%1)"/>
      <w:numFmt w:val="lowerRoman"/>
      <w:start w:val="3"/>
    </w:lvl>
  </w:abstractNum>
  <w:abstractNum w:abstractNumId="23">
    <w:nsid w:val="310C50B3"/>
    <w:multiLevelType w:val="hybridMultilevel"/>
    <w:lvl w:ilvl="0">
      <w:lvlJc w:val="left"/>
      <w:lvlText w:val="(%1)"/>
      <w:numFmt w:val="lowerLetter"/>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lowerRoman"/>
      <w:start w:val="2"/>
    </w:lvl>
  </w:abstractNum>
  <w:abstractNum w:abstractNumId="31">
    <w:nsid w:val="5DB70AE5"/>
    <w:multiLevelType w:val="hybridMultilevel"/>
    <w:lvl w:ilvl="0">
      <w:lvlJc w:val="left"/>
      <w:lvlText w:val="(%1)"/>
      <w:numFmt w:val="lowerLetter"/>
      <w:start w:val="1"/>
    </w:lvl>
  </w:abstractNum>
  <w:abstractNum w:abstractNumId="32">
    <w:nsid w:val="100F8FCA"/>
    <w:multiLevelType w:val="hybridMultilevel"/>
    <w:lvl w:ilvl="0">
      <w:lvlJc w:val="left"/>
      <w:lvlText w:val="(%1)"/>
      <w:numFmt w:val="lowerLetter"/>
      <w:start w:val="4"/>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lowerRoman"/>
      <w:start w:val="1"/>
    </w:lvl>
  </w:abstractNum>
  <w:abstractNum w:abstractNumId="35">
    <w:nsid w:val="5F5E7FD0"/>
    <w:multiLevelType w:val="hybridMultilevel"/>
    <w:lvl w:ilvl="0">
      <w:lvlJc w:val="left"/>
      <w:lvlText w:val="(%1)"/>
      <w:numFmt w:val="lowerLetter"/>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lowerRoman"/>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1."/>
      <w:numFmt w:val="decimal"/>
      <w:start w:val="2"/>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lvl w:ilvl="1">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1."/>
      <w:numFmt w:val="decimal"/>
      <w:start w:val="3"/>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decimal"/>
      <w:start w:val="5"/>
    </w:lvl>
  </w:abstractNum>
  <w:abstractNum w:abstractNumId="58">
    <w:nsid w:val="6A5EE64"/>
    <w:multiLevelType w:val="hybridMultilevel"/>
    <w:lvl w:ilvl="0">
      <w:lvlJc w:val="left"/>
      <w:lvlText w:val="%1."/>
      <w:numFmt w:val="decimal"/>
      <w:start w:val="6"/>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Roman"/>
      <w:start w:val="1"/>
    </w:lvl>
  </w:abstractNum>
  <w:abstractNum w:abstractNumId="61">
    <w:nsid w:val="1A27709E"/>
    <w:multiLevelType w:val="hybridMultilevel"/>
    <w:lvl w:ilvl="0">
      <w:lvlJc w:val="left"/>
      <w:lvlText w:val="%1."/>
      <w:numFmt w:val="decimal"/>
      <w:start w:val="7"/>
    </w:lvl>
  </w:abstractNum>
  <w:abstractNum w:abstractNumId="62">
    <w:nsid w:val="71EA1109"/>
    <w:multiLevelType w:val="hybridMultilevel"/>
    <w:lvl w:ilvl="0">
      <w:lvlJc w:val="left"/>
      <w:lvlText w:val="%1."/>
      <w:numFmt w:val="decimal"/>
      <w:start w:val="8"/>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4"/>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1)"/>
      <w:numFmt w:val="lowerRoman"/>
      <w:start w:val="2"/>
    </w:lvl>
  </w:abstractNum>
  <w:abstractNum w:abstractNumId="70">
    <w:nsid w:val="4C04A8AF"/>
    <w:multiLevelType w:val="hybridMultilevel"/>
    <w:lvl w:ilvl="0">
      <w:lvlJc w:val="left"/>
      <w:lvlText w:val="(%1)"/>
      <w:numFmt w:val="lowerRoman"/>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3"/>
    </w:lvl>
  </w:abstractNum>
  <w:abstractNum w:abstractNumId="74">
    <w:nsid w:val="74DE0EE3"/>
    <w:multiLevelType w:val="hybridMultilevel"/>
    <w:lvl w:ilvl="0">
      <w:lvlJc w:val="left"/>
      <w:lvlText w:val="(%1)"/>
      <w:numFmt w:val="lowerLetter"/>
      <w:start w:val="1"/>
    </w:lvl>
  </w:abstractNum>
  <w:abstractNum w:abstractNumId="75">
    <w:nsid w:val="68EBC550"/>
    <w:multiLevelType w:val="hybridMultilevel"/>
    <w:lvl w:ilvl="0">
      <w:lvlJc w:val="left"/>
      <w:lvlText w:val="(%1)"/>
      <w:numFmt w:val="lowerRoman"/>
      <w:start w:val="1"/>
    </w:lvl>
  </w:abstractNum>
  <w:abstractNum w:abstractNumId="76">
    <w:nsid w:val="2DF6D648"/>
    <w:multiLevelType w:val="hybridMultilevel"/>
    <w:lvl w:ilvl="0">
      <w:lvlJc w:val="left"/>
      <w:lvlText w:val="(%1)"/>
      <w:numFmt w:val="lowerRoman"/>
      <w:start w:val="4"/>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4"/>
    </w:lvl>
  </w:abstractNum>
  <w:abstractNum w:abstractNumId="79">
    <w:nsid w:val="39EE015C"/>
    <w:multiLevelType w:val="hybridMultilevel"/>
    <w:lvl w:ilvl="0">
      <w:lvlJc w:val="left"/>
      <w:lvlText w:val="%1."/>
      <w:numFmt w:val="lowerRoman"/>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lowerLetter"/>
      <w:start w:val="11"/>
    </w:lvl>
    <w:lvl w:ilvl="1">
      <w:lvlJc w:val="left"/>
      <w:lvlText w:val="*"/>
      <w:numFmt w:val="bullet"/>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1."/>
      <w:numFmt w:val="decimal"/>
      <w:start w:val="2"/>
    </w:lvl>
  </w:abstractNum>
  <w:abstractNum w:abstractNumId="87">
    <w:nsid w:val="7055A5F5"/>
    <w:multiLevelType w:val="hybridMultilevel"/>
    <w:lvl w:ilvl="0">
      <w:lvlJc w:val="left"/>
      <w:lvlText w:val="%1."/>
      <w:numFmt w:val="decimal"/>
      <w:start w:val="3"/>
    </w:lvl>
  </w:abstractNum>
  <w:abstractNum w:abstractNumId="88">
    <w:nsid w:val="5FB8370B"/>
    <w:multiLevelType w:val="hybridMultilevel"/>
    <w:lvl w:ilvl="0">
      <w:lvlJc w:val="left"/>
      <w:lvlText w:val="%1."/>
      <w:numFmt w:val="decimal"/>
      <w:start w:val="4"/>
    </w:lvl>
  </w:abstractNum>
  <w:abstractNum w:abstractNumId="89">
    <w:nsid w:val="50801EE1"/>
    <w:multiLevelType w:val="hybridMultilevel"/>
    <w:lvl w:ilvl="0">
      <w:lvlJc w:val="left"/>
      <w:lvlText w:val="%1."/>
      <w:numFmt w:val="decimal"/>
      <w:start w:val="5"/>
    </w:lvl>
  </w:abstractNum>
  <w:abstractNum w:abstractNumId="90">
    <w:nsid w:val="488AC1A"/>
    <w:multiLevelType w:val="hybridMultilevel"/>
    <w:lvl w:ilvl="0">
      <w:lvlJc w:val="left"/>
      <w:lvlText w:val="%1."/>
      <w:numFmt w:val="decimal"/>
      <w:start w:val="6"/>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1."/>
      <w:numFmt w:val="decimal"/>
      <w:start w:val="5"/>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decimal"/>
      <w:start w:val="5"/>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5"/>
    </w:lvl>
  </w:abstractNum>
  <w:abstractNum w:abstractNumId="101">
    <w:nsid w:val="3FA62ACA"/>
    <w:multiLevelType w:val="hybridMultilevel"/>
    <w:lvl w:ilvl="0">
      <w:lvlJc w:val="left"/>
      <w:lvlText w:val="(%1)"/>
      <w:numFmt w:val="lowerRoman"/>
      <w:start w:val="2"/>
    </w:lvl>
  </w:abstractNum>
  <w:abstractNum w:abstractNumId="102">
    <w:nsid w:val="14FCE74E"/>
    <w:multiLevelType w:val="hybridMultilevel"/>
    <w:lvl w:ilvl="0">
      <w:lvlJc w:val="left"/>
      <w:lvlText w:val="(%1)"/>
      <w:numFmt w:val="lowerRoman"/>
      <w:start w:val="1"/>
    </w:lvl>
  </w:abstractNum>
  <w:abstractNum w:abstractNumId="103">
    <w:nsid w:val="6A3DD3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8"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40" Type="http://schemas.openxmlformats.org/officeDocument/2006/relationships/hyperlink" Target="http://www.sec.gov/Archives/edgar/data/823768/000095012310070947/h74168exv3w1.htm" TargetMode="External"/><Relationship Id="rId141" Type="http://schemas.openxmlformats.org/officeDocument/2006/relationships/hyperlink" Target="https://www.sec.gov/Archives/edgar/data/823768/000110465923115047/tm2329883d1_ex3-2.htm" TargetMode="External"/><Relationship Id="rId142" Type="http://schemas.openxmlformats.org/officeDocument/2006/relationships/hyperlink" Target="http://www.sec.gov/Archives/edgar/data/823768/0000950129-99-001268.txt" TargetMode="External"/><Relationship Id="rId143" Type="http://schemas.openxmlformats.org/officeDocument/2006/relationships/hyperlink" Target="http://www.sec.gov/Archives/edgar/data/823768/000095012315002550/d793975dex42.htm" TargetMode="External"/><Relationship Id="rId144" Type="http://schemas.openxmlformats.org/officeDocument/2006/relationships/hyperlink" Target="http://www.sec.gov/Archives/edgar/data/823768/000119312514283972/d740524dex43.htm" TargetMode="External"/><Relationship Id="rId145" Type="http://schemas.openxmlformats.org/officeDocument/2006/relationships/hyperlink" Target="http://www.sec.gov/Archives/edgar/data/823768/0000950129-97-000380.txt" TargetMode="External"/><Relationship Id="rId146" Type="http://schemas.openxmlformats.org/officeDocument/2006/relationships/hyperlink" Target="http://www.sec.gov/Archives/edgar/data/823768/0000950129-97-003909.txt" TargetMode="External"/><Relationship Id="rId147" Type="http://schemas.openxmlformats.org/officeDocument/2006/relationships/hyperlink" Target="https://www.sec.gov/Archives/edgar/data/823768/000155837020000762/ex-4d9.htm" TargetMode="External"/><Relationship Id="rId148" Type="http://schemas.openxmlformats.org/officeDocument/2006/relationships/hyperlink" Target="https://www.sec.gov/Archives/edgar/data/823768/000155837023016700/wm-20230930xex4d1.htm" TargetMode="External"/><Relationship Id="rId149" Type="http://schemas.openxmlformats.org/officeDocument/2006/relationships/hyperlink" Target="https://www.sec.gov/Archives/edgar/data/823768/000155837023016700/wm-20230930xex4d3.htm" TargetMode="External"/><Relationship Id="rId150" Type="http://schemas.openxmlformats.org/officeDocument/2006/relationships/hyperlink" Target="https://www.sec.gov/Archives/edgar/data/823768/000110465923058503/tm2315236d1_ex10-1.htm" TargetMode="External"/><Relationship Id="rId151" Type="http://schemas.openxmlformats.org/officeDocument/2006/relationships/hyperlink" Target="http://www.sec.gov/Archives/edgar/data/823768/000119312514200494/d726417dex101.htm" TargetMode="External"/><Relationship Id="rId152" Type="http://schemas.openxmlformats.org/officeDocument/2006/relationships/hyperlink" Target="https://www.sec.gov/Archives/edgar/data/823768/000110465920062449/tm2018602d2_ex10-2.htm" TargetMode="External"/><Relationship Id="rId153" Type="http://schemas.openxmlformats.org/officeDocument/2006/relationships/hyperlink" Target="https://www.sec.gov/Archives/edgar/data/823768/000155837022011119/wm-20220630xex10d3.htm" TargetMode="External"/><Relationship Id="rId154" Type="http://schemas.openxmlformats.org/officeDocument/2006/relationships/hyperlink" Target="https://www.sec.gov/Archives/edgar/data/823768/000119312509062520/ddef14a.htm" TargetMode="External"/><Relationship Id="rId155" Type="http://schemas.openxmlformats.org/officeDocument/2006/relationships/hyperlink" Target="https://www.sec.gov/Archives/edgar/data/823768/000119312504059008/ddef14a.htm" TargetMode="External"/><Relationship Id="rId156" Type="http://schemas.openxmlformats.org/officeDocument/2006/relationships/hyperlink" Target="https://www.sec.gov/Archives/edgar/data/823768/000110465920062449/tm2018602d2_ex10-1.htm" TargetMode="External"/><Relationship Id="rId157" Type="http://schemas.openxmlformats.org/officeDocument/2006/relationships/hyperlink" Target="http://www.sec.gov/Archives/edgar/data/823768/000119312514156430/d690567dex102.htm" TargetMode="External"/><Relationship Id="rId159" Type="http://schemas.openxmlformats.org/officeDocument/2006/relationships/hyperlink" Target="https://www.sec.gov/Archives/edgar/data/823768/000110465922067600/tm2217217d1_ex10-1.htm" TargetMode="External"/><Relationship Id="rId160" Type="http://schemas.openxmlformats.org/officeDocument/2006/relationships/hyperlink" Target="https://www.sec.gov/Archives/edgar/data/823768/000119312517046480/d252547dex1011.htm" TargetMode="External"/><Relationship Id="rId161" Type="http://schemas.openxmlformats.org/officeDocument/2006/relationships/hyperlink" Target="https://www.sec.gov/Archives/edgar/data/823768/000155837023000964/wm-20221231xex10d11.htm" TargetMode="External"/><Relationship Id="rId162" Type="http://schemas.openxmlformats.org/officeDocument/2006/relationships/hyperlink" Target="http://www.sec.gov/Archives/edgar/data/823768/000110465917075030/a17-28786_1ex10d2.htm" TargetMode="External"/><Relationship Id="rId163" Type="http://schemas.openxmlformats.org/officeDocument/2006/relationships/hyperlink" Target="http://www.sec.gov/Archives/edgar/data/823768/000110465917075030/a17-28786_1ex10d3.htm" TargetMode="External"/><Relationship Id="rId164" Type="http://schemas.openxmlformats.org/officeDocument/2006/relationships/hyperlink" Target="http://www.sec.gov/Archives/edgar/data/823768/000110465917075030/a17-28786_1ex10d4.htm" TargetMode="External"/><Relationship Id="rId165" Type="http://schemas.openxmlformats.org/officeDocument/2006/relationships/hyperlink" Target="http://www.sec.gov/Archives/edgar/data/823768/000155837018000716/wm-20171231ex10236fa05.htm" TargetMode="External"/><Relationship Id="rId166" Type="http://schemas.openxmlformats.org/officeDocument/2006/relationships/hyperlink" Target="http://www.sec.gov/Archives/edgar/data/823768/000119312513058892/d413187dex1043.htm" TargetMode="External"/><Relationship Id="rId167" Type="http://schemas.openxmlformats.org/officeDocument/2006/relationships/hyperlink" Target="http://www.sec.gov/Archives/edgar/data/823768/000110465917075030/a17-28786_1ex10d1.htm" TargetMode="External"/><Relationship Id="rId168" Type="http://schemas.openxmlformats.org/officeDocument/2006/relationships/hyperlink" Target="https://www.sec.gov/Archives/edgar/data/0000823768/000110465921029723/tm216945d2_ex10-1.htm" TargetMode="External"/><Relationship Id="rId169" Type="http://schemas.openxmlformats.org/officeDocument/2006/relationships/hyperlink" Target="https://www.sec.gov/Archives/edgar/data/823768/000155837022001179/wm-20211231xex10d19.htm" TargetMode="External"/><Relationship Id="rId170" Type="http://schemas.openxmlformats.org/officeDocument/2006/relationships/hyperlink" Target="https://www.sec.gov/Archives/edgar/data/823768/000110465922030973/tm228341d1_ex10-1.htm" TargetMode="External"/><Relationship Id="rId171" Type="http://schemas.openxmlformats.org/officeDocument/2006/relationships/hyperlink" Target="https://www.sec.gov/Archives/edgar/data/823768/000110465922030973/tm228341d1_ex10-2.htm" TargetMode="External"/><Relationship Id="rId172" Type="http://schemas.openxmlformats.org/officeDocument/2006/relationships/hyperlink" Target="https://www.sec.gov/Archives/edgar/data/823768/000110465923030666/tm23896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2024-02-13T14:32:13Z</dcterms:created>
  <dcterms:modified xsi:type="dcterms:W3CDTF">2024-02-13T14:32:13Z</dcterms:modified>
</cp:coreProperties>
</file>