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28, 2026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756"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(State or Other Jurisdiction </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56" w:right="339" w:bottom="1440" w:gutter="0" w:footer="0" w:header="0"/>
          <w:type w:val="continuous"/>
        </w:sectPr>
      </w:pPr>
    </w:p>
    <w:p>
      <w:pPr>
        <w:spacing w:after="0" w:line="3"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800 Capitol Street, Suite 3000, Houston, Texas</w:t>
      </w:r>
    </w:p>
    <w:p>
      <w:pPr>
        <w:spacing w:after="0" w:line="4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80" w:space="720"/>
            <w:col w:w="3140"/>
          </w:cols>
          <w:pgMar w:left="320" w:top="75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294005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Trading Symbol(s)</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WM</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Waste Management, Inc. (the “Company”) issued a press release today announcing its financial results for the fourth quarter and full year ended December 31, 2025, a copy of which is furnished as Exhibit 99.1 to this Form 8-K. The Company is conducting an audio webcast to discuss these results beginning at 10:00 a.m. Eastern Time on January 29, 2026. </w:t>
      </w:r>
      <w:r>
        <w:rPr>
          <w:rFonts w:ascii="Times New Roman" w:cs="Times New Roman" w:eastAsia="Times New Roman" w:hAnsi="Times New Roman"/>
          <w:sz w:val="18"/>
          <w:szCs w:val="18"/>
          <w:color w:val="0A0A0A"/>
        </w:rPr>
        <w:t>Listeners can access the live audio webcast by visiting investors.wm.com and selecting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“Events &amp; Presentations” from the website menu. A replay of the audio webcast will be available at the same location.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the webcast, management of the Company is expected to discuss certain non-GAAP financial measures. The Company has provided information regarding its use of non-GAAP measures and reconciliations of such measures to their most comparable GAAP measures in the notes and tables that accompany the press release.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January 28, 2026</w:t>
      </w:r>
    </w:p>
    <w:p>
      <w:pPr>
        <w:spacing w:after="0" w:line="225" w:lineRule="exact"/>
        <w:rPr>
          <w:sz w:val="20"/>
          <w:szCs w:val="20"/>
          <w:color w:val="auto"/>
        </w:rPr>
      </w:pPr>
    </w:p>
    <w:p>
      <w:pPr>
        <w:ind w:left="5580" w:right="3800" w:hanging="5572"/>
        <w:spacing w:after="0" w:line="783" w:lineRule="auto"/>
        <w:tabs>
          <w:tab w:leader="none" w:pos="91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3"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January 28, 2026</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Charles C. Boettcher</w:t>
      </w:r>
    </w:p>
    <w:p>
      <w:pPr>
        <w:spacing w:after="0" w:line="3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Charles C. Boettcher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 and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WM Announces Fourth Quarter and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Full-Year 2025 Earnings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Focus on Operational Excellence Drives the Company’s Best-Ever Operating Expenses as a Percentage of Revenue for the Fourth Quarter and Full Year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Robust Operational Performance Led to Cash Flow from Operations Growing More than 12% in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Strong Growth in Earnings and Cash Flow from Operations Expected to Continue in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HOUSTON — Jan. 28, 2026 </w:t>
      </w:r>
      <w:r>
        <w:rPr>
          <w:rFonts w:ascii="Times New Roman" w:cs="Times New Roman" w:eastAsia="Times New Roman" w:hAnsi="Times New Roman"/>
          <w:sz w:val="18"/>
          <w:szCs w:val="18"/>
          <w:color w:val="auto"/>
        </w:rPr>
        <w:t>— WM (NYSE: WM) today announced financial results for the fourth quarter and year ended Dec. 31, 2025.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272727"/>
              </w:rPr>
              <w:t>December 31, 2025</w:t>
            </w:r>
          </w:p>
        </w:tc>
        <w:tc>
          <w:tcPr>
            <w:tcW w:w="1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Pr>
          <w:p>
            <w:pPr>
              <w:spacing w:after="0"/>
              <w:rPr>
                <w:sz w:val="19"/>
                <w:szCs w:val="19"/>
                <w:color w:val="auto"/>
              </w:rPr>
            </w:pPr>
          </w:p>
        </w:tc>
      </w:tr>
      <w:tr>
        <w:trPr>
          <w:trHeight w:val="210"/>
        </w:trPr>
        <w:tc>
          <w:tcPr>
            <w:tcW w:w="2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tc>
        <w:tc>
          <w:tcPr>
            <w:tcW w:w="6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11"/>
          </w:tcPr>
          <w:p>
            <w:pPr>
              <w:jc w:val="right"/>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tc>
        <w:tc>
          <w:tcPr>
            <w:tcW w:w="6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6"/>
        </w:trPr>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620"/>
              <w:spacing w:after="0" w:line="196" w:lineRule="exact"/>
              <w:rPr>
                <w:sz w:val="20"/>
                <w:szCs w:val="20"/>
                <w:color w:val="auto"/>
              </w:rPr>
            </w:pPr>
            <w:r>
              <w:rPr>
                <w:rFonts w:ascii="Times New Roman" w:cs="Times New Roman" w:eastAsia="Times New Roman" w:hAnsi="Times New Roman"/>
                <w:sz w:val="18"/>
                <w:szCs w:val="18"/>
                <w:color w:val="auto"/>
              </w:rPr>
              <w:t>As</w:t>
            </w:r>
          </w:p>
        </w:tc>
        <w:tc>
          <w:tcPr>
            <w:tcW w:w="140" w:type="dxa"/>
            <w:vAlign w:val="bottom"/>
          </w:tcPr>
          <w:p>
            <w:pPr>
              <w:spacing w:after="0"/>
              <w:rPr>
                <w:sz w:val="17"/>
                <w:szCs w:val="17"/>
                <w:color w:val="auto"/>
              </w:rPr>
            </w:pPr>
          </w:p>
        </w:tc>
        <w:tc>
          <w:tcPr>
            <w:tcW w:w="1020" w:type="dxa"/>
            <w:vAlign w:val="bottom"/>
            <w:gridSpan w:val="2"/>
          </w:tcPr>
          <w:p>
            <w:pPr>
              <w:jc w:val="right"/>
              <w:ind w:right="620"/>
              <w:spacing w:after="0" w:line="196" w:lineRule="exact"/>
              <w:rPr>
                <w:sz w:val="20"/>
                <w:szCs w:val="20"/>
                <w:color w:val="auto"/>
              </w:rPr>
            </w:pPr>
            <w:r>
              <w:rPr>
                <w:rFonts w:ascii="Times New Roman" w:cs="Times New Roman" w:eastAsia="Times New Roman" w:hAnsi="Times New Roman"/>
                <w:sz w:val="18"/>
                <w:szCs w:val="18"/>
                <w:color w:val="auto"/>
              </w:rPr>
              <w:t>As</w:t>
            </w:r>
          </w:p>
        </w:tc>
        <w:tc>
          <w:tcPr>
            <w:tcW w:w="100" w:type="dxa"/>
            <w:vAlign w:val="bottom"/>
          </w:tcPr>
          <w:p>
            <w:pPr>
              <w:spacing w:after="0"/>
              <w:rPr>
                <w:sz w:val="17"/>
                <w:szCs w:val="17"/>
                <w:color w:val="auto"/>
              </w:rPr>
            </w:pPr>
          </w:p>
        </w:tc>
        <w:tc>
          <w:tcPr>
            <w:tcW w:w="1020" w:type="dxa"/>
            <w:vAlign w:val="bottom"/>
            <w:gridSpan w:val="2"/>
          </w:tcPr>
          <w:p>
            <w:pPr>
              <w:jc w:val="right"/>
              <w:ind w:right="620"/>
              <w:spacing w:after="0" w:line="196" w:lineRule="exact"/>
              <w:rPr>
                <w:sz w:val="20"/>
                <w:szCs w:val="20"/>
                <w:color w:val="auto"/>
              </w:rPr>
            </w:pPr>
            <w:r>
              <w:rPr>
                <w:rFonts w:ascii="Times New Roman" w:cs="Times New Roman" w:eastAsia="Times New Roman" w:hAnsi="Times New Roman"/>
                <w:sz w:val="18"/>
                <w:szCs w:val="18"/>
                <w:color w:val="auto"/>
              </w:rPr>
              <w:t>As</w:t>
            </w:r>
          </w:p>
        </w:tc>
        <w:tc>
          <w:tcPr>
            <w:tcW w:w="300" w:type="dxa"/>
            <w:vAlign w:val="bottom"/>
          </w:tcPr>
          <w:p>
            <w:pPr>
              <w:spacing w:after="0"/>
              <w:rPr>
                <w:sz w:val="17"/>
                <w:szCs w:val="17"/>
                <w:color w:val="auto"/>
              </w:rPr>
            </w:pPr>
          </w:p>
        </w:tc>
        <w:tc>
          <w:tcPr>
            <w:tcW w:w="60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As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580"/>
              <w:spacing w:after="0" w:line="196" w:lineRule="exact"/>
              <w:rPr>
                <w:sz w:val="20"/>
                <w:szCs w:val="20"/>
                <w:color w:val="auto"/>
              </w:rPr>
            </w:pPr>
            <w:r>
              <w:rPr>
                <w:rFonts w:ascii="Times New Roman" w:cs="Times New Roman" w:eastAsia="Times New Roman" w:hAnsi="Times New Roman"/>
                <w:sz w:val="18"/>
                <w:szCs w:val="18"/>
                <w:color w:val="auto"/>
              </w:rPr>
              <w:t>As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560"/>
              <w:spacing w:after="0" w:line="196" w:lineRule="exact"/>
              <w:rPr>
                <w:sz w:val="20"/>
                <w:szCs w:val="20"/>
                <w:color w:val="auto"/>
              </w:rPr>
            </w:pPr>
            <w:r>
              <w:rPr>
                <w:rFonts w:ascii="Times New Roman" w:cs="Times New Roman" w:eastAsia="Times New Roman" w:hAnsi="Times New Roman"/>
                <w:sz w:val="18"/>
                <w:szCs w:val="18"/>
                <w:color w:val="auto"/>
              </w:rPr>
              <w:t>As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600"/>
              <w:spacing w:after="0" w:line="196" w:lineRule="exact"/>
              <w:rPr>
                <w:sz w:val="20"/>
                <w:szCs w:val="20"/>
                <w:color w:val="auto"/>
              </w:rPr>
            </w:pPr>
            <w:r>
              <w:rPr>
                <w:rFonts w:ascii="Times New Roman" w:cs="Times New Roman" w:eastAsia="Times New Roman" w:hAnsi="Times New Roman"/>
                <w:sz w:val="18"/>
                <w:szCs w:val="18"/>
                <w:color w:val="auto"/>
              </w:rPr>
              <w:t>As</w:t>
            </w:r>
          </w:p>
        </w:tc>
        <w:tc>
          <w:tcPr>
            <w:tcW w:w="280" w:type="dxa"/>
            <w:vAlign w:val="bottom"/>
          </w:tcPr>
          <w:p>
            <w:pPr>
              <w:spacing w:after="0"/>
              <w:rPr>
                <w:sz w:val="17"/>
                <w:szCs w:val="17"/>
                <w:color w:val="auto"/>
              </w:rPr>
            </w:pPr>
          </w:p>
        </w:tc>
        <w:tc>
          <w:tcPr>
            <w:tcW w:w="62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As</w:t>
            </w:r>
          </w:p>
        </w:tc>
        <w:tc>
          <w:tcPr>
            <w:tcW w:w="160" w:type="dxa"/>
            <w:vAlign w:val="bottom"/>
          </w:tcPr>
          <w:p>
            <w:pPr>
              <w:spacing w:after="0"/>
              <w:rPr>
                <w:sz w:val="17"/>
                <w:szCs w:val="17"/>
                <w:color w:val="auto"/>
              </w:rPr>
            </w:pPr>
          </w:p>
        </w:tc>
      </w:tr>
      <w:tr>
        <w:trPr>
          <w:trHeight w:val="270"/>
        </w:trPr>
        <w:tc>
          <w:tcPr>
            <w:tcW w:w="2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6"/>
              </w:rPr>
              <w:t>Reported</w:t>
            </w:r>
          </w:p>
        </w:tc>
        <w:tc>
          <w:tcPr>
            <w:tcW w:w="1160" w:type="dxa"/>
            <w:vAlign w:val="bottom"/>
            <w:gridSpan w:val="3"/>
          </w:tcPr>
          <w:p>
            <w:pPr>
              <w:jc w:val="right"/>
              <w:ind w:right="320"/>
              <w:spacing w:after="0" w:line="270" w:lineRule="exact"/>
              <w:rPr>
                <w:sz w:val="20"/>
                <w:szCs w:val="20"/>
                <w:color w:val="auto"/>
              </w:rPr>
            </w:pPr>
            <w:r>
              <w:rPr>
                <w:rFonts w:ascii="Times New Roman" w:cs="Times New Roman" w:eastAsia="Times New Roman" w:hAnsi="Times New Roman"/>
                <w:sz w:val="18"/>
                <w:szCs w:val="18"/>
                <w:color w:val="auto"/>
                <w:w w:val="94"/>
              </w:rPr>
              <w:t>Adjusted</w:t>
            </w:r>
            <w:r>
              <w:rPr>
                <w:rFonts w:ascii="Times New Roman" w:cs="Times New Roman" w:eastAsia="Times New Roman" w:hAnsi="Times New Roman"/>
                <w:sz w:val="29"/>
                <w:szCs w:val="29"/>
                <w:color w:val="auto"/>
                <w:w w:val="94"/>
                <w:vertAlign w:val="superscript"/>
              </w:rPr>
              <w:t>(a)</w:t>
            </w:r>
          </w:p>
        </w:tc>
        <w:tc>
          <w:tcPr>
            <w:tcW w:w="100" w:type="dxa"/>
            <w:vAlign w:val="bottom"/>
          </w:tcPr>
          <w:p>
            <w:pPr>
              <w:spacing w:after="0"/>
              <w:rPr>
                <w:sz w:val="23"/>
                <w:szCs w:val="23"/>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6"/>
              </w:rPr>
              <w:t>Reported</w:t>
            </w:r>
          </w:p>
        </w:tc>
        <w:tc>
          <w:tcPr>
            <w:tcW w:w="1180" w:type="dxa"/>
            <w:vAlign w:val="bottom"/>
            <w:gridSpan w:val="3"/>
          </w:tcPr>
          <w:p>
            <w:pPr>
              <w:jc w:val="right"/>
              <w:ind w:right="320"/>
              <w:spacing w:after="0" w:line="270" w:lineRule="exact"/>
              <w:rPr>
                <w:sz w:val="20"/>
                <w:szCs w:val="20"/>
                <w:color w:val="auto"/>
              </w:rPr>
            </w:pPr>
            <w:r>
              <w:rPr>
                <w:rFonts w:ascii="Times New Roman" w:cs="Times New Roman" w:eastAsia="Times New Roman" w:hAnsi="Times New Roman"/>
                <w:sz w:val="18"/>
                <w:szCs w:val="18"/>
                <w:color w:val="auto"/>
                <w:w w:val="97"/>
              </w:rPr>
              <w:t>Adjusted</w:t>
            </w:r>
            <w:r>
              <w:rPr>
                <w:rFonts w:ascii="Times New Roman" w:cs="Times New Roman" w:eastAsia="Times New Roman" w:hAnsi="Times New Roman"/>
                <w:sz w:val="29"/>
                <w:szCs w:val="29"/>
                <w:color w:val="auto"/>
                <w:w w:val="97"/>
                <w:vertAlign w:val="superscript"/>
              </w:rPr>
              <w:t>(a)</w:t>
            </w:r>
          </w:p>
        </w:tc>
        <w:tc>
          <w:tcPr>
            <w:tcW w:w="100" w:type="dxa"/>
            <w:vAlign w:val="bottom"/>
          </w:tcPr>
          <w:p>
            <w:pPr>
              <w:spacing w:after="0"/>
              <w:rPr>
                <w:sz w:val="23"/>
                <w:szCs w:val="23"/>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Reported</w:t>
            </w:r>
          </w:p>
        </w:tc>
        <w:tc>
          <w:tcPr>
            <w:tcW w:w="60" w:type="dxa"/>
            <w:vAlign w:val="bottom"/>
          </w:tcPr>
          <w:p>
            <w:pPr>
              <w:spacing w:after="0"/>
              <w:rPr>
                <w:sz w:val="23"/>
                <w:szCs w:val="23"/>
                <w:color w:val="auto"/>
              </w:rPr>
            </w:pPr>
          </w:p>
        </w:tc>
        <w:tc>
          <w:tcPr>
            <w:tcW w:w="1100" w:type="dxa"/>
            <w:vAlign w:val="bottom"/>
            <w:gridSpan w:val="3"/>
          </w:tcPr>
          <w:p>
            <w:pPr>
              <w:jc w:val="right"/>
              <w:ind w:right="240"/>
              <w:spacing w:after="0" w:line="270" w:lineRule="exact"/>
              <w:rPr>
                <w:sz w:val="20"/>
                <w:szCs w:val="20"/>
                <w:color w:val="auto"/>
              </w:rPr>
            </w:pPr>
            <w:r>
              <w:rPr>
                <w:rFonts w:ascii="Times New Roman" w:cs="Times New Roman" w:eastAsia="Times New Roman" w:hAnsi="Times New Roman"/>
                <w:sz w:val="18"/>
                <w:szCs w:val="18"/>
                <w:color w:val="auto"/>
                <w:w w:val="97"/>
              </w:rPr>
              <w:t>Adjusted</w:t>
            </w:r>
            <w:r>
              <w:rPr>
                <w:rFonts w:ascii="Times New Roman" w:cs="Times New Roman" w:eastAsia="Times New Roman" w:hAnsi="Times New Roman"/>
                <w:sz w:val="29"/>
                <w:szCs w:val="29"/>
                <w:color w:val="auto"/>
                <w:w w:val="97"/>
                <w:vertAlign w:val="superscript"/>
              </w:rPr>
              <w:t>(a)</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6"/>
              </w:rPr>
              <w:t>Reported</w:t>
            </w:r>
          </w:p>
        </w:tc>
        <w:tc>
          <w:tcPr>
            <w:tcW w:w="1060" w:type="dxa"/>
            <w:vAlign w:val="bottom"/>
            <w:gridSpan w:val="3"/>
          </w:tcPr>
          <w:p>
            <w:pPr>
              <w:jc w:val="right"/>
              <w:ind w:right="200"/>
              <w:spacing w:after="0" w:line="270" w:lineRule="exact"/>
              <w:rPr>
                <w:sz w:val="20"/>
                <w:szCs w:val="20"/>
                <w:color w:val="auto"/>
              </w:rPr>
            </w:pPr>
            <w:r>
              <w:rPr>
                <w:rFonts w:ascii="Times New Roman" w:cs="Times New Roman" w:eastAsia="Times New Roman" w:hAnsi="Times New Roman"/>
                <w:sz w:val="18"/>
                <w:szCs w:val="18"/>
                <w:color w:val="auto"/>
                <w:w w:val="97"/>
              </w:rPr>
              <w:t>Adjusted</w:t>
            </w:r>
            <w:r>
              <w:rPr>
                <w:rFonts w:ascii="Times New Roman" w:cs="Times New Roman" w:eastAsia="Times New Roman" w:hAnsi="Times New Roman"/>
                <w:sz w:val="29"/>
                <w:szCs w:val="29"/>
                <w:color w:val="auto"/>
                <w:w w:val="97"/>
                <w:vertAlign w:val="superscript"/>
              </w:rPr>
              <w:t>(a)</w:t>
            </w:r>
          </w:p>
        </w:tc>
      </w:tr>
      <w:tr>
        <w:trPr>
          <w:trHeight w:val="209"/>
        </w:trPr>
        <w:tc>
          <w:tcPr>
            <w:tcW w:w="2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25,204</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25,204</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22,063</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22,063</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1,155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4,308</w:t>
            </w:r>
          </w:p>
        </w:tc>
        <w:tc>
          <w:tcPr>
            <w:tcW w:w="28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4,063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4,296</w:t>
            </w:r>
          </w:p>
        </w:tc>
      </w:tr>
      <w:tr>
        <w:trPr>
          <w:trHeight w:val="256"/>
        </w:trPr>
        <w:tc>
          <w:tcPr>
            <w:tcW w:w="21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Operating EBITDA</w:t>
            </w:r>
            <w:r>
              <w:rPr>
                <w:rFonts w:ascii="Times New Roman" w:cs="Times New Roman" w:eastAsia="Times New Roman" w:hAnsi="Times New Roman"/>
                <w:sz w:val="29"/>
                <w:szCs w:val="29"/>
                <w:color w:val="auto"/>
                <w:vertAlign w:val="superscript"/>
              </w:rPr>
              <w:t>(b)</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1,571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7,171</w:t>
            </w:r>
          </w:p>
        </w:tc>
        <w:tc>
          <w:tcPr>
            <w:tcW w:w="28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7,582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6,330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6,563</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Operating EBITDA Margin</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3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28.7%</w:t>
            </w:r>
          </w:p>
        </w:tc>
        <w:tc>
          <w:tcPr>
            <w:tcW w:w="2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w:t>
            </w:r>
          </w:p>
        </w:tc>
      </w:tr>
      <w:tr>
        <w:trPr>
          <w:trHeight w:val="257"/>
        </w:trPr>
        <w:tc>
          <w:tcPr>
            <w:tcW w:w="21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Net Income</w:t>
            </w:r>
            <w:r>
              <w:rPr>
                <w:rFonts w:ascii="Times New Roman" w:cs="Times New Roman" w:eastAsia="Times New Roman" w:hAnsi="Times New Roman"/>
                <w:sz w:val="29"/>
                <w:szCs w:val="29"/>
                <w:color w:val="auto"/>
                <w:vertAlign w:val="superscript"/>
              </w:rPr>
              <w:t>(c)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2,708</w:t>
            </w:r>
          </w:p>
        </w:tc>
        <w:tc>
          <w:tcPr>
            <w:tcW w:w="28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2,746</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2,916</w:t>
            </w:r>
          </w:p>
        </w:tc>
      </w:t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Diluted EPS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6.70</w:t>
            </w:r>
          </w:p>
        </w:tc>
        <w:tc>
          <w:tcPr>
            <w:tcW w:w="28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7.23</w:t>
            </w:r>
          </w:p>
        </w:tc>
      </w:tr>
    </w:tbl>
    <w:p>
      <w:pPr>
        <w:spacing w:after="0" w:line="17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“2025 was a year of disciplined execution for WM,” said Jim Fish, WM’s CEO. “We delivered record performance in operating expenses as a percentage of revenue for both the fourth quarter and the full year, resulting in our best full-year adjusted operating EBITDA margin.</w:t>
      </w:r>
      <w:r>
        <w:rPr>
          <w:rFonts w:ascii="Times New Roman" w:cs="Times New Roman" w:eastAsia="Times New Roman" w:hAnsi="Times New Roman"/>
          <w:sz w:val="29"/>
          <w:szCs w:val="29"/>
          <w:color w:val="57584F"/>
          <w:vertAlign w:val="superscript"/>
        </w:rPr>
        <w:t>(a)</w:t>
      </w:r>
      <w:r>
        <w:rPr>
          <w:rFonts w:ascii="Times New Roman" w:cs="Times New Roman" w:eastAsia="Times New Roman" w:hAnsi="Times New Roman"/>
          <w:sz w:val="18"/>
          <w:szCs w:val="18"/>
          <w:color w:val="auto"/>
        </w:rPr>
        <w:t xml:space="preserve"> Our investments in technology and automation continue to generate meaningful efficiencies, contributing to structurally enhanced margins and stronger cash generation. We are also building momentum in the strategic growth of our recycling, renewable energy, and healthcare solutions businesses as we position WM as the leading provider of comprehensive environmental solutions.”</w:t>
      </w:r>
    </w:p>
    <w:p>
      <w:pPr>
        <w:spacing w:after="0" w:line="20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Fish continued, “As we carry our momentum into 2026, we expect to grow free cash flow by nearly 30% at the midpoint of our guidance.</w:t>
      </w:r>
      <w:r>
        <w:rPr>
          <w:rFonts w:ascii="Times New Roman" w:cs="Times New Roman" w:eastAsia="Times New Roman" w:hAnsi="Times New Roman"/>
          <w:sz w:val="29"/>
          <w:szCs w:val="29"/>
          <w:color w:val="57584F"/>
          <w:vertAlign w:val="superscript"/>
        </w:rPr>
        <w:t>(a)</w:t>
      </w:r>
      <w:r>
        <w:rPr>
          <w:rFonts w:ascii="Times New Roman" w:cs="Times New Roman" w:eastAsia="Times New Roman" w:hAnsi="Times New Roman"/>
          <w:sz w:val="18"/>
          <w:szCs w:val="18"/>
          <w:color w:val="auto"/>
        </w:rPr>
        <w:t xml:space="preserve"> This growth is underpinned by our unreplicable solid waste network as well as the intentional investments we have made in recycling and renewable energy projects, our fleet, and a premier medical waste network. We plan to harvest the benefits of our investments and return to shareholders approximately $3.5 billion in 2026 through dividends and share repurchases while also returning our leverage ratio to our long-term target range of between 2.5x and 3.0x.”</w:t>
      </w:r>
      <w:r>
        <w:rPr>
          <w:rFonts w:ascii="Times New Roman" w:cs="Times New Roman" w:eastAsia="Times New Roman" w:hAnsi="Times New Roman"/>
          <w:sz w:val="29"/>
          <w:szCs w:val="29"/>
          <w:color w:val="auto"/>
          <w:vertAlign w:val="superscript"/>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68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KEY HIGHLIGHTS FOR THE FOURTH QUARTER AND FULL YEAR 2025</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5"/>
        </w:trPr>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EBITDA</w:t>
            </w:r>
            <w:r>
              <w:rPr>
                <w:rFonts w:ascii="Times New Roman" w:cs="Times New Roman" w:eastAsia="Times New Roman" w:hAnsi="Times New Roman"/>
                <w:sz w:val="29"/>
                <w:szCs w:val="29"/>
                <w:b w:val="1"/>
                <w:bCs w:val="1"/>
                <w:color w:val="auto"/>
                <w:vertAlign w:val="superscript"/>
              </w:rPr>
              <w:t>(b)</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9"/>
              </w:rPr>
              <w:t>Fourth Quarter 2025</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Full Year 2025</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 in millions)</w:t>
            </w:r>
          </w:p>
        </w:tc>
        <w:tc>
          <w:tcPr>
            <w:tcW w:w="8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8"/>
                <w:szCs w:val="18"/>
                <w:color w:val="auto"/>
              </w:rPr>
              <w:t>($ in millions)</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4"/>
          </w:tcPr>
          <w:p>
            <w:pPr>
              <w:jc w:val="right"/>
              <w:ind w:right="720"/>
              <w:spacing w:after="0" w:line="191" w:lineRule="exact"/>
              <w:rPr>
                <w:sz w:val="20"/>
                <w:szCs w:val="20"/>
                <w:color w:val="auto"/>
              </w:rPr>
            </w:pPr>
            <w:r>
              <w:rPr>
                <w:rFonts w:ascii="Times New Roman" w:cs="Times New Roman" w:eastAsia="Times New Roman" w:hAnsi="Times New Roman"/>
                <w:sz w:val="18"/>
                <w:szCs w:val="18"/>
                <w:color w:val="auto"/>
              </w:rPr>
              <w:t>Total Company</w:t>
            </w:r>
          </w:p>
        </w:tc>
        <w:tc>
          <w:tcPr>
            <w:tcW w:w="120" w:type="dxa"/>
            <w:vAlign w:val="bottom"/>
          </w:tcPr>
          <w:p>
            <w:pPr>
              <w:spacing w:after="0"/>
              <w:rPr>
                <w:sz w:val="16"/>
                <w:szCs w:val="16"/>
                <w:color w:val="auto"/>
              </w:rPr>
            </w:pPr>
          </w:p>
        </w:tc>
        <w:tc>
          <w:tcPr>
            <w:tcW w:w="2160" w:type="dxa"/>
            <w:vAlign w:val="bottom"/>
            <w:gridSpan w:val="4"/>
            <w:vMerge w:val="restart"/>
          </w:tcPr>
          <w:p>
            <w:pPr>
              <w:jc w:val="right"/>
              <w:ind w:right="740"/>
              <w:spacing w:after="0"/>
              <w:rPr>
                <w:sz w:val="20"/>
                <w:szCs w:val="20"/>
                <w:color w:val="auto"/>
              </w:rPr>
            </w:pPr>
            <w:r>
              <w:rPr>
                <w:rFonts w:ascii="Times New Roman" w:cs="Times New Roman" w:eastAsia="Times New Roman" w:hAnsi="Times New Roman"/>
                <w:sz w:val="18"/>
                <w:szCs w:val="18"/>
                <w:color w:val="auto"/>
              </w:rPr>
              <w:t>As Adjusted</w:t>
            </w:r>
            <w:r>
              <w:rPr>
                <w:rFonts w:ascii="Times New Roman" w:cs="Times New Roman" w:eastAsia="Times New Roman" w:hAnsi="Times New Roman"/>
                <w:sz w:val="29"/>
                <w:szCs w:val="29"/>
                <w:color w:val="auto"/>
                <w:vertAlign w:val="superscript"/>
              </w:rPr>
              <w:t>(a)</w:t>
            </w:r>
          </w:p>
        </w:tc>
        <w:tc>
          <w:tcPr>
            <w:tcW w:w="120" w:type="dxa"/>
            <w:vAlign w:val="bottom"/>
          </w:tcPr>
          <w:p>
            <w:pPr>
              <w:spacing w:after="0"/>
              <w:rPr>
                <w:sz w:val="16"/>
                <w:szCs w:val="16"/>
                <w:color w:val="auto"/>
              </w:rPr>
            </w:pPr>
          </w:p>
        </w:tc>
        <w:tc>
          <w:tcPr>
            <w:tcW w:w="2140" w:type="dxa"/>
            <w:vAlign w:val="bottom"/>
            <w:gridSpan w:val="4"/>
          </w:tcPr>
          <w:p>
            <w:pPr>
              <w:jc w:val="right"/>
              <w:ind w:right="740"/>
              <w:spacing w:after="0" w:line="191" w:lineRule="exact"/>
              <w:rPr>
                <w:sz w:val="20"/>
                <w:szCs w:val="20"/>
                <w:color w:val="auto"/>
              </w:rPr>
            </w:pPr>
            <w:r>
              <w:rPr>
                <w:rFonts w:ascii="Times New Roman" w:cs="Times New Roman" w:eastAsia="Times New Roman" w:hAnsi="Times New Roman"/>
                <w:sz w:val="18"/>
                <w:szCs w:val="18"/>
                <w:color w:val="auto"/>
              </w:rPr>
              <w:t>Total Company</w:t>
            </w:r>
          </w:p>
        </w:tc>
        <w:tc>
          <w:tcPr>
            <w:tcW w:w="120" w:type="dxa"/>
            <w:vAlign w:val="bottom"/>
          </w:tcPr>
          <w:p>
            <w:pPr>
              <w:spacing w:after="0"/>
              <w:rPr>
                <w:sz w:val="16"/>
                <w:szCs w:val="16"/>
                <w:color w:val="auto"/>
              </w:rPr>
            </w:pPr>
          </w:p>
        </w:tc>
        <w:tc>
          <w:tcPr>
            <w:tcW w:w="2040" w:type="dxa"/>
            <w:vAlign w:val="bottom"/>
            <w:gridSpan w:val="4"/>
            <w:vMerge w:val="restart"/>
          </w:tcPr>
          <w:p>
            <w:pPr>
              <w:jc w:val="right"/>
              <w:ind w:right="640"/>
              <w:spacing w:after="0"/>
              <w:rPr>
                <w:sz w:val="20"/>
                <w:szCs w:val="20"/>
                <w:color w:val="auto"/>
              </w:rPr>
            </w:pPr>
            <w:r>
              <w:rPr>
                <w:rFonts w:ascii="Times New Roman" w:cs="Times New Roman" w:eastAsia="Times New Roman" w:hAnsi="Times New Roman"/>
                <w:sz w:val="18"/>
                <w:szCs w:val="18"/>
                <w:color w:val="auto"/>
              </w:rPr>
              <w:t>As Adjusted</w:t>
            </w:r>
            <w:r>
              <w:rPr>
                <w:rFonts w:ascii="Times New Roman" w:cs="Times New Roman" w:eastAsia="Times New Roman" w:hAnsi="Times New Roman"/>
                <w:sz w:val="29"/>
                <w:szCs w:val="29"/>
                <w:color w:val="auto"/>
                <w:vertAlign w:val="superscript"/>
              </w:rPr>
              <w:t>(a)</w:t>
            </w:r>
          </w:p>
        </w:tc>
        <w:tc>
          <w:tcPr>
            <w:tcW w:w="0" w:type="dxa"/>
            <w:vAlign w:val="bottom"/>
          </w:tcPr>
          <w:p>
            <w:pPr>
              <w:spacing w:after="0"/>
              <w:rPr>
                <w:sz w:val="1"/>
                <w:szCs w:val="1"/>
                <w:color w:val="auto"/>
              </w:rPr>
            </w:pPr>
          </w:p>
        </w:tc>
      </w:tr>
      <w:tr>
        <w:trPr>
          <w:trHeight w:val="234"/>
        </w:trPr>
        <w:tc>
          <w:tcPr>
            <w:tcW w:w="2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4"/>
          </w:tcPr>
          <w:p>
            <w:pPr>
              <w:jc w:val="right"/>
              <w:ind w:right="920"/>
              <w:spacing w:after="0"/>
              <w:rPr>
                <w:sz w:val="20"/>
                <w:szCs w:val="20"/>
                <w:color w:val="auto"/>
              </w:rPr>
            </w:pPr>
            <w:r>
              <w:rPr>
                <w:rFonts w:ascii="Times New Roman" w:cs="Times New Roman" w:eastAsia="Times New Roman" w:hAnsi="Times New Roman"/>
                <w:sz w:val="18"/>
                <w:szCs w:val="18"/>
                <w:color w:val="auto"/>
              </w:rPr>
              <w:t>Breakout</w:t>
            </w:r>
          </w:p>
        </w:tc>
        <w:tc>
          <w:tcPr>
            <w:tcW w:w="120" w:type="dxa"/>
            <w:vAlign w:val="bottom"/>
          </w:tcPr>
          <w:p>
            <w:pPr>
              <w:spacing w:after="0"/>
              <w:rPr>
                <w:sz w:val="20"/>
                <w:szCs w:val="20"/>
                <w:color w:val="auto"/>
              </w:rPr>
            </w:pPr>
          </w:p>
        </w:tc>
        <w:tc>
          <w:tcPr>
            <w:tcW w:w="2160" w:type="dxa"/>
            <w:vAlign w:val="bottom"/>
            <w:gridSpan w:val="4"/>
            <w:vMerge w:val="continue"/>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color w:val="auto"/>
              </w:rPr>
              <w:t>Breakout</w:t>
            </w:r>
          </w:p>
        </w:tc>
        <w:tc>
          <w:tcPr>
            <w:tcW w:w="120" w:type="dxa"/>
            <w:vAlign w:val="bottom"/>
          </w:tcPr>
          <w:p>
            <w:pPr>
              <w:spacing w:after="0"/>
              <w:rPr>
                <w:sz w:val="20"/>
                <w:szCs w:val="20"/>
                <w:color w:val="auto"/>
              </w:rPr>
            </w:pPr>
          </w:p>
        </w:tc>
        <w:tc>
          <w:tcPr>
            <w:tcW w:w="204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top w:val="single" w:sz="8" w:color="auto"/>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Margin</w:t>
            </w:r>
          </w:p>
        </w:tc>
        <w:tc>
          <w:tcPr>
            <w:tcW w:w="2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Margin</w:t>
            </w:r>
          </w:p>
        </w:tc>
        <w:tc>
          <w:tcPr>
            <w:tcW w:w="2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Margin</w:t>
            </w:r>
          </w:p>
        </w:tc>
        <w:tc>
          <w:tcPr>
            <w:tcW w:w="2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Borders>
              <w:top w:val="single" w:sz="8" w:color="auto"/>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Margin</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0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Legacy Business</w:t>
            </w:r>
            <w:r>
              <w:rPr>
                <w:rFonts w:ascii="Times New Roman" w:cs="Times New Roman" w:eastAsia="Times New Roman" w:hAnsi="Times New Roman"/>
                <w:sz w:val="27"/>
                <w:szCs w:val="27"/>
                <w:color w:val="auto"/>
                <w:vertAlign w:val="superscript"/>
              </w:rPr>
              <w:t>(e)</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1,838</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1,869</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6,833</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7,158</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29"/>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Healthcare Solutions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424</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0"/>
        </w:trPr>
        <w:tc>
          <w:tcPr>
            <w:tcW w:w="2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Company</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20" w:hanging="328"/>
        <w:spacing w:after="0" w:line="29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Company operating EBITDA grew 13.3% in 2025. On an adjusted basis, total Company operating EBITDA grew 15.5%, and full-year adjusted margin exceeded 30% for the first time.</w:t>
      </w:r>
      <w:r>
        <w:rPr>
          <w:rFonts w:ascii="Times New Roman" w:cs="Times New Roman" w:eastAsia="Times New Roman" w:hAnsi="Times New Roman"/>
          <w:sz w:val="29"/>
          <w:szCs w:val="29"/>
          <w:color w:val="auto"/>
          <w:vertAlign w:val="superscript"/>
        </w:rPr>
        <w:t>(a)</w:t>
      </w:r>
    </w:p>
    <w:p>
      <w:pPr>
        <w:spacing w:after="0" w:line="30" w:lineRule="exact"/>
        <w:rPr>
          <w:rFonts w:ascii="Times New Roman" w:cs="Times New Roman" w:eastAsia="Times New Roman" w:hAnsi="Times New Roman"/>
          <w:sz w:val="18"/>
          <w:szCs w:val="18"/>
          <w:color w:val="auto"/>
        </w:rPr>
      </w:pPr>
    </w:p>
    <w:p>
      <w:pPr>
        <w:jc w:val="both"/>
        <w:ind w:left="660" w:hanging="328"/>
        <w:spacing w:after="0" w:line="26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EBITDA for the Legacy Business increased 8.0% in 2025 and margin expanded 90 basis points. On an adjusted basis, operating EBITDA for the Legacy Business increased 10.1% in 2025 and margin expanded 150 basis points to 31.5%. These results were driven by organic revenue growth from price, disciplined cost initiatives, a continued focus on optimizing business mix, and contributions from sustainability growth investments.</w:t>
      </w:r>
      <w:r>
        <w:rPr>
          <w:rFonts w:ascii="Times New Roman" w:cs="Times New Roman" w:eastAsia="Times New Roman" w:hAnsi="Times New Roman"/>
          <w:sz w:val="29"/>
          <w:szCs w:val="29"/>
          <w:color w:val="auto"/>
          <w:vertAlign w:val="superscript"/>
        </w:rPr>
        <w:t>(a)</w:t>
      </w:r>
    </w:p>
    <w:p>
      <w:pPr>
        <w:spacing w:after="0" w:line="50" w:lineRule="exact"/>
        <w:rPr>
          <w:rFonts w:ascii="Times New Roman" w:cs="Times New Roman" w:eastAsia="Times New Roman" w:hAnsi="Times New Roman"/>
          <w:sz w:val="18"/>
          <w:szCs w:val="18"/>
          <w:color w:val="auto"/>
        </w:rPr>
      </w:pPr>
    </w:p>
    <w:p>
      <w:pPr>
        <w:jc w:val="both"/>
        <w:ind w:left="660" w:hanging="328"/>
        <w:spacing w:after="0" w:line="27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EBITDA margin in the Healthcare Solutions business improved to 13.5% in 2025 from 1.0% in 2024. Adjusted operating EBITDA margin in the Healthcare Solutions business improved 180 basis points to 16.9% in 2025 as the Company progressed its integration of the business, leading to improved processes and synergy capture.</w:t>
      </w:r>
      <w:r>
        <w:rPr>
          <w:rFonts w:ascii="Times New Roman" w:cs="Times New Roman" w:eastAsia="Times New Roman" w:hAnsi="Times New Roman"/>
          <w:sz w:val="29"/>
          <w:szCs w:val="29"/>
          <w:color w:val="auto"/>
          <w:vertAlign w:val="superscript"/>
        </w:rPr>
        <w: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1"/>
        </w:trPr>
        <w:tc>
          <w:tcPr>
            <w:tcW w:w="2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5"/>
          </w:tcPr>
          <w:p>
            <w:pPr>
              <w:jc w:val="right"/>
              <w:ind w:right="450"/>
              <w:spacing w:after="0"/>
              <w:rPr>
                <w:sz w:val="20"/>
                <w:szCs w:val="20"/>
                <w:color w:val="auto"/>
              </w:rPr>
            </w:pPr>
            <w:r>
              <w:rPr>
                <w:rFonts w:ascii="Times New Roman" w:cs="Times New Roman" w:eastAsia="Times New Roman" w:hAnsi="Times New Roman"/>
                <w:sz w:val="18"/>
                <w:szCs w:val="18"/>
                <w:color w:val="auto"/>
              </w:rPr>
              <w:t>Fourth Quarter 2025</w:t>
            </w:r>
          </w:p>
        </w:tc>
        <w:tc>
          <w:tcPr>
            <w:tcW w:w="190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color w:val="auto"/>
              </w:rPr>
              <w:t>Full Year 2025</w:t>
            </w:r>
          </w:p>
        </w:tc>
      </w:tr>
      <w:tr>
        <w:trPr>
          <w:trHeight w:val="234"/>
        </w:trPr>
        <w:tc>
          <w:tcPr>
            <w:tcW w:w="2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5"/>
          </w:tcPr>
          <w:p>
            <w:pPr>
              <w:jc w:val="right"/>
              <w:ind w:right="670"/>
              <w:spacing w:after="0"/>
              <w:rPr>
                <w:sz w:val="20"/>
                <w:szCs w:val="20"/>
                <w:color w:val="auto"/>
              </w:rPr>
            </w:pPr>
            <w:r>
              <w:rPr>
                <w:rFonts w:ascii="Times New Roman" w:cs="Times New Roman" w:eastAsia="Times New Roman" w:hAnsi="Times New Roman"/>
                <w:sz w:val="18"/>
                <w:szCs w:val="18"/>
                <w:color w:val="auto"/>
              </w:rPr>
              <w:t>($ in millions)</w:t>
            </w:r>
          </w:p>
        </w:tc>
        <w:tc>
          <w:tcPr>
            <w:tcW w:w="190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 in millions)</w:t>
            </w:r>
          </w:p>
        </w:tc>
      </w:tr>
      <w:tr>
        <w:trPr>
          <w:trHeight w:val="223"/>
        </w:trPr>
        <w:tc>
          <w:tcPr>
            <w:tcW w:w="26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Borders>
              <w:top w:val="single" w:sz="8" w:color="auto"/>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Growth</w:t>
            </w:r>
          </w:p>
        </w:tc>
        <w:tc>
          <w:tcPr>
            <w:tcW w:w="2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Borders>
              <w:top w:val="single" w:sz="8" w:color="auto"/>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Growth</w:t>
            </w:r>
          </w:p>
        </w:tc>
        <w:tc>
          <w:tcPr>
            <w:tcW w:w="160" w:type="dxa"/>
            <w:vAlign w:val="bottom"/>
            <w:tcBorders>
              <w:bottom w:val="single" w:sz="8" w:color="CCEEFF"/>
            </w:tcBorders>
          </w:tcPr>
          <w:p>
            <w:pPr>
              <w:spacing w:after="0"/>
              <w:rPr>
                <w:sz w:val="19"/>
                <w:szCs w:val="19"/>
                <w:color w:val="auto"/>
              </w:rPr>
            </w:pPr>
          </w:p>
        </w:tc>
      </w:tr>
      <w:tr>
        <w:trPr>
          <w:trHeight w:val="237"/>
        </w:trPr>
        <w:tc>
          <w:tcPr>
            <w:tcW w:w="262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Legacy Business</w:t>
            </w:r>
            <w:r>
              <w:rPr>
                <w:rFonts w:ascii="Times New Roman" w:cs="Times New Roman" w:eastAsia="Times New Roman" w:hAnsi="Times New Roman"/>
                <w:sz w:val="27"/>
                <w:szCs w:val="27"/>
                <w:color w:val="auto"/>
                <w:vertAlign w:val="superscript"/>
              </w:rPr>
              <w:t>(e)</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5,698</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22,696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Healthcare Solutions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615</w:t>
            </w:r>
          </w:p>
        </w:tc>
        <w:tc>
          <w:tcPr>
            <w:tcW w:w="120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2,508</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0"/>
        </w:trPr>
        <w:tc>
          <w:tcPr>
            <w:tcW w:w="26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Company</w:t>
            </w: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w:t>
            </w: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25,204</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bl>
    <w:p>
      <w:pPr>
        <w:spacing w:after="0" w:line="198" w:lineRule="exact"/>
        <w:rPr>
          <w:sz w:val="20"/>
          <w:szCs w:val="20"/>
          <w:color w:val="auto"/>
        </w:rPr>
      </w:pPr>
    </w:p>
    <w:p>
      <w:pPr>
        <w:ind w:left="660" w:hanging="328"/>
        <w:spacing w:after="0" w:line="29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in the Legacy Business in 2025 was driven by Collection and Disposal core price of 6.3% and yield of 3.8% as the Company continues to focus on maximizing customer lifetime value.</w:t>
      </w:r>
      <w:r>
        <w:rPr>
          <w:rFonts w:ascii="Times New Roman" w:cs="Times New Roman" w:eastAsia="Times New Roman" w:hAnsi="Times New Roman"/>
          <w:sz w:val="29"/>
          <w:szCs w:val="29"/>
          <w:color w:val="auto"/>
          <w:vertAlign w:val="superscript"/>
        </w:rPr>
        <w:t>(f)</w:t>
      </w:r>
    </w:p>
    <w:p>
      <w:pPr>
        <w:spacing w:after="0" w:line="3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the Company’s Collection and Disposal volume was 0.1%, or 0.3% on a workday adjusted basis, inclusive of 50 basis points of volume from wildfire cleanup efforts.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9"/>
              </w:rPr>
              <w:t>Fourth Quarter 2025</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Full Year 2025</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 in millions)</w:t>
            </w:r>
          </w:p>
        </w:tc>
        <w:tc>
          <w:tcPr>
            <w:tcW w:w="8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8"/>
                <w:szCs w:val="18"/>
                <w:color w:val="auto"/>
              </w:rPr>
              <w:t>($ in millions)</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4"/>
          </w:tcPr>
          <w:p>
            <w:pPr>
              <w:jc w:val="right"/>
              <w:ind w:right="700"/>
              <w:spacing w:after="0" w:line="191" w:lineRule="exact"/>
              <w:rPr>
                <w:sz w:val="20"/>
                <w:szCs w:val="20"/>
                <w:color w:val="auto"/>
              </w:rPr>
            </w:pPr>
            <w:r>
              <w:rPr>
                <w:rFonts w:ascii="Times New Roman" w:cs="Times New Roman" w:eastAsia="Times New Roman" w:hAnsi="Times New Roman"/>
                <w:sz w:val="18"/>
                <w:szCs w:val="18"/>
                <w:color w:val="auto"/>
              </w:rPr>
              <w:t>Total Company</w:t>
            </w:r>
          </w:p>
        </w:tc>
        <w:tc>
          <w:tcPr>
            <w:tcW w:w="120" w:type="dxa"/>
            <w:vAlign w:val="bottom"/>
          </w:tcPr>
          <w:p>
            <w:pPr>
              <w:spacing w:after="0"/>
              <w:rPr>
                <w:sz w:val="16"/>
                <w:szCs w:val="16"/>
                <w:color w:val="auto"/>
              </w:rPr>
            </w:pPr>
          </w:p>
        </w:tc>
        <w:tc>
          <w:tcPr>
            <w:tcW w:w="2160" w:type="dxa"/>
            <w:vAlign w:val="bottom"/>
            <w:gridSpan w:val="4"/>
            <w:vMerge w:val="restart"/>
          </w:tcPr>
          <w:p>
            <w:pPr>
              <w:jc w:val="right"/>
              <w:ind w:right="740"/>
              <w:spacing w:after="0"/>
              <w:rPr>
                <w:sz w:val="20"/>
                <w:szCs w:val="20"/>
                <w:color w:val="auto"/>
              </w:rPr>
            </w:pPr>
            <w:r>
              <w:rPr>
                <w:rFonts w:ascii="Times New Roman" w:cs="Times New Roman" w:eastAsia="Times New Roman" w:hAnsi="Times New Roman"/>
                <w:sz w:val="18"/>
                <w:szCs w:val="18"/>
                <w:color w:val="auto"/>
              </w:rPr>
              <w:t>As Adjusted</w:t>
            </w:r>
            <w:r>
              <w:rPr>
                <w:rFonts w:ascii="Times New Roman" w:cs="Times New Roman" w:eastAsia="Times New Roman" w:hAnsi="Times New Roman"/>
                <w:sz w:val="29"/>
                <w:szCs w:val="29"/>
                <w:color w:val="auto"/>
                <w:vertAlign w:val="superscript"/>
              </w:rPr>
              <w:t>(a)</w:t>
            </w:r>
          </w:p>
        </w:tc>
        <w:tc>
          <w:tcPr>
            <w:tcW w:w="120" w:type="dxa"/>
            <w:vAlign w:val="bottom"/>
          </w:tcPr>
          <w:p>
            <w:pPr>
              <w:spacing w:after="0"/>
              <w:rPr>
                <w:sz w:val="16"/>
                <w:szCs w:val="16"/>
                <w:color w:val="auto"/>
              </w:rPr>
            </w:pPr>
          </w:p>
        </w:tc>
        <w:tc>
          <w:tcPr>
            <w:tcW w:w="2140" w:type="dxa"/>
            <w:vAlign w:val="bottom"/>
            <w:gridSpan w:val="4"/>
          </w:tcPr>
          <w:p>
            <w:pPr>
              <w:jc w:val="right"/>
              <w:ind w:right="720"/>
              <w:spacing w:after="0" w:line="191" w:lineRule="exact"/>
              <w:rPr>
                <w:sz w:val="20"/>
                <w:szCs w:val="20"/>
                <w:color w:val="auto"/>
              </w:rPr>
            </w:pPr>
            <w:r>
              <w:rPr>
                <w:rFonts w:ascii="Times New Roman" w:cs="Times New Roman" w:eastAsia="Times New Roman" w:hAnsi="Times New Roman"/>
                <w:sz w:val="18"/>
                <w:szCs w:val="18"/>
                <w:color w:val="auto"/>
              </w:rPr>
              <w:t>Total Company</w:t>
            </w:r>
          </w:p>
        </w:tc>
        <w:tc>
          <w:tcPr>
            <w:tcW w:w="120" w:type="dxa"/>
            <w:vAlign w:val="bottom"/>
          </w:tcPr>
          <w:p>
            <w:pPr>
              <w:spacing w:after="0"/>
              <w:rPr>
                <w:sz w:val="16"/>
                <w:szCs w:val="16"/>
                <w:color w:val="auto"/>
              </w:rPr>
            </w:pPr>
          </w:p>
        </w:tc>
        <w:tc>
          <w:tcPr>
            <w:tcW w:w="2040" w:type="dxa"/>
            <w:vAlign w:val="bottom"/>
            <w:gridSpan w:val="4"/>
            <w:vMerge w:val="restart"/>
          </w:tcPr>
          <w:p>
            <w:pPr>
              <w:jc w:val="right"/>
              <w:ind w:right="640"/>
              <w:spacing w:after="0"/>
              <w:rPr>
                <w:sz w:val="20"/>
                <w:szCs w:val="20"/>
                <w:color w:val="auto"/>
              </w:rPr>
            </w:pPr>
            <w:r>
              <w:rPr>
                <w:rFonts w:ascii="Times New Roman" w:cs="Times New Roman" w:eastAsia="Times New Roman" w:hAnsi="Times New Roman"/>
                <w:sz w:val="18"/>
                <w:szCs w:val="18"/>
                <w:color w:val="auto"/>
              </w:rPr>
              <w:t>As Adjusted</w:t>
            </w:r>
            <w:r>
              <w:rPr>
                <w:rFonts w:ascii="Times New Roman" w:cs="Times New Roman" w:eastAsia="Times New Roman" w:hAnsi="Times New Roman"/>
                <w:sz w:val="29"/>
                <w:szCs w:val="29"/>
                <w:color w:val="auto"/>
                <w:vertAlign w:val="superscript"/>
              </w:rPr>
              <w:t>(a)</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4"/>
          </w:tcPr>
          <w:p>
            <w:pPr>
              <w:jc w:val="right"/>
              <w:ind w:right="920"/>
              <w:spacing w:after="0"/>
              <w:rPr>
                <w:sz w:val="20"/>
                <w:szCs w:val="20"/>
                <w:color w:val="auto"/>
              </w:rPr>
            </w:pPr>
            <w:r>
              <w:rPr>
                <w:rFonts w:ascii="Times New Roman" w:cs="Times New Roman" w:eastAsia="Times New Roman" w:hAnsi="Times New Roman"/>
                <w:sz w:val="18"/>
                <w:szCs w:val="18"/>
                <w:color w:val="auto"/>
              </w:rPr>
              <w:t>Breakout</w:t>
            </w:r>
          </w:p>
        </w:tc>
        <w:tc>
          <w:tcPr>
            <w:tcW w:w="120" w:type="dxa"/>
            <w:vAlign w:val="bottom"/>
          </w:tcPr>
          <w:p>
            <w:pPr>
              <w:spacing w:after="0"/>
              <w:rPr>
                <w:sz w:val="20"/>
                <w:szCs w:val="20"/>
                <w:color w:val="auto"/>
              </w:rPr>
            </w:pPr>
          </w:p>
        </w:tc>
        <w:tc>
          <w:tcPr>
            <w:tcW w:w="2160" w:type="dxa"/>
            <w:vAlign w:val="bottom"/>
            <w:gridSpan w:val="4"/>
            <w:vMerge w:val="continue"/>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color w:val="auto"/>
              </w:rPr>
              <w:t>Breakout</w:t>
            </w:r>
          </w:p>
        </w:tc>
        <w:tc>
          <w:tcPr>
            <w:tcW w:w="120" w:type="dxa"/>
            <w:vAlign w:val="bottom"/>
          </w:tcPr>
          <w:p>
            <w:pPr>
              <w:spacing w:after="0"/>
              <w:rPr>
                <w:sz w:val="20"/>
                <w:szCs w:val="20"/>
                <w:color w:val="auto"/>
              </w:rPr>
            </w:pPr>
          </w:p>
        </w:tc>
        <w:tc>
          <w:tcPr>
            <w:tcW w:w="204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top w:val="single" w:sz="8" w:color="auto"/>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Margin</w:t>
            </w:r>
          </w:p>
        </w:tc>
        <w:tc>
          <w:tcPr>
            <w:tcW w:w="2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Margin</w:t>
            </w:r>
          </w:p>
        </w:tc>
        <w:tc>
          <w:tcPr>
            <w:tcW w:w="2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Margin</w:t>
            </w:r>
          </w:p>
        </w:tc>
        <w:tc>
          <w:tcPr>
            <w:tcW w:w="2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Borders>
              <w:top w:val="single" w:sz="8" w:color="auto"/>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Margin</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2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Legacy Business</w:t>
            </w:r>
            <w:r>
              <w:rPr>
                <w:rFonts w:ascii="Times New Roman" w:cs="Times New Roman" w:eastAsia="Times New Roman" w:hAnsi="Times New Roman"/>
                <w:sz w:val="27"/>
                <w:szCs w:val="27"/>
                <w:color w:val="auto"/>
                <w:vertAlign w:val="superscript"/>
              </w:rPr>
              <w:t>(e)</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3,302</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3,302</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13,429</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13,422</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29"/>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Healthcare Solutions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1,583</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1,574</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10"/>
        </w:trPr>
        <w:tc>
          <w:tcPr>
            <w:tcW w:w="19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Company</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15,012</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14,996</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hanging="328"/>
        <w:spacing w:after="0" w:line="27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as a percentage of revenue for the Legacy Business improved 150 basis points in 2025. Adjusted operating expenses as a percentage of revenue for the Legacy Business improved 160 basis points in 2025, reflecting the benefits of front-line employee retention, capital investments made in the fleet, and intentional efforts to improve the residential collection business.</w:t>
      </w:r>
      <w:r>
        <w:rPr>
          <w:rFonts w:ascii="Times New Roman" w:cs="Times New Roman" w:eastAsia="Times New Roman" w:hAnsi="Times New Roman"/>
          <w:sz w:val="29"/>
          <w:szCs w:val="29"/>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SG&amp;A Expenses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9"/>
              </w:rPr>
              <w:t>Fourth Quarter 2025</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Full Year 2025</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 in millions)</w:t>
            </w:r>
          </w:p>
        </w:tc>
        <w:tc>
          <w:tcPr>
            <w:tcW w:w="8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8"/>
                <w:szCs w:val="18"/>
                <w:color w:val="auto"/>
              </w:rPr>
              <w:t>($ in millions)</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4"/>
          </w:tcPr>
          <w:p>
            <w:pPr>
              <w:jc w:val="center"/>
              <w:ind w:right="380"/>
              <w:spacing w:after="0" w:line="191" w:lineRule="exact"/>
              <w:rPr>
                <w:sz w:val="20"/>
                <w:szCs w:val="20"/>
                <w:color w:val="auto"/>
              </w:rPr>
            </w:pPr>
            <w:r>
              <w:rPr>
                <w:rFonts w:ascii="Times New Roman" w:cs="Times New Roman" w:eastAsia="Times New Roman" w:hAnsi="Times New Roman"/>
                <w:sz w:val="18"/>
                <w:szCs w:val="18"/>
                <w:color w:val="auto"/>
                <w:w w:val="99"/>
              </w:rPr>
              <w:t>Total Company</w:t>
            </w:r>
          </w:p>
        </w:tc>
        <w:tc>
          <w:tcPr>
            <w:tcW w:w="120" w:type="dxa"/>
            <w:vAlign w:val="bottom"/>
          </w:tcPr>
          <w:p>
            <w:pPr>
              <w:spacing w:after="0"/>
              <w:rPr>
                <w:sz w:val="16"/>
                <w:szCs w:val="16"/>
                <w:color w:val="auto"/>
              </w:rPr>
            </w:pPr>
          </w:p>
        </w:tc>
        <w:tc>
          <w:tcPr>
            <w:tcW w:w="2160" w:type="dxa"/>
            <w:vAlign w:val="bottom"/>
            <w:gridSpan w:val="4"/>
            <w:vMerge w:val="restart"/>
          </w:tcPr>
          <w:p>
            <w:pPr>
              <w:jc w:val="right"/>
              <w:ind w:right="740"/>
              <w:spacing w:after="0"/>
              <w:rPr>
                <w:sz w:val="20"/>
                <w:szCs w:val="20"/>
                <w:color w:val="auto"/>
              </w:rPr>
            </w:pPr>
            <w:r>
              <w:rPr>
                <w:rFonts w:ascii="Times New Roman" w:cs="Times New Roman" w:eastAsia="Times New Roman" w:hAnsi="Times New Roman"/>
                <w:sz w:val="18"/>
                <w:szCs w:val="18"/>
                <w:color w:val="auto"/>
              </w:rPr>
              <w:t>As Adjusted</w:t>
            </w:r>
            <w:r>
              <w:rPr>
                <w:rFonts w:ascii="Times New Roman" w:cs="Times New Roman" w:eastAsia="Times New Roman" w:hAnsi="Times New Roman"/>
                <w:sz w:val="29"/>
                <w:szCs w:val="29"/>
                <w:color w:val="auto"/>
                <w:vertAlign w:val="superscript"/>
              </w:rPr>
              <w:t>(a)</w:t>
            </w:r>
          </w:p>
        </w:tc>
        <w:tc>
          <w:tcPr>
            <w:tcW w:w="120" w:type="dxa"/>
            <w:vAlign w:val="bottom"/>
          </w:tcPr>
          <w:p>
            <w:pPr>
              <w:spacing w:after="0"/>
              <w:rPr>
                <w:sz w:val="16"/>
                <w:szCs w:val="16"/>
                <w:color w:val="auto"/>
              </w:rPr>
            </w:pPr>
          </w:p>
        </w:tc>
        <w:tc>
          <w:tcPr>
            <w:tcW w:w="2140" w:type="dxa"/>
            <w:vAlign w:val="bottom"/>
            <w:gridSpan w:val="4"/>
          </w:tcPr>
          <w:p>
            <w:pPr>
              <w:jc w:val="right"/>
              <w:ind w:right="720"/>
              <w:spacing w:after="0" w:line="191" w:lineRule="exact"/>
              <w:rPr>
                <w:sz w:val="20"/>
                <w:szCs w:val="20"/>
                <w:color w:val="auto"/>
              </w:rPr>
            </w:pPr>
            <w:r>
              <w:rPr>
                <w:rFonts w:ascii="Times New Roman" w:cs="Times New Roman" w:eastAsia="Times New Roman" w:hAnsi="Times New Roman"/>
                <w:sz w:val="18"/>
                <w:szCs w:val="18"/>
                <w:color w:val="auto"/>
              </w:rPr>
              <w:t>Total Company</w:t>
            </w:r>
          </w:p>
        </w:tc>
        <w:tc>
          <w:tcPr>
            <w:tcW w:w="120" w:type="dxa"/>
            <w:vAlign w:val="bottom"/>
          </w:tcPr>
          <w:p>
            <w:pPr>
              <w:spacing w:after="0"/>
              <w:rPr>
                <w:sz w:val="16"/>
                <w:szCs w:val="16"/>
                <w:color w:val="auto"/>
              </w:rPr>
            </w:pPr>
          </w:p>
        </w:tc>
        <w:tc>
          <w:tcPr>
            <w:tcW w:w="2040" w:type="dxa"/>
            <w:vAlign w:val="bottom"/>
            <w:gridSpan w:val="4"/>
            <w:vMerge w:val="restart"/>
          </w:tcPr>
          <w:p>
            <w:pPr>
              <w:jc w:val="right"/>
              <w:ind w:right="640"/>
              <w:spacing w:after="0"/>
              <w:rPr>
                <w:sz w:val="20"/>
                <w:szCs w:val="20"/>
                <w:color w:val="auto"/>
              </w:rPr>
            </w:pPr>
            <w:r>
              <w:rPr>
                <w:rFonts w:ascii="Times New Roman" w:cs="Times New Roman" w:eastAsia="Times New Roman" w:hAnsi="Times New Roman"/>
                <w:sz w:val="18"/>
                <w:szCs w:val="18"/>
                <w:color w:val="auto"/>
              </w:rPr>
              <w:t>As Adjusted</w:t>
            </w:r>
            <w:r>
              <w:rPr>
                <w:rFonts w:ascii="Times New Roman" w:cs="Times New Roman" w:eastAsia="Times New Roman" w:hAnsi="Times New Roman"/>
                <w:sz w:val="29"/>
                <w:szCs w:val="29"/>
                <w:color w:val="auto"/>
                <w:vertAlign w:val="superscript"/>
              </w:rPr>
              <w:t>(a)</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w w:val="99"/>
              </w:rPr>
              <w:t>Breakout</w:t>
            </w:r>
          </w:p>
        </w:tc>
        <w:tc>
          <w:tcPr>
            <w:tcW w:w="120" w:type="dxa"/>
            <w:vAlign w:val="bottom"/>
          </w:tcPr>
          <w:p>
            <w:pPr>
              <w:spacing w:after="0"/>
              <w:rPr>
                <w:sz w:val="20"/>
                <w:szCs w:val="20"/>
                <w:color w:val="auto"/>
              </w:rPr>
            </w:pPr>
          </w:p>
        </w:tc>
        <w:tc>
          <w:tcPr>
            <w:tcW w:w="2160" w:type="dxa"/>
            <w:vAlign w:val="bottom"/>
            <w:gridSpan w:val="4"/>
            <w:vMerge w:val="continue"/>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color w:val="auto"/>
              </w:rPr>
              <w:t>Breakout</w:t>
            </w:r>
          </w:p>
        </w:tc>
        <w:tc>
          <w:tcPr>
            <w:tcW w:w="120" w:type="dxa"/>
            <w:vAlign w:val="bottom"/>
          </w:tcPr>
          <w:p>
            <w:pPr>
              <w:spacing w:after="0"/>
              <w:rPr>
                <w:sz w:val="20"/>
                <w:szCs w:val="20"/>
                <w:color w:val="auto"/>
              </w:rPr>
            </w:pPr>
          </w:p>
        </w:tc>
        <w:tc>
          <w:tcPr>
            <w:tcW w:w="204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top w:val="single" w:sz="8" w:color="auto"/>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Margin</w:t>
            </w:r>
          </w:p>
        </w:tc>
        <w:tc>
          <w:tcPr>
            <w:tcW w:w="2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Margin</w:t>
            </w:r>
          </w:p>
        </w:tc>
        <w:tc>
          <w:tcPr>
            <w:tcW w:w="2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Margin</w:t>
            </w:r>
          </w:p>
        </w:tc>
        <w:tc>
          <w:tcPr>
            <w:tcW w:w="2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Borders>
              <w:top w:val="single" w:sz="8" w:color="auto"/>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Margin</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0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Legacy Business</w:t>
            </w:r>
            <w:r>
              <w:rPr>
                <w:rFonts w:ascii="Times New Roman" w:cs="Times New Roman" w:eastAsia="Times New Roman" w:hAnsi="Times New Roman"/>
                <w:sz w:val="27"/>
                <w:szCs w:val="27"/>
                <w:color w:val="auto"/>
                <w:vertAlign w:val="superscript"/>
              </w:rPr>
              <w:t>(e)</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535</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520</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2,149</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2,098</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9"/>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Healthcare Solutions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139</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573</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528</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0"/>
        </w:trPr>
        <w:tc>
          <w:tcPr>
            <w:tcW w:w="19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Company</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674</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328"/>
        <w:spacing w:after="0" w:line="29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as a percentage of revenue in the Legacy Business continues to reflect the Company’s strong cost management approach, improving 20 basis points for the full year, or 10 basis points on an adjusted basis.</w:t>
      </w:r>
      <w:r>
        <w:rPr>
          <w:rFonts w:ascii="Times New Roman" w:cs="Times New Roman" w:eastAsia="Times New Roman" w:hAnsi="Times New Roman"/>
          <w:sz w:val="29"/>
          <w:szCs w:val="29"/>
          <w:color w:val="auto"/>
          <w:vertAlign w:val="superscript"/>
        </w:rPr>
        <w:t>(a)</w:t>
      </w:r>
    </w:p>
    <w:p>
      <w:pPr>
        <w:spacing w:after="0" w:line="30"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as a percentage of revenue for Healthcare Solutions improved to 22.8% in 2025 from 38.5% in 2024. On an adjusted basis SG&amp;A as a percentage of revenue for Healthcare Solutions improved 320 basis points to 21.1% in 2025. This strong result in the first full year of integration</w:t>
      </w:r>
    </w:p>
    <w:p>
      <w:pPr>
        <w:ind w:left="660"/>
        <w:spacing w:after="0"/>
        <w:rPr>
          <w:sz w:val="20"/>
          <w:szCs w:val="20"/>
          <w:color w:val="auto"/>
        </w:rPr>
      </w:pPr>
      <w:r>
        <w:rPr>
          <w:rFonts w:ascii="Times New Roman" w:cs="Times New Roman" w:eastAsia="Times New Roman" w:hAnsi="Times New Roman"/>
          <w:sz w:val="18"/>
          <w:szCs w:val="18"/>
          <w:color w:val="auto"/>
        </w:rPr>
        <w:t>demonstrates the Company’s substantial progress toward its long-term objective of aligning the SG&amp;A of this business with the Legacy Business.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5"/>
          <w:szCs w:val="15"/>
          <w:color w:val="auto"/>
        </w:rPr>
        <w:t>(a)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and Investments</w:t>
      </w:r>
    </w:p>
    <w:p>
      <w:pPr>
        <w:spacing w:after="0" w:line="229" w:lineRule="exact"/>
        <w:rPr>
          <w:sz w:val="20"/>
          <w:szCs w:val="20"/>
          <w:color w:val="auto"/>
        </w:rPr>
      </w:pPr>
    </w:p>
    <w:p>
      <w:pPr>
        <w:ind w:left="660" w:hanging="328"/>
        <w:spacing w:after="0" w:line="29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generated $6.04 billion of net cash provided by operating activities in 2025, an increase of 12.1% from the prior year. This strong operating cash flow growth resulted in free cash flow in 2025 of $2.94 billion, an increase of 26.8% compared to the prior year.</w:t>
      </w:r>
      <w:r>
        <w:rPr>
          <w:rFonts w:ascii="Times New Roman" w:cs="Times New Roman" w:eastAsia="Times New Roman" w:hAnsi="Times New Roman"/>
          <w:sz w:val="29"/>
          <w:szCs w:val="29"/>
          <w:color w:val="auto"/>
          <w:vertAlign w:val="superscript"/>
        </w:rPr>
        <w:t>(a)</w:t>
      </w:r>
    </w:p>
    <w:p>
      <w:pPr>
        <w:spacing w:after="0" w:line="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invested approximately $400 million in acquisitions in 2025 for solid waste and recycling businesses.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 and Healthcare Solutions Update</w:t>
      </w:r>
    </w:p>
    <w:p>
      <w:pPr>
        <w:spacing w:after="0" w:line="229" w:lineRule="exact"/>
        <w:rPr>
          <w:sz w:val="20"/>
          <w:szCs w:val="20"/>
          <w:color w:val="auto"/>
        </w:rPr>
      </w:pPr>
    </w:p>
    <w:p>
      <w:pPr>
        <w:ind w:left="660" w:hanging="328"/>
        <w:spacing w:after="0" w:line="29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the Company continued to progress its investments in sustainability growth projects, completing seven renewable natural gas facilities and nine recycling automation and growth projects, adding significant recycling and renewable natural gas capacity to our network.</w:t>
      </w:r>
      <w:r>
        <w:rPr>
          <w:rFonts w:ascii="Times New Roman" w:cs="Times New Roman" w:eastAsia="Times New Roman" w:hAnsi="Times New Roman"/>
          <w:sz w:val="29"/>
          <w:szCs w:val="29"/>
          <w:color w:val="auto"/>
          <w:vertAlign w:val="superscript"/>
        </w:rPr>
        <w:t>(g)</w:t>
      </w:r>
    </w:p>
    <w:p>
      <w:pPr>
        <w:spacing w:after="0" w:line="3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achieved the targeted integration of the Healthcare Solutions operations into its existing field management and operating structure during the fourth quarter. The Company expects this integration step to benefit customer engagement, cross selling, and operating cost optimization beginning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FINANCIAL OUTLOOK</w:t>
      </w:r>
      <w:r>
        <w:rPr>
          <w:rFonts w:ascii="Times New Roman" w:cs="Times New Roman" w:eastAsia="Times New Roman" w:hAnsi="Times New Roman"/>
          <w:sz w:val="29"/>
          <w:szCs w:val="29"/>
          <w:color w:val="auto"/>
          <w:vertAlign w:val="superscript"/>
        </w:rPr>
        <w:t>(h)</w:t>
      </w:r>
    </w:p>
    <w:p>
      <w:pPr>
        <w:spacing w:after="0" w:line="13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WM’s outlook for growth in 2026 is driven by expectations of continued strength in the solid waste business, ongoing optimization of Healthcare Solutions, and increased contributions from sustainability growth investments.</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operating EBITDA</w:t>
      </w:r>
      <w:r>
        <w:rPr>
          <w:rFonts w:ascii="Times New Roman" w:cs="Times New Roman" w:eastAsia="Times New Roman" w:hAnsi="Times New Roman"/>
          <w:sz w:val="29"/>
          <w:szCs w:val="29"/>
          <w:color w:val="auto"/>
          <w:vertAlign w:val="superscript"/>
        </w:rPr>
        <w:t>(a)</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Adjusted operating EBITDA margin</w:t>
      </w:r>
      <w:r>
        <w:rPr>
          <w:rFonts w:ascii="Times New Roman" w:cs="Times New Roman" w:eastAsia="Times New Roman" w:hAnsi="Times New Roman"/>
          <w:sz w:val="28"/>
          <w:szCs w:val="28"/>
          <w:color w:val="auto"/>
          <w:vertAlign w:val="superscript"/>
        </w:rPr>
        <w:t>(a)</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to support the business</w:t>
      </w:r>
    </w:p>
    <w:p>
      <w:pPr>
        <w:spacing w:after="0" w:line="205" w:lineRule="auto"/>
        <w:rPr>
          <w:sz w:val="20"/>
          <w:szCs w:val="20"/>
          <w:color w:val="auto"/>
        </w:rPr>
      </w:pPr>
      <w:r>
        <w:rPr>
          <w:rFonts w:ascii="Times New Roman" w:cs="Times New Roman" w:eastAsia="Times New Roman" w:hAnsi="Times New Roman"/>
          <w:sz w:val="18"/>
          <w:szCs w:val="18"/>
          <w:color w:val="auto"/>
        </w:rPr>
        <w:t>Sustainability growth capital</w:t>
      </w:r>
      <w:r>
        <w:rPr>
          <w:rFonts w:ascii="Times New Roman" w:cs="Times New Roman" w:eastAsia="Times New Roman" w:hAnsi="Times New Roman"/>
          <w:sz w:val="29"/>
          <w:szCs w:val="29"/>
          <w:color w:val="auto"/>
          <w:vertAlign w:val="superscript"/>
        </w:rPr>
        <w:t>(j)</w:t>
      </w:r>
    </w:p>
    <w:p>
      <w:pPr>
        <w:spacing w:after="0"/>
        <w:rPr>
          <w:sz w:val="20"/>
          <w:szCs w:val="20"/>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29"/>
          <w:szCs w:val="29"/>
          <w:color w:val="auto"/>
          <w:vertAlign w:val="superscript"/>
        </w:rPr>
        <w:t>(a)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EXPECTATIONS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Projected</w:t>
            </w:r>
          </w:p>
        </w:tc>
        <w:tc>
          <w:tcPr>
            <w:tcW w:w="5160" w:type="dxa"/>
            <w:vAlign w:val="bottom"/>
          </w:tcPr>
          <w:p>
            <w:pPr>
              <w:spacing w:after="0"/>
              <w:rPr>
                <w:sz w:val="18"/>
                <w:szCs w:val="18"/>
                <w:color w:val="auto"/>
              </w:rPr>
            </w:pPr>
          </w:p>
        </w:tc>
      </w:tr>
      <w:tr>
        <w:trPr>
          <w:trHeight w:val="216"/>
        </w:trPr>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5160" w:type="dxa"/>
            <w:vAlign w:val="bottom"/>
          </w:tcPr>
          <w:p>
            <w:pPr>
              <w:spacing w:after="0"/>
              <w:rPr>
                <w:sz w:val="18"/>
                <w:szCs w:val="18"/>
                <w:color w:val="auto"/>
              </w:rPr>
            </w:pPr>
          </w:p>
        </w:tc>
      </w:tr>
      <w:tr>
        <w:trPr>
          <w:trHeight w:val="238"/>
        </w:trPr>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 in millions)</w:t>
            </w:r>
          </w:p>
        </w:tc>
        <w:tc>
          <w:tcPr>
            <w:tcW w:w="516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Projected Year-Over-Year Change at Midpoint</w:t>
            </w:r>
          </w:p>
        </w:tc>
      </w:tr>
      <w:tr>
        <w:trPr>
          <w:trHeight w:val="191"/>
        </w:trPr>
        <w:tc>
          <w:tcPr>
            <w:tcW w:w="2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$26,425 - $26,625</w:t>
            </w:r>
          </w:p>
        </w:tc>
        <w:tc>
          <w:tcPr>
            <w:tcW w:w="22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Growth of 5.2%</w:t>
            </w:r>
          </w:p>
        </w:tc>
      </w:tr>
      <w:tr>
        <w:trPr>
          <w:trHeight w:val="220"/>
        </w:trPr>
        <w:tc>
          <w:tcPr>
            <w:tcW w:w="2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$8,150 - $8,250</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Growth of 6.2% on a comparable basis, reflecting a change in the</w:t>
            </w:r>
          </w:p>
        </w:tc>
      </w:tr>
      <w:tr>
        <w:trPr>
          <w:trHeight w:val="253"/>
        </w:trPr>
        <w:tc>
          <w:tcPr>
            <w:tcW w:w="2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160" w:type="dxa"/>
            <w:vAlign w:val="bottom"/>
          </w:tcPr>
          <w:p>
            <w:pPr>
              <w:spacing w:after="0" w:line="252" w:lineRule="exact"/>
              <w:rPr>
                <w:sz w:val="20"/>
                <w:szCs w:val="20"/>
                <w:color w:val="auto"/>
              </w:rPr>
            </w:pPr>
            <w:r>
              <w:rPr>
                <w:rFonts w:ascii="Times New Roman" w:cs="Times New Roman" w:eastAsia="Times New Roman" w:hAnsi="Times New Roman"/>
                <w:sz w:val="18"/>
                <w:szCs w:val="18"/>
                <w:color w:val="auto"/>
              </w:rPr>
              <w:t>classification of accretion expense beginning in 2026</w:t>
            </w:r>
            <w:r>
              <w:rPr>
                <w:rFonts w:ascii="Times New Roman" w:cs="Times New Roman" w:eastAsia="Times New Roman" w:hAnsi="Times New Roman"/>
                <w:sz w:val="29"/>
                <w:szCs w:val="29"/>
                <w:color w:val="auto"/>
                <w:vertAlign w:val="superscript"/>
              </w:rPr>
              <w:t>(i)</w:t>
            </w:r>
          </w:p>
        </w:tc>
      </w:tr>
      <w:tr>
        <w:trPr>
          <w:trHeight w:val="216"/>
        </w:trPr>
        <w:tc>
          <w:tcPr>
            <w:tcW w:w="2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30.8%-31.0%</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Expansion of 30 basis points on a comparable basis, reflecting a</w:t>
            </w:r>
          </w:p>
        </w:tc>
      </w:tr>
      <w:tr>
        <w:trPr>
          <w:trHeight w:val="220"/>
        </w:trPr>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change in the classification of accretion expense beginning in 2026,</w:t>
            </w:r>
          </w:p>
        </w:tc>
      </w:tr>
      <w:tr>
        <w:trPr>
          <w:trHeight w:val="253"/>
        </w:trPr>
        <w:tc>
          <w:tcPr>
            <w:tcW w:w="2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160" w:type="dxa"/>
            <w:vAlign w:val="bottom"/>
          </w:tcPr>
          <w:p>
            <w:pPr>
              <w:spacing w:after="0" w:line="252" w:lineRule="exact"/>
              <w:rPr>
                <w:sz w:val="20"/>
                <w:szCs w:val="20"/>
                <w:color w:val="auto"/>
              </w:rPr>
            </w:pPr>
            <w:r>
              <w:rPr>
                <w:rFonts w:ascii="Times New Roman" w:cs="Times New Roman" w:eastAsia="Times New Roman" w:hAnsi="Times New Roman"/>
                <w:sz w:val="29"/>
                <w:szCs w:val="29"/>
                <w:color w:val="auto"/>
                <w:vertAlign w:val="superscript"/>
              </w:rPr>
              <w:t>(i)</w:t>
            </w:r>
            <w:r>
              <w:rPr>
                <w:rFonts w:ascii="Times New Roman" w:cs="Times New Roman" w:eastAsia="Times New Roman" w:hAnsi="Times New Roman"/>
                <w:sz w:val="18"/>
                <w:szCs w:val="18"/>
                <w:color w:val="auto"/>
              </w:rPr>
              <w:t xml:space="preserve"> or 50 basis points when normalized for the prior year wildfire</w:t>
            </w:r>
          </w:p>
        </w:tc>
      </w:tr>
      <w:tr>
        <w:trPr>
          <w:trHeight w:val="216"/>
        </w:trPr>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cleanup</w:t>
            </w:r>
          </w:p>
        </w:tc>
      </w:tr>
      <w:tr>
        <w:trPr>
          <w:trHeight w:val="216"/>
        </w:trPr>
        <w:tc>
          <w:tcPr>
            <w:tcW w:w="2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$2,450 - $2,550</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Reduction of about $100 million</w:t>
            </w:r>
          </w:p>
        </w:tc>
      </w:tr>
      <w:tr>
        <w:trPr>
          <w:trHeight w:val="234"/>
        </w:trPr>
        <w:tc>
          <w:tcPr>
            <w:tcW w:w="2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About $200</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Reduction of more than $400 million</w:t>
            </w:r>
          </w:p>
        </w:tc>
      </w:tr>
      <w:tr>
        <w:trPr>
          <w:trHeight w:val="257"/>
        </w:trPr>
        <w:tc>
          <w:tcPr>
            <w:tcW w:w="2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$3,750 - $3,850</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Growth of 29.4%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-1456690</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-1010920</wp:posOffset>
            </wp:positionV>
            <wp:extent cx="7132320" cy="5746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57467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-299720</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641" w:lineRule="exact"/>
        <w:rPr>
          <w:sz w:val="20"/>
          <w:szCs w:val="20"/>
          <w:color w:val="auto"/>
        </w:rPr>
      </w:pPr>
    </w:p>
    <w:p>
      <w:pPr>
        <w:sectPr>
          <w:pgSz w:w="11900" w:h="16838" w:orient="portrait"/>
          <w:cols w:equalWidth="0" w:num="2">
            <w:col w:w="2900" w:space="720"/>
            <w:col w:w="7620"/>
          </w:cols>
          <w:pgMar w:left="320" w:top="908" w:right="339" w:bottom="1440" w:gutter="0" w:footer="0" w:header="0"/>
          <w:type w:val="continuous"/>
        </w:sectPr>
      </w:pPr>
    </w:p>
    <w:p>
      <w:pPr>
        <w:spacing w:after="0" w:line="29" w:lineRule="exact"/>
        <w:rPr>
          <w:sz w:val="20"/>
          <w:szCs w:val="20"/>
          <w:color w:val="auto"/>
        </w:rPr>
      </w:pPr>
    </w:p>
    <w:p>
      <w:pPr>
        <w:jc w:val="both"/>
        <w:ind w:left="660" w:hanging="328"/>
        <w:spacing w:after="0" w:line="27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growth in the Collection and Disposal business is expected to be driven by disciplined pricing and continued cost optimization. The outlook for revenue growth is based on core price in 2026 of between 5.4% and 5.8%, yield of between 3.2% and 3.6%, and volumes between 0.2% and 0.6%, overcoming a 50-basis point headwind from wildfire volume in 2025.</w:t>
      </w:r>
      <w:r>
        <w:rPr>
          <w:rFonts w:ascii="Times New Roman" w:cs="Times New Roman" w:eastAsia="Times New Roman" w:hAnsi="Times New Roman"/>
          <w:sz w:val="29"/>
          <w:szCs w:val="29"/>
          <w:color w:val="auto"/>
          <w:vertAlign w:val="superscript"/>
        </w:rPr>
        <w:t>(f)</w:t>
      </w:r>
    </w:p>
    <w:p>
      <w:pPr>
        <w:spacing w:after="0" w:line="2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Rollover from solid waste acquisitions is expected to contribute about $65 million of revenue and $25 million of adjusted operating EBITDA.</w:t>
      </w:r>
      <w:r>
        <w:rPr>
          <w:rFonts w:ascii="Times New Roman" w:cs="Times New Roman" w:eastAsia="Times New Roman" w:hAnsi="Times New Roman"/>
          <w:sz w:val="29"/>
          <w:szCs w:val="29"/>
          <w:color w:val="auto"/>
          <w:vertAlign w:val="superscript"/>
        </w:rPr>
        <w:t>(a)</w:t>
      </w:r>
    </w:p>
    <w:p>
      <w:pPr>
        <w:spacing w:after="0" w:line="77" w:lineRule="exact"/>
        <w:rPr>
          <w:rFonts w:ascii="Times New Roman" w:cs="Times New Roman" w:eastAsia="Times New Roman" w:hAnsi="Times New Roman"/>
          <w:sz w:val="36"/>
          <w:szCs w:val="36"/>
          <w:color w:val="auto"/>
          <w:vertAlign w:val="superscript"/>
        </w:rPr>
      </w:pPr>
    </w:p>
    <w:p>
      <w:pPr>
        <w:jc w:val="both"/>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the Company’s sustainability businesses is expected to be driven by increased contributions from growth projects, partially offset by lower commodity prices.</w:t>
      </w:r>
      <w:r>
        <w:rPr>
          <w:rFonts w:ascii="Times New Roman" w:cs="Times New Roman" w:eastAsia="Times New Roman" w:hAnsi="Times New Roman"/>
          <w:sz w:val="29"/>
          <w:szCs w:val="29"/>
          <w:color w:val="auto"/>
          <w:vertAlign w:val="superscript"/>
        </w:rPr>
        <w:t>(k)(l)</w:t>
      </w:r>
      <w:r>
        <w:rPr>
          <w:rFonts w:ascii="Times New Roman" w:cs="Times New Roman" w:eastAsia="Times New Roman" w:hAnsi="Times New Roman"/>
          <w:sz w:val="18"/>
          <w:szCs w:val="18"/>
          <w:color w:val="auto"/>
        </w:rPr>
        <w:t xml:space="preserve"> Together, adjusted operating EBITDA for the Recycling Processing and Sales and Renewable Energy segments combined with the landfill gas royalties realized by the Collection and Disposal segment are expected to grow between $235 and $255 million in 2026.</w:t>
      </w:r>
      <w:r>
        <w:rPr>
          <w:rFonts w:ascii="Times New Roman" w:cs="Times New Roman" w:eastAsia="Times New Roman" w:hAnsi="Times New Roman"/>
          <w:sz w:val="29"/>
          <w:szCs w:val="29"/>
          <w:color w:val="auto"/>
          <w:vertAlign w:val="superscript"/>
        </w:rPr>
        <w:t>(a)</w:t>
      </w:r>
    </w:p>
    <w:p>
      <w:pPr>
        <w:spacing w:after="0" w:line="7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its Healthcare Solutions business to grow revenue by around 3% primarily driven by price. Margin expansion is expected to be driven by further SG&amp;A synergies and cost optimization now that operations are locally managed.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WM’s strong balance sheet and cash flow growth outlook position the Company to continue its commitment to sound capital allocation. The Company’s outlook includes $100 to $200 million of investment in solid waste acquisitions and estimated annual dividends paid to shareholders of $1.5 billion. The Board of Directors has indicated its intention to increase the annual dividend by $0.48 per share to $3.78 in 2026, though all future dividends will be declared at the discretion of the Board prior to payment. As announced in December, the Company expects to resume share repurchases during the first quarter of 2026 and repurchase approximately $2 billion of its shares during 2026 while remaining committed to returning to its targeted leverage ratio of between 2.5x and 3.0x during the year.</w:t>
      </w:r>
      <w:r>
        <w:rPr>
          <w:rFonts w:ascii="Times New Roman" w:cs="Times New Roman" w:eastAsia="Times New Roman" w:hAnsi="Times New Roman"/>
          <w:sz w:val="29"/>
          <w:szCs w:val="29"/>
          <w:color w:val="auto"/>
          <w:vertAlign w:val="superscript"/>
        </w:rPr>
        <w:t>(d)</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 GROWTH OUTLOOK</w:t>
      </w:r>
    </w:p>
    <w:p>
      <w:pPr>
        <w:spacing w:after="0" w:line="2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WM is progressing its sustainability growth portfolio to expand its industry-leading network of renewable energy and recycling assets. The Company expects to complete six additional renewable natural gas plants and four additional recycling projects in 2026. The Company has executed well on its strategic investment portfolio, and 2027 financial results are expected to achieve almost all of the full run-rate contributions from its previously announced projects. As a result, adjusted operating EBITDA for the Recycling Processing and Sales and Renewable Energy segments combined with the landfill gas royalties realized by the Collection and Disposal segment are expected to collectively approach $1 billion in 2027 at current market prices.</w:t>
      </w:r>
      <w:r>
        <w:rPr>
          <w:rFonts w:ascii="Times New Roman" w:cs="Times New Roman" w:eastAsia="Times New Roman" w:hAnsi="Times New Roman"/>
          <w:sz w:val="29"/>
          <w:szCs w:val="29"/>
          <w:color w:val="auto"/>
          <w:vertAlign w:val="superscript"/>
        </w:rPr>
        <w:t>(a)(m)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t>Fish concluded, “As we wrap up a record 2025, we’re incredibly grateful for the hard work and commitment of our WM team. Their focus and drive delivered impressive results and provided a strong foundation for 2026. Looking ahead, we’re confident in our ability to achieve our 2026 outlook as we continue to grow our sustainability and healthcare solutions businesses and create value for our customers, communities, and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7830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1"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labeled as adjusted in this press release, as well as free cash flow, are non-GAAP measures. Please see “Non-GAAP Financial Measures” below and the reconciliations in the accompanying schedules for more information.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defines operating EBITDA as GAAP income from operations before depreciation, depletion and amortization; this measure may not be comparable to similarly titled measures reported by other companies.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press release, all references to “Net income” refer to the financial statement line item “Net income attributable to Waste Management, Inc.”</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ratio is calculated based on the defined terms for this financial covenant in the Company’s revolving credit agreement, which is Exhibit 10.9 to the Company’s Form 10-K filed Feb. 19,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defines Legacy Business as total Company GAAP results excluding the Healthcare Solutions segment and net of intercompany eliminations.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price is a performance metric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blended average price received for single stream recycled commodities sold during the quarter was about $62 per ton compared to about $87 per ton in the prior year period, and $75 per ton for the full year compared to $92 per ton in the prior year period. The blended average price for renewable natural gas sold in 2025 was about $31per MMBtu. The average price received for Renewable Fuel Standard credits was $2.41 during the quarter compared to $3.02 in the prior year period, and $2.49 for the full year compared to $3.05 in the prior year period. The average price received for natural gas was $3.06 per MMBtu during the quarter compared to $2.30 per MMBtu in the prior year period and $2.99 for the full year compared to $1.99 in the prior year period. The average price received for electricity was about $72 per megawatt hour in the quarter compared to about $65 per megawatt hour in the prior year period and $72 per megawatt hour for the full year compared to $63 in the prior year period.</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2026 financial outlook and expectations are independent of 2027 estimates and projections communicated at its June 2025 Investor Day. The Investor Day estimates were developed using certain commodity, economic and other assumptions at that time. The Investor Day estimates spoke only as of the date issued and are not reissued or affirmed. The Company anticipates that it would next comment on 2027 estimates and projections when it provides ordinary course annual financial guidance in connection with its fourth quarter 2026 earnings announcement. As noted at the Investor Day and under “Forward-Looking Statements” below, the Company assumes no obligation to update any forward-looking statements, including estimates, projections, guidance or underlying assumptions.</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enhance comparability and better reflect operating performance, the Company is updating its classification of accretion expense, resulting in its exclusion from operating expense and operating EBITDA. Accretion will remain a component of income from operations. For 2026, the Company expects accretion expense of approximately $150 million. This compares to accretion expense of $142 million in 2025 with $35 million in the first quarter, $36 million in the second quarter, $35 million in the third quarter, and $36 million in the fourth quarter.</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capital spending of about $85 million in 2026 on two recently approved renewable natural gas facilities and one new recycling growth project that are each expected to be completed and begin contributing operating EBITDA by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2026 outlook includes a blended average single-stream recycled commodity price of approximately $70 per ton. The Company estimates that a $10 per ton change in the blended average single-stream commodity price impacts total Company operating EBITDA by approximately $27 million.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to generate between 21 and 22 million MMBtu of renewable natural gas in 2026, 60% of which has already been contracted at a blended average price of about $27 per MMBtu. The remaining 40% is expected to be sold at market rates averaging approximately $24.50 per MMBtu for an overall anticipated blended average price of approximately $26 per MMBtu. The Company’s current sensitivity to a $0.10 change in the value of Renewable Fuel Standard credits on the uncontracted portion of expected sales is approximately $6 million of operating</w:t>
      </w:r>
    </w:p>
    <w:p>
      <w:pPr>
        <w:spacing w:after="0" w:line="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estimates an adjusted operating EBITDA baseline for the Recycling Processing and Sales and Renewable Energy segments combined with landfill gas royalties that would have been realized in the Collection and Disposal segment in 2023 of approximately $300 million before contributions from sustainability growth projects realized that year.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host a conference call at 10 a.m. ET on Jan. 29, 2026, to discuss the fourth quarter and full-year 2025 results. Information contained within this press release will be referenced and should be considered in conjunction with the call.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Listeners can access a live audio webcast of the conference call by visiting </w:t>
      </w:r>
      <w:r>
        <w:rPr>
          <w:rFonts w:ascii="Times New Roman" w:cs="Times New Roman" w:eastAsia="Times New Roman" w:hAnsi="Times New Roman"/>
          <w:sz w:val="18"/>
          <w:szCs w:val="18"/>
          <w:u w:val="single" w:color="auto"/>
          <w:color w:val="auto"/>
        </w:rPr>
        <w:t>investors.wm.com</w:t>
      </w:r>
      <w:r>
        <w:rPr>
          <w:rFonts w:ascii="Times New Roman" w:cs="Times New Roman" w:eastAsia="Times New Roman" w:hAnsi="Times New Roman"/>
          <w:sz w:val="18"/>
          <w:szCs w:val="18"/>
          <w:color w:val="auto"/>
        </w:rPr>
        <w:t xml:space="preserve"> and selecting “Events &amp; Presentations” from the website menu. A replay of the audio webcast will be available at the same location following the conclusion of the call.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Conference call participants should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to obtain their dial in and passcode details. This streamlined process improves security and eliminates wait times when joining the call.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WM</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WM (</w:t>
      </w:r>
      <w:r>
        <w:rPr>
          <w:rFonts w:ascii="Times New Roman" w:cs="Times New Roman" w:eastAsia="Times New Roman" w:hAnsi="Times New Roman"/>
          <w:sz w:val="18"/>
          <w:szCs w:val="18"/>
          <w:u w:val="single" w:color="auto"/>
          <w:color w:val="auto"/>
        </w:rPr>
        <w:t>WM.com</w:t>
      </w:r>
      <w:r>
        <w:rPr>
          <w:rFonts w:ascii="Times New Roman" w:cs="Times New Roman" w:eastAsia="Times New Roman" w:hAnsi="Times New Roman"/>
          <w:sz w:val="18"/>
          <w:szCs w:val="18"/>
          <w:color w:val="auto"/>
        </w:rPr>
        <w:t xml:space="preserve">) is North America's leading provider of comprehensive environmental solutions. Previously known as Waste Management and based in Houston, Texas, WM is driven by commitments to put people first and achieve success with integrity. The company, through its subsidiaries, provides collection, recycling and disposal services to millions of residential, commercial, industrial, medical and municipal customers throughout the U.S. and Canada. With innovative infrastructure and capabilities in recycling, organics and renewable energy, WM provides environmental solutions to and collaborates with its customers in helping them pursue their sustainability goals. WM has the largest disposal network and collection fleet in North America, is the largest recycler of post-consumer materials and is a leader in beneficial use of landfill gas, with a growing network of renewable natural gas plants and the most landfill gas-to-electricity plants in North America. WM's fleet includes more than 12,000 natural gas trucks – the largest heavy-duty natural gas truck fleet in the industry in North America. Healthcare Solutions provides collection and disposal services of regulated medical waste, as well as secure information destruction services, in the U.S., Canada and Western Europe. To learn more about WM and the company's sustainability progress and solutions, visit </w:t>
      </w:r>
      <w:r>
        <w:rPr>
          <w:rFonts w:ascii="Times New Roman" w:cs="Times New Roman" w:eastAsia="Times New Roman" w:hAnsi="Times New Roman"/>
          <w:sz w:val="18"/>
          <w:szCs w:val="18"/>
          <w:u w:val="single" w:color="auto"/>
          <w:color w:val="auto"/>
        </w:rPr>
        <w:t>Sustainability.WM.com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from time to time, provides estimates or projections of financial and other data, comments on expectations relating to future periods and makes statements of opinion, view or belief about current and future events, circumstances or performance. This press release contains a number of such forward-looking statements, including statements regarding 2026 in the heading of this press release, all statements under the headings “Financial Outlook,” “2026 Expectations,” and “Sustainability Growth Outlook” and all statements regarding future growth, earnings, value creation, performance and results of our business; targets, financial guidance and outlook; ability to achieve the Company’s 2026 outlook; future capital allocation, including dividends, share repurchases and acquisition spending; future leverage ratio; technology and automation investments and results; integration of the Healthcare Solutions business and related contributions, results and benefits, including amount and timing of synergies; amount and timing of sustainability investments, upgrades and project completions and related returns, contributions, and benefits; drivers of performance, including pricing programs, cost optimization, and volume; and assumptions regarding commodity prices, natural gas production, tax credits and renewable fuel programs.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failure to implement our optimization, automation, growth, and cost savings initiatives and overall business strategy; failure to obtain the results anticipated from strategic initiatives, investments, acquisitions, or new lines of business; failure to identify acquisition targets, consummate and integrate acquisitions, including our ability to integrate the acquisition of Stericycle (which is now presented as our Healthcare Solutions segment) and achieve the anticipated benefits therefrom, including synergies; legal, regulatory, operational, technological and other matters that may affect the costs and timing of our ability to integrate and deliver all of the expected benefits of the Stericycle acquisition; existing or new environmental and other regulations, including developments related to emerging contaminants, gas emissions, renewable energy, recyclables, extended producer responsibility and our natural gas fleet; significant environmental, safety or other incidents resulting in liabilities or brand damage; failure to obtain and maintain necessary permits due to land scarcity, public opposition or otherwise; diminishing landfill capacity, resulting in increased costs and the need for disposal alternatives; failure to attract, hire and retain key team members and a high quality workforce; increases in labor costs due to union organizing activities or changes in wage- and labor-related regulations; disruption and costs resulting from severe weather and destructive climate events; failure to achieve our sustainability goals or execute on our sustainability-related strategy and initiatives, including within planned timelines or anticipated budgets due to disruptions, delays, cost increases or changes in environmental or tax regulations and incentives; focus on, and regulation of, environmental and sustainability-related disclosures, which could lead to increased costs, risk of non-compliance, brand damage and litigation risk related to our sustainability efforts; macroeconomic conditions, geopolitical conflict and large-scale market disruption resulting in labor, supply chain and transportation constraints, inflationary cost pressures and fluctuations in commodity prices, fuel and other energy costs; increased competition and pricing pressure; impacts from international trade restrictions and tariffs; competitive disposal alternatives, diversion of waste from landfills and declining waste volumes; changes in general economic conditions, capital markets or consumer trends; changing conditions in the recycling industry, including impacts on demand, pricing and availability of counterparties; changing conditions in the healthcare industry; adoption of new tax legislation; fuel shortages; failure to develop and protect new technology; failure of technology to perform as expected; inability to adapt and manage the benefits and risks of artificial intelligence; failure to prevent, detect and address cybersecurity incidents or comply with privacy regulations; negative outcomes of litigation or governmental proceedings, including those acquired through transactions; failure to maintain an effective system of internal control over financial reporting; and operational or management decisions or developments that result in impairment charges. Please also see the Company’s filings with the SEC, including Part I, Item 1A of the Company’s most recently filed Annual Report on Form 10-K, as updated by subsequent Quarterly Reports on Form 10-Q, for additional information regarding these and other risks and uncertainties applicable to its business. The Company assumes no obligation to update any forward-looking statement, including financial estimates and forecasts, whether as a result of future events, circumstances or developments or otherwise.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supplement its financial information, the Company has presented, and/or may discuss on the conference call, adjusted measures including adjusted earnings per diluted share, adjusted net income, adjusted income from operations and margin, adjusted operating EBITDA and margin, adjusted operating expense and margin, and adjusted SG&amp;A expenses and margin. All adjusted measures and free cash flow are non-GAAP financial measures, as defined in Regulation G of the Securities Exchange Act of 1934, as amended. The Company reports its financial results in compliance with GAAP but believes that also discussing non-GAAP measures provides investors with (i) financial measures the Company uses in the management of its business and (ii) additional, meaningful comparisons of current results to prior periods’ results by excluding items that the Company does not believe reflect its fundamental business performance and are not representative or indicative of its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Company’s projected adjusted operating EBITDA and margin is anticipated to be adjusted to exclude the effects of other events or circumstances that are not representative or indicative of the Company’s results of operations. Such excluded items are not currently determinable, but may be significant, such as asset impairments and one-time items, charges, gains or losses from divestitures or litigation, and other items. Due to the uncertainty of the likelihood, amount and timing of any such items, the Company does not have information available to provide a quantitative reconciliation of such projections to the comparable GAAP measure.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discusses free cash flow and provides a projection of free cash flow because the Company believes that it is indicative of its ability to pay its quarterly dividends, repurchase common stock, fund acquisitions and other investments and, in the absence of refinancings, to repay its debt obligations. The Company believes free cash flow gives investors useful insight into how the Company views its liquidity, but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similarly-titled measures reported by other companies.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quantitative reconciliations of non-GAAP measures to the most comparable GAAP measures are included in the accompanying schedules, with the exception of projected adjusted operating EBITDA and margin. Non-GAAP measures should not be considered a substitute for financial measures presented in accordance with GAAP.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www.wm.com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 Egl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713.265.1656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eegl@wm.com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Toni Werner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media@wm.com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gridSpan w:val="5"/>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6,313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5,893</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98"/>
              </w:rPr>
              <w:t>3,693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8"/>
              </w:rPr>
              <w:t>3,553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15,012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13,383</w:t>
            </w: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747</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2,722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2,264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652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2,863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2,267</w:t>
            </w: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from divestitures, asset impairments and unusual items, net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5,158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4,974</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(912)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net income (loss) of unconsolidated entities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717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20" w:type="dxa"/>
            <w:vAlign w:val="bottom"/>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840" w:type="dxa"/>
            <w:vAlign w:val="bottom"/>
            <w:tcBorders>
              <w:bottom w:val="single" w:sz="8" w:color="auto"/>
            </w:tcBorders>
          </w:tcPr>
          <w:p>
            <w:pPr>
              <w:jc w:val="right"/>
              <w:ind w:right="6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1.84</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8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6.72</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6.84</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4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1.83</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6.70</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6.81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403.1</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401.6</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402.7</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401.5</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4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404.5</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403.6</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404.2</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403.4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27" w:lineRule="exact"/>
        <w:rPr>
          <w:sz w:val="20"/>
          <w:szCs w:val="20"/>
          <w:color w:val="auto"/>
        </w:rPr>
      </w:pPr>
    </w:p>
    <w:p>
      <w:pPr>
        <w:ind w:left="180" w:right="240"/>
        <w:spacing w:after="0" w:line="253" w:lineRule="auto"/>
        <w:rPr>
          <w:sz w:val="20"/>
          <w:szCs w:val="20"/>
          <w:color w:val="auto"/>
        </w:rPr>
      </w:pPr>
      <w:r>
        <w:rPr>
          <w:rFonts w:ascii="Times New Roman" w:cs="Times New Roman" w:eastAsia="Times New Roman" w:hAnsi="Times New Roman"/>
          <w:sz w:val="18"/>
          <w:szCs w:val="18"/>
          <w:color w:val="auto"/>
        </w:rPr>
        <w:t>Cash and cash equivalents Receivables, net Other</w:t>
      </w:r>
    </w:p>
    <w:p>
      <w:pPr>
        <w:spacing w:after="0" w:line="2" w:lineRule="exact"/>
        <w:rPr>
          <w:sz w:val="20"/>
          <w:szCs w:val="20"/>
          <w:color w:val="auto"/>
        </w:rPr>
      </w:pPr>
    </w:p>
    <w:p>
      <w:pPr>
        <w:ind w:right="260" w:firstLine="324"/>
        <w:spacing w:after="0" w:line="257" w:lineRule="auto"/>
        <w:rPr>
          <w:sz w:val="20"/>
          <w:szCs w:val="20"/>
          <w:color w:val="auto"/>
        </w:rPr>
      </w:pPr>
      <w:r>
        <w:rPr>
          <w:rFonts w:ascii="Times New Roman" w:cs="Times New Roman" w:eastAsia="Times New Roman" w:hAnsi="Times New Roman"/>
          <w:sz w:val="18"/>
          <w:szCs w:val="18"/>
          <w:color w:val="auto"/>
        </w:rPr>
        <w:t>Total current assets Property and equipment, net Goodwill</w:t>
      </w:r>
    </w:p>
    <w:p>
      <w:pPr>
        <w:spacing w:after="0" w:line="1"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Other intangible assets, net Other</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jc w:val="center"/>
        <w:ind w:right="300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30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820" w:type="dxa"/>
        <w:tblCellMar>
          <w:top w:w="0" w:type="dxa"/>
          <w:left w:w="0" w:type="dxa"/>
          <w:bottom w:w="0" w:type="dxa"/>
          <w:right w:w="0" w:type="dxa"/>
        </w:tblCellMar>
      </w:tblPr>
      <w:tr>
        <w:trPr>
          <w:trHeight w:val="223"/>
        </w:trPr>
        <w:tc>
          <w:tcPr>
            <w:tcW w:w="4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4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29"/>
        </w:trPr>
        <w:tc>
          <w:tcPr>
            <w:tcW w:w="4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191"/>
        </w:trPr>
        <w:tc>
          <w:tcPr>
            <w:tcW w:w="46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4,910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4,774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19,340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13,438</w:t>
            </w:r>
          </w:p>
        </w:tc>
        <w:tc>
          <w:tcPr>
            <w:tcW w:w="0" w:type="dxa"/>
            <w:vAlign w:val="bottom"/>
          </w:tcPr>
          <w:p>
            <w:pPr>
              <w:spacing w:after="0"/>
              <w:rPr>
                <w:sz w:val="1"/>
                <w:szCs w:val="1"/>
                <w:color w:val="auto"/>
              </w:rPr>
            </w:pPr>
          </w:p>
        </w:tc>
      </w:tr>
      <w:tr>
        <w:trPr>
          <w:trHeight w:val="229"/>
        </w:trPr>
        <w:tc>
          <w:tcPr>
            <w:tcW w:w="4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-1562735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-1279525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-1005205</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-713740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-439420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-156845</wp:posOffset>
            </wp:positionV>
            <wp:extent cx="713232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3444875</wp:posOffset>
            </wp:positionH>
            <wp:positionV relativeFrom="paragraph">
              <wp:posOffset>-125095</wp:posOffset>
            </wp:positionV>
            <wp:extent cx="17056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2300" w:space="720"/>
            <w:col w:w="8220"/>
          </w:cols>
          <w:pgMar w:left="320" w:top="900"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accrued liabilities and deferred revenues</w:t>
            </w:r>
          </w:p>
        </w:tc>
        <w:tc>
          <w:tcPr>
            <w:tcW w:w="24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4,813</w:t>
            </w:r>
          </w:p>
        </w:tc>
        <w:tc>
          <w:tcPr>
            <w:tcW w:w="42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4,899</w:t>
            </w:r>
          </w:p>
        </w:tc>
        <w:tc>
          <w:tcPr>
            <w:tcW w:w="80" w:type="dxa"/>
            <w:vAlign w:val="bottom"/>
          </w:tcPr>
          <w:p>
            <w:pPr>
              <w:spacing w:after="0"/>
              <w:rPr>
                <w:sz w:val="18"/>
                <w:szCs w:val="18"/>
                <w:color w:val="auto"/>
              </w:rPr>
            </w:pPr>
          </w:p>
        </w:tc>
      </w:tr>
      <w:tr>
        <w:trPr>
          <w:trHeight w:val="230"/>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711</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1,359</w:t>
            </w:r>
          </w:p>
        </w:tc>
        <w:tc>
          <w:tcPr>
            <w:tcW w:w="80" w:type="dxa"/>
            <w:vAlign w:val="bottom"/>
            <w:shd w:val="clear" w:color="auto" w:fill="CCEEFF"/>
          </w:tcPr>
          <w:p>
            <w:pPr>
              <w:spacing w:after="0"/>
              <w:rPr>
                <w:sz w:val="19"/>
                <w:szCs w:val="19"/>
                <w:color w:val="auto"/>
              </w:rPr>
            </w:pPr>
          </w:p>
        </w:tc>
      </w:tr>
      <w:tr>
        <w:trPr>
          <w:trHeight w:val="209"/>
        </w:trPr>
        <w:tc>
          <w:tcPr>
            <w:tcW w:w="6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22,196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22,541</w:t>
            </w:r>
          </w:p>
        </w:tc>
        <w:tc>
          <w:tcPr>
            <w:tcW w:w="80" w:type="dxa"/>
            <w:vAlign w:val="bottom"/>
            <w:shd w:val="clear" w:color="auto" w:fill="CCEEFF"/>
          </w:tcPr>
          <w:p>
            <w:pPr>
              <w:spacing w:after="0"/>
              <w:rPr>
                <w:sz w:val="18"/>
                <w:szCs w:val="18"/>
                <w:color w:val="auto"/>
              </w:rPr>
            </w:pPr>
          </w:p>
        </w:tc>
      </w:tr>
      <w:tr>
        <w:trPr>
          <w:trHeight w:val="23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8,124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7,514</w:t>
            </w:r>
          </w:p>
        </w:tc>
        <w:tc>
          <w:tcPr>
            <w:tcW w:w="80" w:type="dxa"/>
            <w:vAlign w:val="bottom"/>
          </w:tcPr>
          <w:p>
            <w:pPr>
              <w:spacing w:after="0"/>
              <w:rPr>
                <w:sz w:val="19"/>
                <w:szCs w:val="19"/>
                <w:color w:val="auto"/>
              </w:rPr>
            </w:pPr>
          </w:p>
        </w:tc>
      </w:tr>
      <w:tr>
        <w:trPr>
          <w:trHeight w:val="210"/>
        </w:trPr>
        <w:tc>
          <w:tcPr>
            <w:tcW w:w="644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0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Waste Management, Inc. stockholders’ equity</w:t>
            </w:r>
          </w:p>
        </w:tc>
        <w:tc>
          <w:tcPr>
            <w:tcW w:w="2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9,990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8,252</w:t>
            </w:r>
          </w:p>
        </w:tc>
        <w:tc>
          <w:tcPr>
            <w:tcW w:w="80" w:type="dxa"/>
            <w:vAlign w:val="bottom"/>
            <w:shd w:val="clear" w:color="auto" w:fill="CCEEFF"/>
          </w:tcPr>
          <w:p>
            <w:pPr>
              <w:spacing w:after="0"/>
              <w:rPr>
                <w:sz w:val="18"/>
                <w:szCs w:val="18"/>
                <w:color w:val="auto"/>
              </w:rPr>
            </w:pPr>
          </w:p>
        </w:tc>
      </w:tr>
      <w:tr>
        <w:trPr>
          <w:trHeight w:val="230"/>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r>
      <w:tr>
        <w:trPr>
          <w:trHeight w:val="210"/>
        </w:trPr>
        <w:tc>
          <w:tcPr>
            <w:tcW w:w="64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20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45,835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44,567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28"/>
        </w:trPr>
        <w:tc>
          <w:tcPr>
            <w:tcW w:w="64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7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7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2,709</w:t>
            </w:r>
          </w:p>
        </w:tc>
        <w:tc>
          <w:tcPr>
            <w:tcW w:w="42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consolidated net income to net cash provided by operating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2,863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984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shd w:val="clear" w:color="auto" w:fill="CCEEFF"/>
          </w:tcPr>
          <w:p>
            <w:pPr>
              <w:spacing w:after="0"/>
              <w:rPr>
                <w:sz w:val="18"/>
                <w:szCs w:val="18"/>
                <w:color w:val="auto"/>
              </w:rPr>
            </w:pPr>
          </w:p>
        </w:tc>
      </w:tr>
      <w:tr>
        <w:trPr>
          <w:trHeight w:val="23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operating assets and liabilities, net of effects of acquisitions and divestitures</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(513)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09"/>
        </w:trPr>
        <w:tc>
          <w:tcPr>
            <w:tcW w:w="7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(7,488)</w:t>
            </w: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(3,227)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(3,231)</w:t>
            </w: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divestitures of businesses and other assets, net of cash divested</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18"/>
                <w:szCs w:val="18"/>
                <w:color w:val="auto"/>
              </w:rPr>
            </w:pPr>
          </w:p>
        </w:tc>
      </w:tr>
      <w:tr>
        <w:trPr>
          <w:trHeight w:val="229"/>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r>
      <w:tr>
        <w:trPr>
          <w:trHeight w:val="210"/>
        </w:trPr>
        <w:tc>
          <w:tcPr>
            <w:tcW w:w="7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(10,601</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borrowings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20,414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24,578</w:t>
            </w: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repayments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(21,747)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(17,870)</w:t>
            </w: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repurchase program</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w:t>
            </w: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dividends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(1,334)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(1,210)</w:t>
            </w: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payments associated with equity-based compensation transactions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r>
      <w:tr>
        <w:trPr>
          <w:trHeight w:val="210"/>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6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 and cash equivalents</w:t>
            </w:r>
          </w:p>
        </w:tc>
        <w:tc>
          <w:tcPr>
            <w:tcW w:w="6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 and cash equivalents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gridSpan w:val="2"/>
          </w:tcPr>
          <w:p>
            <w:pPr>
              <w:spacing w:after="0"/>
              <w:rPr>
                <w:sz w:val="18"/>
                <w:szCs w:val="18"/>
                <w:color w:val="auto"/>
              </w:rPr>
            </w:pPr>
          </w:p>
        </w:tc>
      </w:tr>
      <w:tr>
        <w:trPr>
          <w:trHeight w:val="23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and cash equivalents at beginning of period</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487</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80" w:type="dxa"/>
            <w:vAlign w:val="bottom"/>
            <w:shd w:val="clear" w:color="auto" w:fill="CCEEFF"/>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and cash equivalents at end of period</w:t>
            </w:r>
          </w:p>
        </w:tc>
        <w:tc>
          <w:tcPr>
            <w:tcW w:w="6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29"/>
        </w:trPr>
        <w:tc>
          <w:tcPr>
            <w:tcW w:w="77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gridSpan w:val="9"/>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WASTE MANAGEMENT, INC.</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gridSpan w:val="9"/>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SUMMARY DATA SHEET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Revenues by Line of Business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3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3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240" w:type="dxa"/>
            <w:vAlign w:val="bottom"/>
            <w:gridSpan w:val="3"/>
          </w:tcPr>
          <w:p>
            <w:pPr>
              <w:jc w:val="center"/>
              <w:ind w:right="61"/>
              <w:spacing w:after="0" w:line="188" w:lineRule="exact"/>
              <w:rPr>
                <w:sz w:val="20"/>
                <w:szCs w:val="20"/>
                <w:color w:val="auto"/>
              </w:rPr>
            </w:pPr>
            <w:r>
              <w:rPr>
                <w:rFonts w:ascii="Times New Roman" w:cs="Times New Roman" w:eastAsia="Times New Roman" w:hAnsi="Times New Roman"/>
                <w:sz w:val="18"/>
                <w:szCs w:val="18"/>
                <w:b w:val="1"/>
                <w:bCs w:val="1"/>
                <w:color w:val="auto"/>
              </w:rPr>
              <w:t>Intercompany</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6"/>
                <w:szCs w:val="16"/>
                <w:color w:val="auto"/>
              </w:rPr>
            </w:pPr>
          </w:p>
        </w:tc>
        <w:tc>
          <w:tcPr>
            <w:tcW w:w="132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Intercompany</w:t>
            </w:r>
          </w:p>
        </w:tc>
        <w:tc>
          <w:tcPr>
            <w:tcW w:w="100" w:type="dxa"/>
            <w:vAlign w:val="bottom"/>
          </w:tcPr>
          <w:p>
            <w:pPr>
              <w:spacing w:after="0"/>
              <w:rPr>
                <w:sz w:val="16"/>
                <w:szCs w:val="16"/>
                <w:color w:val="auto"/>
              </w:rPr>
            </w:pPr>
          </w:p>
        </w:tc>
        <w:tc>
          <w:tcPr>
            <w:tcW w:w="9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100" w:type="dxa"/>
            <w:vAlign w:val="bottom"/>
          </w:tcPr>
          <w:p>
            <w:pPr>
              <w:spacing w:after="0"/>
              <w:rPr>
                <w:sz w:val="16"/>
                <w:szCs w:val="16"/>
                <w:color w:val="auto"/>
              </w:rPr>
            </w:pPr>
          </w:p>
        </w:tc>
      </w:tr>
      <w:tr>
        <w:trPr>
          <w:trHeight w:val="229"/>
        </w:trPr>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20" w:type="dxa"/>
            <w:vAlign w:val="bottom"/>
          </w:tcPr>
          <w:p>
            <w:pPr>
              <w:spacing w:after="0"/>
              <w:rPr>
                <w:sz w:val="19"/>
                <w:szCs w:val="19"/>
                <w:color w:val="auto"/>
              </w:rPr>
            </w:pPr>
          </w:p>
        </w:tc>
        <w:tc>
          <w:tcPr>
            <w:tcW w:w="112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00" w:type="dxa"/>
            <w:vAlign w:val="bottom"/>
          </w:tcPr>
          <w:p>
            <w:pPr>
              <w:spacing w:after="0"/>
              <w:rPr>
                <w:sz w:val="19"/>
                <w:szCs w:val="19"/>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Operating</w:t>
            </w:r>
          </w:p>
        </w:tc>
      </w:tr>
      <w:tr>
        <w:trPr>
          <w:trHeight w:val="238"/>
        </w:trPr>
        <w:tc>
          <w:tcPr>
            <w:tcW w:w="3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Pr>
          <w:p>
            <w:pPr>
              <w:spacing w:after="0"/>
              <w:rPr>
                <w:sz w:val="20"/>
                <w:szCs w:val="20"/>
                <w:color w:val="auto"/>
              </w:rPr>
            </w:pPr>
          </w:p>
        </w:tc>
        <w:tc>
          <w:tcPr>
            <w:tcW w:w="112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Revenues</w:t>
            </w:r>
          </w:p>
        </w:tc>
      </w:tr>
      <w:tr>
        <w:trPr>
          <w:trHeight w:val="209"/>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tcPr>
          <w:p>
            <w:pPr>
              <w:spacing w:after="0"/>
              <w:rPr>
                <w:sz w:val="18"/>
                <w:szCs w:val="18"/>
                <w:color w:val="auto"/>
              </w:rPr>
            </w:pP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766</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874</w:t>
            </w: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tcPr>
          <w:p>
            <w:pPr>
              <w:spacing w:after="0"/>
              <w:rPr>
                <w:sz w:val="19"/>
                <w:szCs w:val="19"/>
                <w:color w:val="auto"/>
              </w:rPr>
            </w:pP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772</w:t>
            </w:r>
          </w:p>
        </w:tc>
      </w:tr>
      <w:tr>
        <w:trPr>
          <w:trHeight w:val="209"/>
        </w:trPr>
        <w:tc>
          <w:tcPr>
            <w:tcW w:w="38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collection</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Landfill</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1,306</w:t>
            </w:r>
          </w:p>
        </w:tc>
        <w:tc>
          <w:tcPr>
            <w:tcW w:w="120" w:type="dxa"/>
            <w:vAlign w:val="bottom"/>
          </w:tcPr>
          <w:p>
            <w:pPr>
              <w:spacing w:after="0"/>
              <w:rPr>
                <w:sz w:val="18"/>
                <w:szCs w:val="18"/>
                <w:color w:val="auto"/>
              </w:rPr>
            </w:pP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857</w:t>
            </w:r>
          </w:p>
        </w:tc>
      </w:tr>
      <w:tr>
        <w:trPr>
          <w:trHeight w:val="23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w:t>
            </w:r>
          </w:p>
        </w:tc>
      </w:tr>
      <w:tr>
        <w:trPr>
          <w:trHeight w:val="209"/>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6,421</w:t>
            </w: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10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Renewable Energy</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18"/>
                <w:szCs w:val="18"/>
                <w:color w:val="auto"/>
              </w:rPr>
            </w:pP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r>
      <w:tr>
        <w:trPr>
          <w:trHeight w:val="257"/>
        </w:trPr>
        <w:tc>
          <w:tcPr>
            <w:tcW w:w="38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Healthcare Solutions</w:t>
            </w:r>
            <w:r>
              <w:rPr>
                <w:rFonts w:ascii="Times New Roman" w:cs="Times New Roman" w:eastAsia="Times New Roman" w:hAnsi="Times New Roman"/>
                <w:sz w:val="29"/>
                <w:szCs w:val="29"/>
                <w:color w:val="auto"/>
                <w:vertAlign w:val="superscript"/>
              </w:rPr>
              <w:t>(a)</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w:t>
            </w: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38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1"/>
        </w:trPr>
        <w:tc>
          <w:tcPr>
            <w:tcW w:w="3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3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240" w:type="dxa"/>
            <w:vAlign w:val="bottom"/>
            <w:gridSpan w:val="3"/>
          </w:tcPr>
          <w:p>
            <w:pPr>
              <w:jc w:val="center"/>
              <w:ind w:right="61"/>
              <w:spacing w:after="0" w:line="188" w:lineRule="exact"/>
              <w:rPr>
                <w:sz w:val="20"/>
                <w:szCs w:val="20"/>
                <w:color w:val="auto"/>
              </w:rPr>
            </w:pPr>
            <w:r>
              <w:rPr>
                <w:rFonts w:ascii="Times New Roman" w:cs="Times New Roman" w:eastAsia="Times New Roman" w:hAnsi="Times New Roman"/>
                <w:sz w:val="18"/>
                <w:szCs w:val="18"/>
                <w:b w:val="1"/>
                <w:bCs w:val="1"/>
                <w:color w:val="auto"/>
              </w:rPr>
              <w:t>Intercompany</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6"/>
                <w:szCs w:val="16"/>
                <w:color w:val="auto"/>
              </w:rPr>
            </w:pPr>
          </w:p>
        </w:tc>
        <w:tc>
          <w:tcPr>
            <w:tcW w:w="132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Intercompany</w:t>
            </w:r>
          </w:p>
        </w:tc>
        <w:tc>
          <w:tcPr>
            <w:tcW w:w="100" w:type="dxa"/>
            <w:vAlign w:val="bottom"/>
          </w:tcPr>
          <w:p>
            <w:pPr>
              <w:spacing w:after="0"/>
              <w:rPr>
                <w:sz w:val="16"/>
                <w:szCs w:val="16"/>
                <w:color w:val="auto"/>
              </w:rPr>
            </w:pPr>
          </w:p>
        </w:tc>
        <w:tc>
          <w:tcPr>
            <w:tcW w:w="9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100" w:type="dxa"/>
            <w:vAlign w:val="bottom"/>
          </w:tcPr>
          <w:p>
            <w:pPr>
              <w:spacing w:after="0"/>
              <w:rPr>
                <w:sz w:val="16"/>
                <w:szCs w:val="16"/>
                <w:color w:val="auto"/>
              </w:rPr>
            </w:pPr>
          </w:p>
        </w:tc>
      </w:tr>
      <w:tr>
        <w:trPr>
          <w:trHeight w:val="230"/>
        </w:trPr>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20" w:type="dxa"/>
            <w:vAlign w:val="bottom"/>
          </w:tcPr>
          <w:p>
            <w:pPr>
              <w:spacing w:after="0"/>
              <w:rPr>
                <w:sz w:val="19"/>
                <w:szCs w:val="19"/>
                <w:color w:val="auto"/>
              </w:rPr>
            </w:pPr>
          </w:p>
        </w:tc>
        <w:tc>
          <w:tcPr>
            <w:tcW w:w="112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00" w:type="dxa"/>
            <w:vAlign w:val="bottom"/>
          </w:tcPr>
          <w:p>
            <w:pPr>
              <w:spacing w:after="0"/>
              <w:rPr>
                <w:sz w:val="19"/>
                <w:szCs w:val="19"/>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Operating</w:t>
            </w:r>
          </w:p>
        </w:tc>
      </w:tr>
      <w:tr>
        <w:trPr>
          <w:trHeight w:val="238"/>
        </w:trPr>
        <w:tc>
          <w:tcPr>
            <w:tcW w:w="3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Pr>
          <w:p>
            <w:pPr>
              <w:spacing w:after="0"/>
              <w:rPr>
                <w:sz w:val="20"/>
                <w:szCs w:val="20"/>
                <w:color w:val="auto"/>
              </w:rPr>
            </w:pPr>
          </w:p>
        </w:tc>
        <w:tc>
          <w:tcPr>
            <w:tcW w:w="112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Revenues</w:t>
            </w:r>
          </w:p>
        </w:tc>
      </w:tr>
      <w:tr>
        <w:trPr>
          <w:trHeight w:val="209"/>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3,989</w:t>
            </w:r>
          </w:p>
        </w:tc>
        <w:tc>
          <w:tcPr>
            <w:tcW w:w="120" w:type="dxa"/>
            <w:vAlign w:val="bottom"/>
          </w:tcPr>
          <w:p>
            <w:pPr>
              <w:spacing w:after="0"/>
              <w:rPr>
                <w:sz w:val="18"/>
                <w:szCs w:val="18"/>
                <w:color w:val="auto"/>
              </w:rPr>
            </w:pP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3,089</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3,597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3,466</w:t>
            </w: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3,463</w:t>
            </w:r>
          </w:p>
        </w:tc>
        <w:tc>
          <w:tcPr>
            <w:tcW w:w="120" w:type="dxa"/>
            <w:vAlign w:val="bottom"/>
          </w:tcPr>
          <w:p>
            <w:pPr>
              <w:spacing w:after="0"/>
              <w:rPr>
                <w:sz w:val="19"/>
                <w:szCs w:val="19"/>
                <w:color w:val="auto"/>
              </w:rPr>
            </w:pP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2,964</w:t>
            </w:r>
          </w:p>
        </w:tc>
      </w:tr>
      <w:tr>
        <w:trPr>
          <w:trHeight w:val="210"/>
        </w:trPr>
        <w:tc>
          <w:tcPr>
            <w:tcW w:w="38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collection</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Landfill</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5,347</w:t>
            </w:r>
          </w:p>
        </w:tc>
        <w:tc>
          <w:tcPr>
            <w:tcW w:w="120" w:type="dxa"/>
            <w:vAlign w:val="bottom"/>
          </w:tcPr>
          <w:p>
            <w:pPr>
              <w:spacing w:after="0"/>
              <w:rPr>
                <w:sz w:val="18"/>
                <w:szCs w:val="18"/>
                <w:color w:val="auto"/>
              </w:rPr>
            </w:pP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3,445</w:t>
            </w:r>
          </w:p>
        </w:tc>
      </w:tr>
      <w:tr>
        <w:trPr>
          <w:trHeight w:val="23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2,629</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(1,127)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1,381</w:t>
            </w:r>
          </w:p>
        </w:tc>
      </w:tr>
      <w:tr>
        <w:trPr>
          <w:trHeight w:val="209"/>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25,545</w:t>
            </w: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19,716</w:t>
            </w:r>
          </w:p>
        </w:tc>
        <w:tc>
          <w:tcPr>
            <w:tcW w:w="10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1,603</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Renewable Energy</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tcPr>
          <w:p>
            <w:pPr>
              <w:spacing w:after="0"/>
              <w:rPr>
                <w:sz w:val="18"/>
                <w:szCs w:val="18"/>
                <w:color w:val="auto"/>
              </w:rPr>
            </w:pP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r>
      <w:tr>
        <w:trPr>
          <w:trHeight w:val="257"/>
        </w:trPr>
        <w:tc>
          <w:tcPr>
            <w:tcW w:w="38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Healthcare Solutions</w:t>
            </w:r>
            <w:r>
              <w:rPr>
                <w:rFonts w:ascii="Times New Roman" w:cs="Times New Roman" w:eastAsia="Times New Roman" w:hAnsi="Times New Roman"/>
                <w:sz w:val="29"/>
                <w:szCs w:val="29"/>
                <w:color w:val="auto"/>
                <w:vertAlign w:val="superscript"/>
              </w:rPr>
              <w:t>(a)</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2,951</w:t>
            </w: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w:t>
            </w: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38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0"/>
          <w:szCs w:val="20"/>
          <w:color w:val="auto"/>
        </w:rPr>
      </w:pPr>
    </w:p>
    <w:p>
      <w:pPr>
        <w:jc w:val="both"/>
        <w:ind w:left="340" w:hanging="332"/>
        <w:spacing w:after="0" w:line="25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2025, as a result of continued integration efforts and to enhance transparency and accountability, the Company began reflecting intra-segment activity within the Healthcare Solutions segment. These charges were designed to measure profitability at more granular levels of the enterprise and to facilitate clearer financial accountability within operating units. Accordingly, adjustments to 2025 and 2024 activity were made to properly reflect intra-segment activity for both periods. Intra-segment operating revenues within Healthcare Solutions for the three months ended December 31, 2025 and 2024 are $109 million and $58 million, respectively. Intra-segment operating revenues within Healthcare Solutions for the years ended December 31, 2025 and 2024 are $425 million and $58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80" w:type="dxa"/>
            <w:vAlign w:val="bottom"/>
            <w:gridSpan w:val="7"/>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WASTE MANAGEMENT, INC.</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80" w:type="dxa"/>
            <w:vAlign w:val="bottom"/>
            <w:gridSpan w:val="7"/>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SUMMARY DATA SHEET</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4"/>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4"/>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Internal Revenue Growth</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00" w:type="dxa"/>
            <w:vAlign w:val="bottom"/>
            <w:gridSpan w:val="9"/>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Period-to-Period Change for the</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gridSpan w:val="14"/>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Period-to-Period Change for the</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9"/>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80" w:type="dxa"/>
            <w:vAlign w:val="bottom"/>
            <w:gridSpan w:val="8"/>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December 31, 2025 vs. 2024</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 2025 vs. 2024</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As a % of</w:t>
            </w:r>
          </w:p>
        </w:tc>
        <w:tc>
          <w:tcPr>
            <w:tcW w:w="1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As a % of</w:t>
            </w:r>
          </w:p>
        </w:tc>
        <w:tc>
          <w:tcPr>
            <w:tcW w:w="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rPr>
              <w:t>As a % of</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As a %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Related</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75"/>
        </w:trPr>
        <w:tc>
          <w:tcPr>
            <w:tcW w:w="2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gridSpan w:val="2"/>
          </w:tcPr>
          <w:p>
            <w:pPr>
              <w:jc w:val="center"/>
              <w:ind w:right="260"/>
              <w:spacing w:after="0" w:line="276" w:lineRule="exact"/>
              <w:rPr>
                <w:sz w:val="20"/>
                <w:szCs w:val="20"/>
                <w:color w:val="auto"/>
              </w:rPr>
            </w:pPr>
            <w:r>
              <w:rPr>
                <w:rFonts w:ascii="Times New Roman" w:cs="Times New Roman" w:eastAsia="Times New Roman" w:hAnsi="Times New Roman"/>
                <w:sz w:val="18"/>
                <w:szCs w:val="18"/>
                <w:b w:val="1"/>
                <w:bCs w:val="1"/>
                <w:color w:val="auto"/>
                <w:w w:val="92"/>
              </w:rPr>
              <w:t>Business</w:t>
            </w:r>
            <w:r>
              <w:rPr>
                <w:rFonts w:ascii="Times New Roman" w:cs="Times New Roman" w:eastAsia="Times New Roman" w:hAnsi="Times New Roman"/>
                <w:sz w:val="29"/>
                <w:szCs w:val="29"/>
                <w:b w:val="1"/>
                <w:bCs w:val="1"/>
                <w:color w:val="auto"/>
                <w:w w:val="92"/>
                <w:vertAlign w:val="superscript"/>
              </w:rPr>
              <w:t>(a)</w:t>
            </w:r>
          </w:p>
        </w:tc>
        <w:tc>
          <w:tcPr>
            <w:tcW w:w="10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80" w:type="dxa"/>
            <w:vAlign w:val="bottom"/>
            <w:gridSpan w:val="2"/>
          </w:tcPr>
          <w:p>
            <w:pPr>
              <w:jc w:val="center"/>
              <w:ind w:right="280"/>
              <w:spacing w:after="0" w:line="276" w:lineRule="exact"/>
              <w:rPr>
                <w:sz w:val="20"/>
                <w:szCs w:val="20"/>
                <w:color w:val="auto"/>
              </w:rPr>
            </w:pPr>
            <w:r>
              <w:rPr>
                <w:rFonts w:ascii="Times New Roman" w:cs="Times New Roman" w:eastAsia="Times New Roman" w:hAnsi="Times New Roman"/>
                <w:sz w:val="18"/>
                <w:szCs w:val="18"/>
                <w:b w:val="1"/>
                <w:bCs w:val="1"/>
                <w:color w:val="auto"/>
                <w:w w:val="91"/>
              </w:rPr>
              <w:t>Company</w:t>
            </w:r>
            <w:r>
              <w:rPr>
                <w:rFonts w:ascii="Times New Roman" w:cs="Times New Roman" w:eastAsia="Times New Roman" w:hAnsi="Times New Roman"/>
                <w:sz w:val="29"/>
                <w:szCs w:val="29"/>
                <w:b w:val="1"/>
                <w:bCs w:val="1"/>
                <w:color w:val="auto"/>
                <w:w w:val="91"/>
                <w:vertAlign w:val="superscript"/>
              </w:rPr>
              <w:t>(b)</w:t>
            </w:r>
          </w:p>
        </w:tc>
        <w:tc>
          <w:tcPr>
            <w:tcW w:w="8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gridSpan w:val="3"/>
          </w:tcPr>
          <w:p>
            <w:pPr>
              <w:jc w:val="center"/>
              <w:ind w:right="80"/>
              <w:spacing w:after="0" w:line="276" w:lineRule="exact"/>
              <w:rPr>
                <w:sz w:val="20"/>
                <w:szCs w:val="20"/>
                <w:color w:val="auto"/>
              </w:rPr>
            </w:pPr>
            <w:r>
              <w:rPr>
                <w:rFonts w:ascii="Times New Roman" w:cs="Times New Roman" w:eastAsia="Times New Roman" w:hAnsi="Times New Roman"/>
                <w:sz w:val="18"/>
                <w:szCs w:val="18"/>
                <w:b w:val="1"/>
                <w:bCs w:val="1"/>
                <w:color w:val="auto"/>
                <w:w w:val="94"/>
              </w:rPr>
              <w:t>Business</w:t>
            </w:r>
            <w:r>
              <w:rPr>
                <w:rFonts w:ascii="Times New Roman" w:cs="Times New Roman" w:eastAsia="Times New Roman" w:hAnsi="Times New Roman"/>
                <w:sz w:val="29"/>
                <w:szCs w:val="29"/>
                <w:b w:val="1"/>
                <w:bCs w:val="1"/>
                <w:color w:val="auto"/>
                <w:w w:val="94"/>
                <w:vertAlign w:val="superscript"/>
              </w:rPr>
              <w:t>(a)</w:t>
            </w:r>
          </w:p>
        </w:tc>
        <w:tc>
          <w:tcPr>
            <w:tcW w:w="80" w:type="dxa"/>
            <w:vAlign w:val="bottom"/>
          </w:tcPr>
          <w:p>
            <w:pPr>
              <w:spacing w:after="0"/>
              <w:rPr>
                <w:sz w:val="23"/>
                <w:szCs w:val="23"/>
                <w:color w:val="auto"/>
              </w:rPr>
            </w:pPr>
          </w:p>
        </w:tc>
        <w:tc>
          <w:tcPr>
            <w:tcW w:w="98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gridSpan w:val="2"/>
          </w:tcPr>
          <w:p>
            <w:pPr>
              <w:jc w:val="center"/>
              <w:ind w:right="70"/>
              <w:spacing w:after="0" w:line="276" w:lineRule="exact"/>
              <w:rPr>
                <w:sz w:val="20"/>
                <w:szCs w:val="20"/>
                <w:color w:val="auto"/>
              </w:rPr>
            </w:pPr>
            <w:r>
              <w:rPr>
                <w:rFonts w:ascii="Times New Roman" w:cs="Times New Roman" w:eastAsia="Times New Roman" w:hAnsi="Times New Roman"/>
                <w:sz w:val="18"/>
                <w:szCs w:val="18"/>
                <w:b w:val="1"/>
                <w:bCs w:val="1"/>
                <w:color w:val="auto"/>
                <w:w w:val="95"/>
              </w:rPr>
              <w:t>Company</w:t>
            </w:r>
            <w:r>
              <w:rPr>
                <w:rFonts w:ascii="Times New Roman" w:cs="Times New Roman" w:eastAsia="Times New Roman" w:hAnsi="Times New Roman"/>
                <w:sz w:val="29"/>
                <w:szCs w:val="29"/>
                <w:b w:val="1"/>
                <w:bCs w:val="1"/>
                <w:color w:val="auto"/>
                <w:w w:val="95"/>
                <w:vertAlign w:val="superscript"/>
              </w:rPr>
              <w:t>(b)</w:t>
            </w:r>
          </w:p>
        </w:tc>
        <w:tc>
          <w:tcPr>
            <w:tcW w:w="0" w:type="dxa"/>
            <w:vAlign w:val="bottom"/>
          </w:tcPr>
          <w:p>
            <w:pPr>
              <w:spacing w:after="0"/>
              <w:rPr>
                <w:sz w:val="1"/>
                <w:szCs w:val="1"/>
                <w:color w:val="auto"/>
              </w:rPr>
            </w:pPr>
          </w:p>
        </w:tc>
      </w:tr>
      <w:tr>
        <w:trPr>
          <w:trHeight w:val="20"/>
        </w:trPr>
        <w:tc>
          <w:tcPr>
            <w:tcW w:w="27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80" w:type="dxa"/>
            <w:vAlign w:val="bottom"/>
            <w:tcBorders>
              <w:left w:val="single" w:sz="8" w:color="CCEEFF"/>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7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Recycling Processing and Sales and</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78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Renewable Energy </w:t>
            </w:r>
            <w:r>
              <w:rPr>
                <w:rFonts w:ascii="Times New Roman" w:cs="Times New Roman" w:eastAsia="Times New Roman" w:hAnsi="Times New Roman"/>
                <w:sz w:val="29"/>
                <w:szCs w:val="29"/>
                <w:color w:val="auto"/>
                <w:vertAlign w:val="superscript"/>
              </w:rPr>
              <w:t>(c)</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surcharges and mandated fees</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180" w:type="dxa"/>
            <w:vAlign w:val="bottom"/>
            <w:tcBorders>
              <w:right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80" w:type="dxa"/>
            <w:vAlign w:val="bottom"/>
          </w:tcPr>
          <w:p>
            <w:pPr>
              <w:ind w:left="180"/>
              <w:spacing w:after="0" w:line="236" w:lineRule="exact"/>
              <w:rPr>
                <w:sz w:val="20"/>
                <w:szCs w:val="20"/>
                <w:color w:val="auto"/>
              </w:rPr>
            </w:pPr>
            <w:r>
              <w:rPr>
                <w:rFonts w:ascii="Times New Roman" w:cs="Times New Roman" w:eastAsia="Times New Roman" w:hAnsi="Times New Roman"/>
                <w:sz w:val="17"/>
                <w:szCs w:val="17"/>
                <w:color w:val="auto"/>
              </w:rPr>
              <w:t xml:space="preserve">Total average yield </w:t>
            </w:r>
            <w:r>
              <w:rPr>
                <w:rFonts w:ascii="Times New Roman" w:cs="Times New Roman" w:eastAsia="Times New Roman" w:hAnsi="Times New Roman"/>
                <w:sz w:val="27"/>
                <w:szCs w:val="27"/>
                <w:color w:val="auto"/>
                <w:vertAlign w:val="superscript"/>
              </w:rPr>
              <w:t>(d)</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136</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20" w:type="dxa"/>
            <w:vAlign w:val="bottom"/>
            <w:gridSpan w:val="3"/>
          </w:tcPr>
          <w:p>
            <w:pPr>
              <w:jc w:val="right"/>
              <w:ind w:right="13"/>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57"/>
        </w:trPr>
        <w:tc>
          <w:tcPr>
            <w:tcW w:w="27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Volume </w:t>
            </w:r>
            <w:r>
              <w:rPr>
                <w:rFonts w:ascii="Times New Roman" w:cs="Times New Roman" w:eastAsia="Times New Roman" w:hAnsi="Times New Roman"/>
                <w:sz w:val="29"/>
                <w:szCs w:val="29"/>
                <w:color w:val="auto"/>
                <w:vertAlign w:val="superscript"/>
              </w:rPr>
              <w:t>(e)</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tcBorders>
              <w:left w:val="single" w:sz="8" w:color="CCEEFF"/>
            </w:tcBorders>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20" w:type="dxa"/>
            <w:vAlign w:val="bottom"/>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70"/>
        </w:trPr>
        <w:tc>
          <w:tcPr>
            <w:tcW w:w="278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Healthcare Solutions </w:t>
            </w:r>
            <w:r>
              <w:rPr>
                <w:rFonts w:ascii="Times New Roman" w:cs="Times New Roman" w:eastAsia="Times New Roman" w:hAnsi="Times New Roman"/>
                <w:sz w:val="29"/>
                <w:szCs w:val="29"/>
                <w:color w:val="auto"/>
                <w:vertAlign w:val="superscript"/>
              </w:rPr>
              <w:t>(f)</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gridSpan w:val="3"/>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3"/>
                <w:szCs w:val="23"/>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7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Internal revenue growth</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left w:val="single" w:sz="8" w:color="CCEEFF"/>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251</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3"/>
          </w:tcPr>
          <w:p>
            <w:pPr>
              <w:jc w:val="right"/>
              <w:ind w:right="13"/>
              <w:spacing w:after="0"/>
              <w:rPr>
                <w:sz w:val="20"/>
                <w:szCs w:val="20"/>
                <w:color w:val="auto"/>
              </w:rPr>
            </w:pPr>
            <w:r>
              <w:rPr>
                <w:rFonts w:ascii="Times New Roman" w:cs="Times New Roman" w:eastAsia="Times New Roman" w:hAnsi="Times New Roman"/>
                <w:sz w:val="18"/>
                <w:szCs w:val="18"/>
                <w:color w:val="auto"/>
                <w:w w:val="98"/>
              </w:rPr>
              <w:t>2,365</w:t>
            </w:r>
          </w:p>
        </w:tc>
        <w:tc>
          <w:tcPr>
            <w:tcW w:w="12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Divestitures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2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142"/>
        </w:trPr>
        <w:tc>
          <w:tcPr>
            <w:tcW w:w="27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left w:val="single" w:sz="8" w:color="CCEEFF"/>
            </w:tcBorders>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right w:val="single" w:sz="8" w:color="CCEEFF"/>
            </w:tcBorders>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420</w:t>
            </w:r>
          </w:p>
        </w:tc>
        <w:tc>
          <w:tcPr>
            <w:tcW w:w="11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2"/>
                <w:szCs w:val="12"/>
                <w:color w:val="auto"/>
              </w:rPr>
            </w:pPr>
          </w:p>
        </w:tc>
        <w:tc>
          <w:tcPr>
            <w:tcW w:w="520" w:type="dxa"/>
            <w:vAlign w:val="bottom"/>
            <w:gridSpan w:val="3"/>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8"/>
              </w:rPr>
              <w:t>3,141</w:t>
            </w:r>
          </w:p>
        </w:tc>
        <w:tc>
          <w:tcPr>
            <w:tcW w:w="12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78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20" w:type="dxa"/>
            <w:vAlign w:val="bottom"/>
            <w:tcBorders>
              <w:left w:val="single" w:sz="8" w:color="CCEEFF"/>
            </w:tcBorders>
            <w:shd w:val="clear" w:color="auto" w:fill="CCEEFF"/>
          </w:tcPr>
          <w:p>
            <w:pPr>
              <w:spacing w:after="0"/>
              <w:rPr>
                <w:sz w:val="5"/>
                <w:szCs w:val="5"/>
                <w:color w:val="auto"/>
              </w:rPr>
            </w:pPr>
          </w:p>
        </w:tc>
        <w:tc>
          <w:tcPr>
            <w:tcW w:w="260" w:type="dxa"/>
            <w:vAlign w:val="bottom"/>
            <w:tcBorders>
              <w:right w:val="single" w:sz="8" w:color="CCEEFF"/>
            </w:tcBorders>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840" w:type="dxa"/>
            <w:vAlign w:val="bottom"/>
            <w:tcBorders>
              <w:right w:val="single" w:sz="8" w:color="CCEEFF"/>
            </w:tcBorders>
            <w:gridSpan w:val="2"/>
            <w:vMerge w:val="continue"/>
            <w:shd w:val="clear" w:color="auto" w:fill="CCEEFF"/>
          </w:tcPr>
          <w:p>
            <w:pPr>
              <w:spacing w:after="0"/>
              <w:rPr>
                <w:sz w:val="5"/>
                <w:szCs w:val="5"/>
                <w:color w:val="auto"/>
              </w:rPr>
            </w:pPr>
          </w:p>
        </w:tc>
        <w:tc>
          <w:tcPr>
            <w:tcW w:w="118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26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520" w:type="dxa"/>
            <w:vAlign w:val="bottom"/>
            <w:gridSpan w:val="3"/>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00" w:type="dxa"/>
            <w:vAlign w:val="bottom"/>
            <w:gridSpan w:val="2"/>
            <w:shd w:val="clear" w:color="auto" w:fill="CCEEFF"/>
          </w:tcPr>
          <w:p>
            <w:pPr>
              <w:jc w:val="right"/>
              <w:ind w:right="70"/>
              <w:spacing w:after="0" w:line="68" w:lineRule="exact"/>
              <w:rPr>
                <w:sz w:val="20"/>
                <w:szCs w:val="20"/>
                <w:color w:val="auto"/>
              </w:rPr>
            </w:pPr>
            <w:r>
              <w:rPr>
                <w:rFonts w:ascii="Times New Roman" w:cs="Times New Roman" w:eastAsia="Times New Roman" w:hAnsi="Times New Roman"/>
                <w:sz w:val="7"/>
                <w:szCs w:val="7"/>
                <w:color w:val="auto"/>
              </w:rPr>
              <w:t>14.2</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2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80" w:type="dxa"/>
            <w:vAlign w:val="bottom"/>
            <w:gridSpan w:val="7"/>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Period-to-Period Change for the</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gridSpan w:val="11"/>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Period-to-Period Change for the</w:t>
            </w:r>
          </w:p>
        </w:tc>
        <w:tc>
          <w:tcPr>
            <w:tcW w:w="0" w:type="dxa"/>
            <w:vAlign w:val="bottom"/>
          </w:tcPr>
          <w:p>
            <w:pPr>
              <w:spacing w:after="0"/>
              <w:rPr>
                <w:sz w:val="1"/>
                <w:szCs w:val="1"/>
                <w:color w:val="auto"/>
              </w:rPr>
            </w:pPr>
          </w:p>
        </w:tc>
      </w:tr>
      <w:tr>
        <w:trPr>
          <w:trHeight w:val="238"/>
        </w:trPr>
        <w:tc>
          <w:tcPr>
            <w:tcW w:w="2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gridSpan w:val="11"/>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31, 2025 vs. 2024</w:t>
            </w:r>
          </w:p>
        </w:tc>
        <w:tc>
          <w:tcPr>
            <w:tcW w:w="3280" w:type="dxa"/>
            <w:vAlign w:val="bottom"/>
            <w:gridSpan w:val="1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Year Ended December 31, 2025 vs. 2024</w:t>
            </w:r>
          </w:p>
        </w:tc>
        <w:tc>
          <w:tcPr>
            <w:tcW w:w="0" w:type="dxa"/>
            <w:vAlign w:val="bottom"/>
          </w:tcPr>
          <w:p>
            <w:pPr>
              <w:spacing w:after="0"/>
              <w:rPr>
                <w:sz w:val="1"/>
                <w:szCs w:val="1"/>
                <w:color w:val="auto"/>
              </w:rPr>
            </w:pPr>
          </w:p>
        </w:tc>
      </w:tr>
      <w:tr>
        <w:trPr>
          <w:trHeight w:val="250"/>
        </w:trPr>
        <w:tc>
          <w:tcPr>
            <w:tcW w:w="2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80" w:type="dxa"/>
            <w:vAlign w:val="bottom"/>
            <w:tcBorders>
              <w:top w:val="single" w:sz="8" w:color="auto"/>
              <w:bottom w:val="single" w:sz="8" w:color="auto"/>
            </w:tcBorders>
            <w:gridSpan w:val="7"/>
          </w:tcPr>
          <w:p>
            <w:pPr>
              <w:jc w:val="center"/>
              <w:ind w:left="530"/>
              <w:spacing w:after="0" w:line="250" w:lineRule="exact"/>
              <w:rPr>
                <w:sz w:val="20"/>
                <w:szCs w:val="20"/>
                <w:color w:val="auto"/>
              </w:rPr>
            </w:pPr>
            <w:r>
              <w:rPr>
                <w:rFonts w:ascii="Times New Roman" w:cs="Times New Roman" w:eastAsia="Times New Roman" w:hAnsi="Times New Roman"/>
                <w:sz w:val="17"/>
                <w:szCs w:val="17"/>
                <w:b w:val="1"/>
                <w:bCs w:val="1"/>
                <w:color w:val="auto"/>
              </w:rPr>
              <w:t>As a % of Related Business</w:t>
            </w:r>
            <w:r>
              <w:rPr>
                <w:rFonts w:ascii="Times New Roman" w:cs="Times New Roman" w:eastAsia="Times New Roman" w:hAnsi="Times New Roman"/>
                <w:sz w:val="28"/>
                <w:szCs w:val="28"/>
                <w:b w:val="1"/>
                <w:bCs w:val="1"/>
                <w:color w:val="auto"/>
                <w:vertAlign w:val="superscript"/>
              </w:rPr>
              <w:t>(a)</w:t>
            </w:r>
          </w:p>
        </w:tc>
        <w:tc>
          <w:tcPr>
            <w:tcW w:w="1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020" w:type="dxa"/>
            <w:vAlign w:val="bottom"/>
            <w:tcBorders>
              <w:top w:val="single" w:sz="8" w:color="auto"/>
              <w:bottom w:val="single" w:sz="8" w:color="auto"/>
            </w:tcBorders>
            <w:gridSpan w:val="10"/>
          </w:tcPr>
          <w:p>
            <w:pPr>
              <w:jc w:val="center"/>
              <w:ind w:right="73"/>
              <w:spacing w:after="0" w:line="250" w:lineRule="exact"/>
              <w:rPr>
                <w:sz w:val="20"/>
                <w:szCs w:val="20"/>
                <w:color w:val="auto"/>
              </w:rPr>
            </w:pPr>
            <w:r>
              <w:rPr>
                <w:rFonts w:ascii="Times New Roman" w:cs="Times New Roman" w:eastAsia="Times New Roman" w:hAnsi="Times New Roman"/>
                <w:sz w:val="17"/>
                <w:szCs w:val="17"/>
                <w:b w:val="1"/>
                <w:bCs w:val="1"/>
                <w:color w:val="auto"/>
              </w:rPr>
              <w:t>As a % of Related Business</w:t>
            </w:r>
            <w:r>
              <w:rPr>
                <w:rFonts w:ascii="Times New Roman" w:cs="Times New Roman" w:eastAsia="Times New Roman" w:hAnsi="Times New Roman"/>
                <w:sz w:val="28"/>
                <w:szCs w:val="28"/>
                <w:b w:val="1"/>
                <w:bCs w:val="1"/>
                <w:color w:val="auto"/>
                <w:vertAlign w:val="superscript"/>
              </w:rPr>
              <w:t>(a)</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7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580" w:type="dxa"/>
            <w:vAlign w:val="bottom"/>
            <w:tcBorders>
              <w:bottom w:val="single" w:sz="8" w:color="auto"/>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3"/>
          </w:tcPr>
          <w:p>
            <w:pPr>
              <w:jc w:val="right"/>
              <w:ind w:right="293"/>
              <w:spacing w:after="0" w:line="250" w:lineRule="exact"/>
              <w:rPr>
                <w:sz w:val="20"/>
                <w:szCs w:val="20"/>
                <w:color w:val="auto"/>
              </w:rPr>
            </w:pPr>
            <w:r>
              <w:rPr>
                <w:rFonts w:ascii="Times New Roman" w:cs="Times New Roman" w:eastAsia="Times New Roman" w:hAnsi="Times New Roman"/>
                <w:sz w:val="17"/>
                <w:szCs w:val="17"/>
                <w:b w:val="1"/>
                <w:bCs w:val="1"/>
                <w:color w:val="auto"/>
                <w:w w:val="96"/>
              </w:rPr>
              <w:t>Volume</w:t>
            </w:r>
            <w:r>
              <w:rPr>
                <w:rFonts w:ascii="Times New Roman" w:cs="Times New Roman" w:eastAsia="Times New Roman" w:hAnsi="Times New Roman"/>
                <w:sz w:val="28"/>
                <w:szCs w:val="28"/>
                <w:b w:val="1"/>
                <w:bCs w:val="1"/>
                <w:color w:val="auto"/>
                <w:w w:val="96"/>
                <w:vertAlign w:val="superscript"/>
              </w:rPr>
              <w:t>(g)</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4.8%</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5"/>
              </w:rPr>
              <w:t>5.1%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2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collection</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MSW</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Transfer</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3.5%</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5"/>
              </w:rPr>
              <w:t>3.8%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0"/>
          <w:szCs w:val="20"/>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by the prior year’s related business revenue adjusted to exclude the impacts of divestitures for the current year.</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by the prior year’s total Company revenue adjusted to exclude the impacts of divestitures for the current year.</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combined impact of commodity price variability in both our Recycling Processing and Sales and Renewable Energy segments, as well as changes in certain recycling fees charged by our collection and disposal operations.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herein represent the changes in our revenue attributable to average yield for the total Company.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activities from our Corporate and Other businesses.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herein represent the total change in our revenues attributable to our Healthcare Solutions business in the period following the anniversary of the acquisition.</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Workday adjusted volume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7180" w:type="dxa"/>
            <w:vAlign w:val="bottom"/>
          </w:tcPr>
          <w:p>
            <w:pPr>
              <w:jc w:val="center"/>
              <w:ind w:left="3970"/>
              <w:spacing w:after="0"/>
              <w:rPr>
                <w:sz w:val="20"/>
                <w:szCs w:val="20"/>
                <w:color w:val="auto"/>
              </w:rPr>
            </w:pPr>
            <w:r>
              <w:rPr>
                <w:rFonts w:ascii="Times New Roman" w:cs="Times New Roman" w:eastAsia="Times New Roman" w:hAnsi="Times New Roman"/>
                <w:sz w:val="18"/>
                <w:szCs w:val="18"/>
                <w:b w:val="1"/>
                <w:bCs w:val="1"/>
                <w:color w:val="auto"/>
                <w:w w:val="98"/>
              </w:rPr>
              <w:t>WASTE MANAGEMENT, INC.</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180" w:type="dxa"/>
            <w:vAlign w:val="bottom"/>
          </w:tcPr>
          <w:p>
            <w:pPr>
              <w:jc w:val="center"/>
              <w:ind w:left="3970"/>
              <w:spacing w:after="0"/>
              <w:rPr>
                <w:sz w:val="20"/>
                <w:szCs w:val="20"/>
                <w:color w:val="auto"/>
              </w:rPr>
            </w:pPr>
            <w:r>
              <w:rPr>
                <w:rFonts w:ascii="Times New Roman" w:cs="Times New Roman" w:eastAsia="Times New Roman" w:hAnsi="Times New Roman"/>
                <w:sz w:val="18"/>
                <w:szCs w:val="18"/>
                <w:b w:val="1"/>
                <w:bCs w:val="1"/>
                <w:color w:val="auto"/>
                <w:w w:val="98"/>
              </w:rPr>
              <w:t>SUMMARY DATA SHEET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80" w:type="dxa"/>
            <w:vAlign w:val="bottom"/>
          </w:tcPr>
          <w:p>
            <w:pPr>
              <w:jc w:val="center"/>
              <w:ind w:left="397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180" w:type="dxa"/>
            <w:vAlign w:val="bottom"/>
          </w:tcPr>
          <w:p>
            <w:pPr>
              <w:jc w:val="center"/>
              <w:ind w:left="39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5"/>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r>
              <w:rPr>
                <w:rFonts w:ascii="Times New Roman" w:cs="Times New Roman" w:eastAsia="Times New Roman" w:hAnsi="Times New Roman"/>
                <w:sz w:val="29"/>
                <w:szCs w:val="29"/>
                <w:b w:val="1"/>
                <w:bCs w:val="1"/>
                <w:color w:val="auto"/>
                <w:vertAlign w:val="superscript"/>
              </w:rPr>
              <w:t>(a)</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9"/>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11"/>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38"/>
        </w:trPr>
        <w:tc>
          <w:tcPr>
            <w:tcW w:w="7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9"/>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11"/>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to support the business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(684)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(2,594)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(2,281)</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divestitures of businesses and other assets, net of cash divested</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 before sustainability growth investments</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 sustainability growth investments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7180" w:type="dxa"/>
            <w:vAlign w:val="bottom"/>
          </w:tcPr>
          <w:p>
            <w:pPr>
              <w:spacing w:after="0"/>
              <w:rPr>
                <w:sz w:val="24"/>
                <w:szCs w:val="24"/>
                <w:color w:val="auto"/>
              </w:rPr>
            </w:pPr>
          </w:p>
        </w:tc>
        <w:tc>
          <w:tcPr>
            <w:tcW w:w="2080" w:type="dxa"/>
            <w:vAlign w:val="bottom"/>
            <w:gridSpan w:val="11"/>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11"/>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38"/>
        </w:trPr>
        <w:tc>
          <w:tcPr>
            <w:tcW w:w="7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9"/>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11"/>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7180" w:type="dxa"/>
            <w:vAlign w:val="bottom"/>
          </w:tcPr>
          <w:p>
            <w:pPr>
              <w:spacing w:after="0"/>
              <w:rPr>
                <w:sz w:val="19"/>
                <w:szCs w:val="19"/>
                <w:color w:val="auto"/>
              </w:rPr>
            </w:pPr>
          </w:p>
        </w:tc>
        <w:tc>
          <w:tcPr>
            <w:tcW w:w="780" w:type="dxa"/>
            <w:vAlign w:val="bottom"/>
            <w:tcBorders>
              <w:top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Data</w:t>
            </w: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Internalization of waste, based on disposal costs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71.7%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 depletable tons (in millions)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180" w:type="dxa"/>
            <w:vAlign w:val="bottom"/>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Acquisition Summary</w:t>
            </w:r>
            <w:r>
              <w:rPr>
                <w:rFonts w:ascii="Times New Roman" w:cs="Times New Roman" w:eastAsia="Times New Roman" w:hAnsi="Times New Roman"/>
                <w:sz w:val="29"/>
                <w:szCs w:val="29"/>
                <w:b w:val="1"/>
                <w:bCs w:val="1"/>
                <w:color w:val="auto"/>
                <w:vertAlign w:val="superscript"/>
              </w:rPr>
              <w:t>(b)</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annualized revenue acquired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8"/>
                <w:szCs w:val="18"/>
                <w:color w:val="auto"/>
              </w:rPr>
            </w:pPr>
          </w:p>
        </w:tc>
        <w:tc>
          <w:tcPr>
            <w:tcW w:w="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 net of cash acquired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acquisitions consummated during the period, net of cash acquired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paid for acquisitions including contingent consideration and other items from prior periods,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of cash acquired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Landfill Depletion and Accretion Expenses: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9"/>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11"/>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38"/>
        </w:trPr>
        <w:tc>
          <w:tcPr>
            <w:tcW w:w="7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9"/>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11"/>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 depletion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basis of landfill assets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169</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683</w:t>
            </w: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 retirement costs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vMerge w:val="restart"/>
          </w:tcPr>
          <w:p>
            <w:pPr>
              <w:ind w:left="220"/>
              <w:spacing w:after="0" w:line="256" w:lineRule="exact"/>
              <w:rPr>
                <w:sz w:val="20"/>
                <w:szCs w:val="20"/>
                <w:color w:val="auto"/>
              </w:rPr>
            </w:pPr>
            <w:r>
              <w:rPr>
                <w:rFonts w:ascii="Times New Roman" w:cs="Times New Roman" w:eastAsia="Times New Roman" w:hAnsi="Times New Roman"/>
                <w:sz w:val="18"/>
                <w:szCs w:val="18"/>
                <w:color w:val="auto"/>
              </w:rPr>
              <w:t>Total landfill depletion expense</w:t>
            </w:r>
            <w:r>
              <w:rPr>
                <w:rFonts w:ascii="Times New Roman" w:cs="Times New Roman" w:eastAsia="Times New Roman" w:hAnsi="Times New Roman"/>
                <w:sz w:val="29"/>
                <w:szCs w:val="29"/>
                <w:color w:val="auto"/>
                <w:vertAlign w:val="superscript"/>
              </w:rPr>
              <w:t>(c)</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1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898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795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Landfill depletion and accretion expense</w:t>
            </w: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tcPr>
          <w:p>
            <w:pPr>
              <w:spacing w:after="0"/>
              <w:rPr>
                <w:sz w:val="19"/>
                <w:szCs w:val="19"/>
                <w:color w:val="auto"/>
              </w:rPr>
            </w:pPr>
          </w:p>
        </w:tc>
        <w:tc>
          <w:tcPr>
            <w:tcW w:w="120" w:type="dxa"/>
            <w:vAlign w:val="bottom"/>
            <w:gridSpan w:val="3"/>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0"/>
          <w:szCs w:val="20"/>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summary of free cash flow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associated with business acquisitions consummated during the applicable period except where noted.</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both the fourth quarter of 2025 and the year ended December 31, 2025, the increase in landfill depletion expense was primarily due to increased volumes at our landfills, particularly in our Western 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10"/>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31, 2025</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20" w:type="dxa"/>
            <w:vAlign w:val="bottom"/>
            <w:gridSpan w:val="3"/>
          </w:tcPr>
          <w:p>
            <w:pPr>
              <w:jc w:val="center"/>
              <w:ind w:right="240"/>
              <w:spacing w:after="0" w:line="191" w:lineRule="exact"/>
              <w:rPr>
                <w:sz w:val="20"/>
                <w:szCs w:val="20"/>
                <w:color w:val="auto"/>
              </w:rPr>
            </w:pPr>
            <w:r>
              <w:rPr>
                <w:rFonts w:ascii="Times New Roman" w:cs="Times New Roman" w:eastAsia="Times New Roman" w:hAnsi="Times New Roman"/>
                <w:sz w:val="18"/>
                <w:szCs w:val="18"/>
                <w:b w:val="1"/>
                <w:bCs w:val="1"/>
                <w:color w:val="auto"/>
                <w:w w:val="98"/>
              </w:rPr>
              <w:t>Income from</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340"/>
              <w:spacing w:after="0" w:line="191" w:lineRule="exact"/>
              <w:rPr>
                <w:sz w:val="20"/>
                <w:szCs w:val="20"/>
                <w:color w:val="auto"/>
              </w:rPr>
            </w:pPr>
            <w:r>
              <w:rPr>
                <w:rFonts w:ascii="Times New Roman" w:cs="Times New Roman" w:eastAsia="Times New Roman" w:hAnsi="Times New Roman"/>
                <w:sz w:val="18"/>
                <w:szCs w:val="18"/>
                <w:b w:val="1"/>
                <w:bCs w:val="1"/>
                <w:color w:val="auto"/>
              </w:rPr>
              <w:t>Pre-tax</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b w:val="1"/>
                <w:bCs w:val="1"/>
                <w:color w:val="auto"/>
                <w:w w:val="93"/>
              </w:rPr>
              <w:t>Tax</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b w:val="1"/>
                <w:bCs w:val="1"/>
                <w:color w:val="auto"/>
              </w:rPr>
              <w:t>Net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b w:val="1"/>
                <w:bCs w:val="1"/>
                <w:color w:val="auto"/>
                <w:w w:val="99"/>
              </w:rPr>
              <w:t>Diluted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4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2"/>
          </w:tcPr>
          <w:p>
            <w:pPr>
              <w:jc w:val="center"/>
              <w:ind w:right="260"/>
              <w:spacing w:after="0" w:line="276" w:lineRule="exact"/>
              <w:rPr>
                <w:sz w:val="20"/>
                <w:szCs w:val="20"/>
                <w:color w:val="auto"/>
              </w:rPr>
            </w:pPr>
            <w:r>
              <w:rPr>
                <w:rFonts w:ascii="Times New Roman" w:cs="Times New Roman" w:eastAsia="Times New Roman" w:hAnsi="Times New Roman"/>
                <w:sz w:val="18"/>
                <w:szCs w:val="18"/>
                <w:b w:val="1"/>
                <w:bCs w:val="1"/>
                <w:color w:val="auto"/>
                <w:w w:val="92"/>
              </w:rPr>
              <w:t>Income</w:t>
            </w:r>
            <w:r>
              <w:rPr>
                <w:rFonts w:ascii="Times New Roman" w:cs="Times New Roman" w:eastAsia="Times New Roman" w:hAnsi="Times New Roman"/>
                <w:sz w:val="29"/>
                <w:szCs w:val="29"/>
                <w:b w:val="1"/>
                <w:bCs w:val="1"/>
                <w:color w:val="auto"/>
                <w:w w:val="92"/>
                <w:vertAlign w:val="superscript"/>
              </w:rPr>
              <w:t>(a)</w:t>
            </w:r>
          </w:p>
        </w:tc>
        <w:tc>
          <w:tcPr>
            <w:tcW w:w="13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Share Amount</w:t>
            </w: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reported amounts</w:t>
            </w:r>
          </w:p>
        </w:tc>
        <w:tc>
          <w:tcPr>
            <w:tcW w:w="6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1,155</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Stericycle transaction and integration costs</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4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(Gain) loss from asset impairments and other, net</w:t>
            </w:r>
            <w:r>
              <w:rPr>
                <w:rFonts w:ascii="Times New Roman" w:cs="Times New Roman" w:eastAsia="Times New Roman" w:hAnsi="Times New Roman"/>
                <w:sz w:val="29"/>
                <w:szCs w:val="29"/>
                <w:color w:val="auto"/>
                <w:vertAlign w:val="superscript"/>
              </w:rPr>
              <w:t>(b)</w:t>
            </w: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0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As adjusted amounts</w:t>
            </w:r>
          </w:p>
        </w:tc>
        <w:tc>
          <w:tcPr>
            <w:tcW w:w="940" w:type="dxa"/>
            <w:vAlign w:val="bottom"/>
            <w:tcBorders>
              <w:bottom w:val="single" w:sz="8" w:color="CCEEFF"/>
            </w:tcBorders>
            <w:gridSpan w:val="2"/>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1,204</w:t>
            </w: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780</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48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Depreciation, depletion and amortization</w:t>
            </w: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770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As adjusted operating EBITDA</w:t>
            </w:r>
          </w:p>
        </w:tc>
        <w:tc>
          <w:tcPr>
            <w:tcW w:w="6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1,974</w:t>
            </w:r>
          </w:p>
        </w:tc>
        <w:tc>
          <w:tcPr>
            <w:tcW w:w="2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 margin</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31.3%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4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10"/>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31, 2024</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20" w:type="dxa"/>
            <w:vAlign w:val="bottom"/>
            <w:gridSpan w:val="3"/>
          </w:tcPr>
          <w:p>
            <w:pPr>
              <w:jc w:val="center"/>
              <w:ind w:right="240"/>
              <w:spacing w:after="0" w:line="191" w:lineRule="exact"/>
              <w:rPr>
                <w:sz w:val="20"/>
                <w:szCs w:val="20"/>
                <w:color w:val="auto"/>
              </w:rPr>
            </w:pPr>
            <w:r>
              <w:rPr>
                <w:rFonts w:ascii="Times New Roman" w:cs="Times New Roman" w:eastAsia="Times New Roman" w:hAnsi="Times New Roman"/>
                <w:sz w:val="18"/>
                <w:szCs w:val="18"/>
                <w:b w:val="1"/>
                <w:bCs w:val="1"/>
                <w:color w:val="auto"/>
                <w:w w:val="98"/>
              </w:rPr>
              <w:t>Income from</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340"/>
              <w:spacing w:after="0" w:line="191" w:lineRule="exact"/>
              <w:rPr>
                <w:sz w:val="20"/>
                <w:szCs w:val="20"/>
                <w:color w:val="auto"/>
              </w:rPr>
            </w:pPr>
            <w:r>
              <w:rPr>
                <w:rFonts w:ascii="Times New Roman" w:cs="Times New Roman" w:eastAsia="Times New Roman" w:hAnsi="Times New Roman"/>
                <w:sz w:val="18"/>
                <w:szCs w:val="18"/>
                <w:b w:val="1"/>
                <w:bCs w:val="1"/>
                <w:color w:val="auto"/>
              </w:rPr>
              <w:t>Pre-tax</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b w:val="1"/>
                <w:bCs w:val="1"/>
                <w:color w:val="auto"/>
                <w:w w:val="93"/>
              </w:rPr>
              <w:t>Tax</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b w:val="1"/>
                <w:bCs w:val="1"/>
                <w:color w:val="auto"/>
              </w:rPr>
              <w:t>Net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b w:val="1"/>
                <w:bCs w:val="1"/>
                <w:color w:val="auto"/>
                <w:w w:val="99"/>
              </w:rPr>
              <w:t>Diluted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4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2"/>
          </w:tcPr>
          <w:p>
            <w:pPr>
              <w:jc w:val="center"/>
              <w:ind w:right="260"/>
              <w:spacing w:after="0" w:line="276" w:lineRule="exact"/>
              <w:rPr>
                <w:sz w:val="20"/>
                <w:szCs w:val="20"/>
                <w:color w:val="auto"/>
              </w:rPr>
            </w:pPr>
            <w:r>
              <w:rPr>
                <w:rFonts w:ascii="Times New Roman" w:cs="Times New Roman" w:eastAsia="Times New Roman" w:hAnsi="Times New Roman"/>
                <w:sz w:val="18"/>
                <w:szCs w:val="18"/>
                <w:b w:val="1"/>
                <w:bCs w:val="1"/>
                <w:color w:val="auto"/>
                <w:w w:val="92"/>
              </w:rPr>
              <w:t>Income</w:t>
            </w:r>
            <w:r>
              <w:rPr>
                <w:rFonts w:ascii="Times New Roman" w:cs="Times New Roman" w:eastAsia="Times New Roman" w:hAnsi="Times New Roman"/>
                <w:sz w:val="29"/>
                <w:szCs w:val="29"/>
                <w:b w:val="1"/>
                <w:bCs w:val="1"/>
                <w:color w:val="auto"/>
                <w:w w:val="92"/>
                <w:vertAlign w:val="superscript"/>
              </w:rPr>
              <w:t>(a)</w:t>
            </w:r>
          </w:p>
        </w:tc>
        <w:tc>
          <w:tcPr>
            <w:tcW w:w="13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Share Amount</w:t>
            </w: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reported amounts</w:t>
            </w:r>
          </w:p>
        </w:tc>
        <w:tc>
          <w:tcPr>
            <w:tcW w:w="6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919</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Stericycle transaction and integration costs</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48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(Gain) loss from asset impairments and other, net</w:t>
            </w:r>
            <w:r>
              <w:rPr>
                <w:rFonts w:ascii="Times New Roman" w:cs="Times New Roman" w:eastAsia="Times New Roman" w:hAnsi="Times New Roman"/>
                <w:sz w:val="29"/>
                <w:szCs w:val="29"/>
                <w:color w:val="auto"/>
                <w:vertAlign w:val="superscript"/>
              </w:rPr>
              <w:t>(c)</w:t>
            </w:r>
          </w:p>
        </w:tc>
        <w:tc>
          <w:tcPr>
            <w:tcW w:w="6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48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adjusted amounts</w:t>
            </w:r>
          </w:p>
        </w:tc>
        <w:tc>
          <w:tcPr>
            <w:tcW w:w="940" w:type="dxa"/>
            <w:vAlign w:val="bottom"/>
            <w:tcBorders>
              <w:bottom w:val="single" w:sz="8" w:color="CCEEFF"/>
            </w:tcBorders>
            <w:gridSpan w:val="2"/>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1,054</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652</w:t>
            </w: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8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adjusted operating EBITDA</w:t>
            </w: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 margin</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3" w:lineRule="exact"/>
        <w:rPr>
          <w:sz w:val="20"/>
          <w:szCs w:val="20"/>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press release table, all references to "Net income" refer to the financial statement line item "Net income attributable to Waste Management, Inc."</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$8 million impairment charge related to the decision to temporarily suspend the operations of a business engaged in accelerating plastic film and wrap recycling capabilities.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relates to a net charge of $13 million to adjust an indirect wholly-owned subsidiary’s estimated potential share of the liability for a proposed environmental remediation plan at a closed site. The tax expense and net income amounts also include a benefit from the determination that a realized loss from a prior period is deductible for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3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11"/>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Three Months Ended December 31, 2025</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Recycling</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Collection</w:t>
            </w: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Processing</w:t>
            </w:r>
          </w:p>
        </w:tc>
        <w:tc>
          <w:tcPr>
            <w:tcW w:w="60" w:type="dxa"/>
            <w:vAlign w:val="bottom"/>
          </w:tcPr>
          <w:p>
            <w:pPr>
              <w:spacing w:after="0"/>
              <w:rPr>
                <w:sz w:val="17"/>
                <w:szCs w:val="17"/>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Renewable</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8"/>
              </w:rPr>
              <w:t>Corporate</w:t>
            </w:r>
          </w:p>
        </w:tc>
        <w:tc>
          <w:tcPr>
            <w:tcW w:w="100" w:type="dxa"/>
            <w:vAlign w:val="bottom"/>
          </w:tcPr>
          <w:p>
            <w:pPr>
              <w:spacing w:after="0"/>
              <w:rPr>
                <w:sz w:val="17"/>
                <w:szCs w:val="17"/>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Legacy</w:t>
            </w: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Healthcare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940" w:type="dxa"/>
            <w:vAlign w:val="bottom"/>
          </w:tcPr>
          <w:p>
            <w:pPr>
              <w:spacing w:after="0"/>
              <w:rPr>
                <w:sz w:val="22"/>
                <w:szCs w:val="22"/>
                <w:color w:val="auto"/>
              </w:rPr>
            </w:pPr>
          </w:p>
        </w:tc>
        <w:tc>
          <w:tcPr>
            <w:tcW w:w="1580" w:type="dxa"/>
            <w:vAlign w:val="bottom"/>
            <w:gridSpan w:val="4"/>
          </w:tcPr>
          <w:p>
            <w:pPr>
              <w:ind w:left="100"/>
              <w:spacing w:after="0" w:line="260" w:lineRule="exact"/>
              <w:rPr>
                <w:sz w:val="20"/>
                <w:szCs w:val="20"/>
                <w:color w:val="auto"/>
              </w:rPr>
            </w:pPr>
            <w:r>
              <w:rPr>
                <w:rFonts w:ascii="Times New Roman" w:cs="Times New Roman" w:eastAsia="Times New Roman" w:hAnsi="Times New Roman"/>
                <w:sz w:val="16"/>
                <w:szCs w:val="16"/>
                <w:b w:val="1"/>
                <w:bCs w:val="1"/>
                <w:color w:val="auto"/>
              </w:rPr>
              <w:t>and Disposal</w:t>
            </w:r>
            <w:r>
              <w:rPr>
                <w:rFonts w:ascii="Times New Roman" w:cs="Times New Roman" w:eastAsia="Times New Roman" w:hAnsi="Times New Roman"/>
                <w:sz w:val="26"/>
                <w:szCs w:val="26"/>
                <w:b w:val="1"/>
                <w:bCs w:val="1"/>
                <w:color w:val="auto"/>
                <w:vertAlign w:val="superscript"/>
              </w:rPr>
              <w:t>(a)(b)</w:t>
            </w:r>
          </w:p>
        </w:tc>
        <w:tc>
          <w:tcPr>
            <w:tcW w:w="1100" w:type="dxa"/>
            <w:vAlign w:val="bottom"/>
            <w:gridSpan w:val="3"/>
          </w:tcPr>
          <w:p>
            <w:pPr>
              <w:jc w:val="center"/>
              <w:ind w:right="220"/>
              <w:spacing w:after="0" w:line="260" w:lineRule="exact"/>
              <w:rPr>
                <w:sz w:val="20"/>
                <w:szCs w:val="20"/>
                <w:color w:val="auto"/>
              </w:rPr>
            </w:pPr>
            <w:r>
              <w:rPr>
                <w:rFonts w:ascii="Times New Roman" w:cs="Times New Roman" w:eastAsia="Times New Roman" w:hAnsi="Times New Roman"/>
                <w:sz w:val="16"/>
                <w:szCs w:val="16"/>
                <w:b w:val="1"/>
                <w:bCs w:val="1"/>
                <w:color w:val="auto"/>
                <w:w w:val="94"/>
              </w:rPr>
              <w:t>and Sales</w:t>
            </w:r>
            <w:r>
              <w:rPr>
                <w:rFonts w:ascii="Times New Roman" w:cs="Times New Roman" w:eastAsia="Times New Roman" w:hAnsi="Times New Roman"/>
                <w:sz w:val="26"/>
                <w:szCs w:val="26"/>
                <w:b w:val="1"/>
                <w:bCs w:val="1"/>
                <w:color w:val="auto"/>
                <w:w w:val="94"/>
                <w:vertAlign w:val="superscript"/>
              </w:rPr>
              <w:t>(a)</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center"/>
              <w:ind w:right="320"/>
              <w:spacing w:after="0" w:line="260" w:lineRule="exact"/>
              <w:rPr>
                <w:sz w:val="20"/>
                <w:szCs w:val="20"/>
                <w:color w:val="auto"/>
              </w:rPr>
            </w:pPr>
            <w:r>
              <w:rPr>
                <w:rFonts w:ascii="Times New Roman" w:cs="Times New Roman" w:eastAsia="Times New Roman" w:hAnsi="Times New Roman"/>
                <w:sz w:val="16"/>
                <w:szCs w:val="16"/>
                <w:b w:val="1"/>
                <w:bCs w:val="1"/>
                <w:color w:val="auto"/>
                <w:w w:val="95"/>
              </w:rPr>
              <w:t>Energy</w:t>
            </w:r>
            <w:r>
              <w:rPr>
                <w:rFonts w:ascii="Times New Roman" w:cs="Times New Roman" w:eastAsia="Times New Roman" w:hAnsi="Times New Roman"/>
                <w:sz w:val="26"/>
                <w:szCs w:val="26"/>
                <w:b w:val="1"/>
                <w:bCs w:val="1"/>
                <w:color w:val="auto"/>
                <w:w w:val="95"/>
                <w:vertAlign w:val="superscript"/>
              </w:rPr>
              <w:t>(b)</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8"/>
              </w:rPr>
              <w:t>and Other</w:t>
            </w:r>
          </w:p>
        </w:tc>
        <w:tc>
          <w:tcPr>
            <w:tcW w:w="100" w:type="dxa"/>
            <w:vAlign w:val="bottom"/>
          </w:tcPr>
          <w:p>
            <w:pPr>
              <w:spacing w:after="0"/>
              <w:rPr>
                <w:sz w:val="22"/>
                <w:szCs w:val="22"/>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Business</w:t>
            </w:r>
          </w:p>
        </w:tc>
        <w:tc>
          <w:tcPr>
            <w:tcW w:w="100" w:type="dxa"/>
            <w:vAlign w:val="bottom"/>
          </w:tcPr>
          <w:p>
            <w:pPr>
              <w:spacing w:after="0"/>
              <w:rPr>
                <w:sz w:val="22"/>
                <w:szCs w:val="22"/>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 WM</w:t>
            </w:r>
          </w:p>
        </w:tc>
        <w:tc>
          <w:tcPr>
            <w:tcW w:w="0" w:type="dxa"/>
            <w:vAlign w:val="bottom"/>
          </w:tcPr>
          <w:p>
            <w:pPr>
              <w:spacing w:after="0"/>
              <w:rPr>
                <w:sz w:val="1"/>
                <w:szCs w:val="1"/>
                <w:color w:val="auto"/>
              </w:rPr>
            </w:pPr>
          </w:p>
        </w:tc>
      </w:tr>
      <w:tr>
        <w:trPr>
          <w:trHeight w:val="196"/>
        </w:trPr>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revenues, as reported</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5,180</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355</w:t>
            </w: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157</w:t>
            </w: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5,698</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615</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6,313</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from operations, as reported</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1,503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w:t>
            </w:r>
          </w:p>
        </w:tc>
        <w:tc>
          <w:tcPr>
            <w:tcW w:w="2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(397)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1,178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(23)</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1,155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depletion and amortization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EBITDA, as reported</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w:t>
            </w: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w:t>
            </w: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(319)</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1,838</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1,925</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Stericycle transaction and integration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loss from asset impairments and</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net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9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60" w:type="dxa"/>
            <w:vAlign w:val="bottom"/>
            <w:tcBorders>
              <w:bottom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operating EBITDA</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w:t>
            </w:r>
          </w:p>
        </w:tc>
        <w:tc>
          <w:tcPr>
            <w:tcW w:w="2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w:t>
            </w:r>
          </w:p>
        </w:tc>
        <w:tc>
          <w:tcPr>
            <w:tcW w:w="2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(304</w:t>
            </w:r>
          </w:p>
        </w:tc>
        <w:tc>
          <w:tcPr>
            <w:tcW w:w="2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1,869</w:t>
            </w: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1,974</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EBITDA margin, as reported</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39.0%</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16.9%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49.7%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N/A</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32.3%</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14.1%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operating EBITDA margin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39.0%</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50.3%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N/A</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32.8%</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17.1%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11"/>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Three Months Ended December 31, 2024</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Recycling</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Collection</w:t>
            </w: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Processing</w:t>
            </w:r>
          </w:p>
        </w:tc>
        <w:tc>
          <w:tcPr>
            <w:tcW w:w="60" w:type="dxa"/>
            <w:vAlign w:val="bottom"/>
          </w:tcPr>
          <w:p>
            <w:pPr>
              <w:spacing w:after="0"/>
              <w:rPr>
                <w:sz w:val="17"/>
                <w:szCs w:val="17"/>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Renewable</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8"/>
              </w:rPr>
              <w:t>Corporate</w:t>
            </w:r>
          </w:p>
        </w:tc>
        <w:tc>
          <w:tcPr>
            <w:tcW w:w="100" w:type="dxa"/>
            <w:vAlign w:val="bottom"/>
          </w:tcPr>
          <w:p>
            <w:pPr>
              <w:spacing w:after="0"/>
              <w:rPr>
                <w:sz w:val="17"/>
                <w:szCs w:val="17"/>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Legacy</w:t>
            </w: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Healthcare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940" w:type="dxa"/>
            <w:vAlign w:val="bottom"/>
          </w:tcPr>
          <w:p>
            <w:pPr>
              <w:spacing w:after="0"/>
              <w:rPr>
                <w:sz w:val="22"/>
                <w:szCs w:val="22"/>
                <w:color w:val="auto"/>
              </w:rPr>
            </w:pPr>
          </w:p>
        </w:tc>
        <w:tc>
          <w:tcPr>
            <w:tcW w:w="1580" w:type="dxa"/>
            <w:vAlign w:val="bottom"/>
            <w:gridSpan w:val="4"/>
          </w:tcPr>
          <w:p>
            <w:pPr>
              <w:ind w:left="100"/>
              <w:spacing w:after="0" w:line="260" w:lineRule="exact"/>
              <w:rPr>
                <w:sz w:val="20"/>
                <w:szCs w:val="20"/>
                <w:color w:val="auto"/>
              </w:rPr>
            </w:pPr>
            <w:r>
              <w:rPr>
                <w:rFonts w:ascii="Times New Roman" w:cs="Times New Roman" w:eastAsia="Times New Roman" w:hAnsi="Times New Roman"/>
                <w:sz w:val="16"/>
                <w:szCs w:val="16"/>
                <w:b w:val="1"/>
                <w:bCs w:val="1"/>
                <w:color w:val="auto"/>
              </w:rPr>
              <w:t>and Disposal</w:t>
            </w:r>
            <w:r>
              <w:rPr>
                <w:rFonts w:ascii="Times New Roman" w:cs="Times New Roman" w:eastAsia="Times New Roman" w:hAnsi="Times New Roman"/>
                <w:sz w:val="26"/>
                <w:szCs w:val="26"/>
                <w:b w:val="1"/>
                <w:bCs w:val="1"/>
                <w:color w:val="auto"/>
                <w:vertAlign w:val="superscript"/>
              </w:rPr>
              <w:t>(a)(b)</w:t>
            </w:r>
          </w:p>
        </w:tc>
        <w:tc>
          <w:tcPr>
            <w:tcW w:w="1100" w:type="dxa"/>
            <w:vAlign w:val="bottom"/>
            <w:gridSpan w:val="3"/>
          </w:tcPr>
          <w:p>
            <w:pPr>
              <w:jc w:val="center"/>
              <w:ind w:right="220"/>
              <w:spacing w:after="0" w:line="260" w:lineRule="exact"/>
              <w:rPr>
                <w:sz w:val="20"/>
                <w:szCs w:val="20"/>
                <w:color w:val="auto"/>
              </w:rPr>
            </w:pPr>
            <w:r>
              <w:rPr>
                <w:rFonts w:ascii="Times New Roman" w:cs="Times New Roman" w:eastAsia="Times New Roman" w:hAnsi="Times New Roman"/>
                <w:sz w:val="16"/>
                <w:szCs w:val="16"/>
                <w:b w:val="1"/>
                <w:bCs w:val="1"/>
                <w:color w:val="auto"/>
                <w:w w:val="94"/>
              </w:rPr>
              <w:t>and Sales</w:t>
            </w:r>
            <w:r>
              <w:rPr>
                <w:rFonts w:ascii="Times New Roman" w:cs="Times New Roman" w:eastAsia="Times New Roman" w:hAnsi="Times New Roman"/>
                <w:sz w:val="26"/>
                <w:szCs w:val="26"/>
                <w:b w:val="1"/>
                <w:bCs w:val="1"/>
                <w:color w:val="auto"/>
                <w:w w:val="94"/>
                <w:vertAlign w:val="superscript"/>
              </w:rPr>
              <w:t>(a)</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center"/>
              <w:ind w:right="320"/>
              <w:spacing w:after="0" w:line="260" w:lineRule="exact"/>
              <w:rPr>
                <w:sz w:val="20"/>
                <w:szCs w:val="20"/>
                <w:color w:val="auto"/>
              </w:rPr>
            </w:pPr>
            <w:r>
              <w:rPr>
                <w:rFonts w:ascii="Times New Roman" w:cs="Times New Roman" w:eastAsia="Times New Roman" w:hAnsi="Times New Roman"/>
                <w:sz w:val="16"/>
                <w:szCs w:val="16"/>
                <w:b w:val="1"/>
                <w:bCs w:val="1"/>
                <w:color w:val="auto"/>
                <w:w w:val="95"/>
              </w:rPr>
              <w:t>Energy</w:t>
            </w:r>
            <w:r>
              <w:rPr>
                <w:rFonts w:ascii="Times New Roman" w:cs="Times New Roman" w:eastAsia="Times New Roman" w:hAnsi="Times New Roman"/>
                <w:sz w:val="26"/>
                <w:szCs w:val="26"/>
                <w:b w:val="1"/>
                <w:bCs w:val="1"/>
                <w:color w:val="auto"/>
                <w:w w:val="95"/>
                <w:vertAlign w:val="superscript"/>
              </w:rPr>
              <w:t>(b)</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8"/>
              </w:rPr>
              <w:t>and Other</w:t>
            </w:r>
          </w:p>
        </w:tc>
        <w:tc>
          <w:tcPr>
            <w:tcW w:w="100" w:type="dxa"/>
            <w:vAlign w:val="bottom"/>
          </w:tcPr>
          <w:p>
            <w:pPr>
              <w:spacing w:after="0"/>
              <w:rPr>
                <w:sz w:val="22"/>
                <w:szCs w:val="22"/>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Business</w:t>
            </w:r>
          </w:p>
        </w:tc>
        <w:tc>
          <w:tcPr>
            <w:tcW w:w="100" w:type="dxa"/>
            <w:vAlign w:val="bottom"/>
          </w:tcPr>
          <w:p>
            <w:pPr>
              <w:spacing w:after="0"/>
              <w:rPr>
                <w:sz w:val="22"/>
                <w:szCs w:val="22"/>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 WM</w:t>
            </w:r>
          </w:p>
        </w:tc>
        <w:tc>
          <w:tcPr>
            <w:tcW w:w="0" w:type="dxa"/>
            <w:vAlign w:val="bottom"/>
          </w:tcPr>
          <w:p>
            <w:pPr>
              <w:spacing w:after="0"/>
              <w:rPr>
                <w:sz w:val="1"/>
                <w:szCs w:val="1"/>
                <w:color w:val="auto"/>
              </w:rPr>
            </w:pPr>
          </w:p>
        </w:tc>
      </w:tr>
      <w:tr>
        <w:trPr>
          <w:trHeight w:val="196"/>
        </w:trPr>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revenues, as reported</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4,994</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398</w:t>
            </w: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w:t>
            </w: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5,490</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403</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5,893</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13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16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10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140" w:type="dxa"/>
            <w:vAlign w:val="bottom"/>
            <w:gridSpan w:val="2"/>
          </w:tcPr>
          <w:p>
            <w:pPr>
              <w:spacing w:after="0"/>
              <w:rPr>
                <w:sz w:val="17"/>
                <w:szCs w:val="17"/>
                <w:color w:val="auto"/>
              </w:rPr>
            </w:pPr>
          </w:p>
        </w:tc>
        <w:tc>
          <w:tcPr>
            <w:tcW w:w="9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from operations, as reported</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1,380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w:t>
            </w:r>
          </w:p>
        </w:tc>
        <w:tc>
          <w:tcPr>
            <w:tcW w:w="2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988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(69)</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919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depletion and amortization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EBITDA, as reported</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1,864</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w:t>
            </w: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w:t>
            </w: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(394)</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1,567</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1,571</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Stericycle transaction and integration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loss from asset impairments and</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net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9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60" w:type="dxa"/>
            <w:vAlign w:val="bottom"/>
            <w:tcBorders>
              <w:bottom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operating EBITDA</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1,869</w:t>
            </w: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w:t>
            </w:r>
          </w:p>
        </w:tc>
        <w:tc>
          <w:tcPr>
            <w:tcW w:w="2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w:t>
            </w:r>
          </w:p>
        </w:tc>
        <w:tc>
          <w:tcPr>
            <w:tcW w:w="2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(324</w:t>
            </w:r>
          </w:p>
        </w:tc>
        <w:tc>
          <w:tcPr>
            <w:tcW w:w="2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1,645</w:t>
            </w: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1,706</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EBITDA margin, as reported</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37.3%</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13.8%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45.2%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N/A</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28.5%</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operating EBITDA margin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37.4%</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14.6%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45.2%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N/A</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30.0%</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15.1%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7830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3" w:lineRule="exact"/>
        <w:rPr>
          <w:sz w:val="20"/>
          <w:szCs w:val="20"/>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fees related to the processing of recycled material we collect are included within our Collection and Disposal businesses. The total amount of such fees in income from operations for the three months ended December 31, 2025 and 2024 is $16 million and $23 million, respectively.</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Renewable Energy pays a 15% intercompany royalty to our Collection and Disposal businesses for landfill gas. The total amount of royalties in income from operations for the three months ended December 31, 2025 and 2024 is $24 million and $14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8"/>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1440" w:type="dxa"/>
            <w:vAlign w:val="bottom"/>
            <w:gridSpan w:val="3"/>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Income from</w:t>
            </w:r>
          </w:p>
        </w:tc>
        <w:tc>
          <w:tcPr>
            <w:tcW w:w="180" w:type="dxa"/>
            <w:vAlign w:val="bottom"/>
          </w:tcPr>
          <w:p>
            <w:pPr>
              <w:spacing w:after="0"/>
              <w:rPr>
                <w:sz w:val="16"/>
                <w:szCs w:val="16"/>
                <w:color w:val="auto"/>
              </w:rPr>
            </w:pPr>
          </w:p>
        </w:tc>
        <w:tc>
          <w:tcPr>
            <w:tcW w:w="1140" w:type="dxa"/>
            <w:vAlign w:val="bottom"/>
            <w:gridSpan w:val="2"/>
          </w:tcPr>
          <w:p>
            <w:pPr>
              <w:jc w:val="right"/>
              <w:ind w:right="480"/>
              <w:spacing w:after="0" w:line="188" w:lineRule="exact"/>
              <w:rPr>
                <w:sz w:val="20"/>
                <w:szCs w:val="20"/>
                <w:color w:val="auto"/>
              </w:rPr>
            </w:pPr>
            <w:r>
              <w:rPr>
                <w:rFonts w:ascii="Times New Roman" w:cs="Times New Roman" w:eastAsia="Times New Roman" w:hAnsi="Times New Roman"/>
                <w:sz w:val="18"/>
                <w:szCs w:val="18"/>
                <w:b w:val="1"/>
                <w:bCs w:val="1"/>
                <w:color w:val="auto"/>
              </w:rPr>
              <w:t>Pre-tax</w:t>
            </w:r>
          </w:p>
        </w:tc>
        <w:tc>
          <w:tcPr>
            <w:tcW w:w="160" w:type="dxa"/>
            <w:vAlign w:val="bottom"/>
          </w:tcPr>
          <w:p>
            <w:pPr>
              <w:spacing w:after="0"/>
              <w:rPr>
                <w:sz w:val="16"/>
                <w:szCs w:val="16"/>
                <w:color w:val="auto"/>
              </w:rPr>
            </w:pPr>
          </w:p>
        </w:tc>
        <w:tc>
          <w:tcPr>
            <w:tcW w:w="1160" w:type="dxa"/>
            <w:vAlign w:val="bottom"/>
            <w:gridSpan w:val="2"/>
          </w:tcPr>
          <w:p>
            <w:pPr>
              <w:jc w:val="right"/>
              <w:ind w:right="620"/>
              <w:spacing w:after="0" w:line="188" w:lineRule="exact"/>
              <w:rPr>
                <w:sz w:val="20"/>
                <w:szCs w:val="20"/>
                <w:color w:val="auto"/>
              </w:rPr>
            </w:pPr>
            <w:r>
              <w:rPr>
                <w:rFonts w:ascii="Times New Roman" w:cs="Times New Roman" w:eastAsia="Times New Roman" w:hAnsi="Times New Roman"/>
                <w:sz w:val="18"/>
                <w:szCs w:val="18"/>
                <w:b w:val="1"/>
                <w:bCs w:val="1"/>
                <w:color w:val="auto"/>
              </w:rPr>
              <w:t>Tax</w:t>
            </w:r>
          </w:p>
        </w:tc>
        <w:tc>
          <w:tcPr>
            <w:tcW w:w="140" w:type="dxa"/>
            <w:vAlign w:val="bottom"/>
          </w:tcPr>
          <w:p>
            <w:pPr>
              <w:spacing w:after="0"/>
              <w:rPr>
                <w:sz w:val="16"/>
                <w:szCs w:val="16"/>
                <w:color w:val="auto"/>
              </w:rPr>
            </w:pPr>
          </w:p>
        </w:tc>
        <w:tc>
          <w:tcPr>
            <w:tcW w:w="1180" w:type="dxa"/>
            <w:vAlign w:val="bottom"/>
            <w:gridSpan w:val="2"/>
          </w:tcPr>
          <w:p>
            <w:pPr>
              <w:jc w:val="right"/>
              <w:ind w:right="62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6"/>
                <w:szCs w:val="16"/>
                <w:color w:val="auto"/>
              </w:rPr>
            </w:pPr>
          </w:p>
        </w:tc>
        <w:tc>
          <w:tcPr>
            <w:tcW w:w="102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Diluted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5"/>
              </w:rPr>
              <w:t>Income</w:t>
            </w:r>
            <w:r>
              <w:rPr>
                <w:rFonts w:ascii="Times New Roman" w:cs="Times New Roman" w:eastAsia="Times New Roman" w:hAnsi="Times New Roman"/>
                <w:sz w:val="29"/>
                <w:szCs w:val="29"/>
                <w:b w:val="1"/>
                <w:bCs w:val="1"/>
                <w:color w:val="auto"/>
                <w:w w:val="95"/>
                <w:vertAlign w:val="superscript"/>
              </w:rPr>
              <w:t>(a)</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14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reported amounts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4,308</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Stericycle transaction and integration costs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62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(Gain) loss from asset impairments and other, net</w:t>
            </w:r>
            <w:r>
              <w:rPr>
                <w:rFonts w:ascii="Times New Roman" w:cs="Times New Roman" w:eastAsia="Times New Roman" w:hAnsi="Times New Roman"/>
                <w:sz w:val="29"/>
                <w:szCs w:val="29"/>
                <w:color w:val="auto"/>
                <w:vertAlign w:val="superscript"/>
              </w:rPr>
              <w:t>(b)</w:t>
            </w:r>
          </w:p>
        </w:tc>
        <w:tc>
          <w:tcPr>
            <w:tcW w:w="120" w:type="dxa"/>
            <w:vAlign w:val="bottom"/>
          </w:tcPr>
          <w:p>
            <w:pPr>
              <w:spacing w:after="0"/>
              <w:rPr>
                <w:sz w:val="23"/>
                <w:szCs w:val="23"/>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274</w:t>
            </w:r>
          </w:p>
        </w:tc>
        <w:tc>
          <w:tcPr>
            <w:tcW w:w="18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w:t>
            </w:r>
          </w:p>
        </w:tc>
        <w:tc>
          <w:tcPr>
            <w:tcW w:w="16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0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As adjusted amounts</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4,719</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3,837</w:t>
            </w: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805</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3,031</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620" w:type="dxa"/>
            <w:vAlign w:val="bottom"/>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Depreciation, depletion and amortization</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2,863</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As adjusted operating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7,582</w:t>
            </w:r>
          </w:p>
        </w:tc>
        <w:tc>
          <w:tcPr>
            <w:tcW w:w="3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Adjusted operating EBITDA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reported amounts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Stericycle transaction and integration costs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Loss on early extinguishment of debt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Collective bargaining agreement costs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(Gain) loss from asset impairments and other, net</w:t>
      </w:r>
      <w:r>
        <w:rPr>
          <w:rFonts w:ascii="Times New Roman" w:cs="Times New Roman" w:eastAsia="Times New Roman" w:hAnsi="Times New Roman"/>
          <w:sz w:val="28"/>
          <w:szCs w:val="28"/>
          <w:color w:val="auto"/>
          <w:vertAlign w:val="superscript"/>
        </w:rPr>
        <w:t>(c)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adjusted amounts</w:t>
      </w:r>
    </w:p>
    <w:p>
      <w:pPr>
        <w:spacing w:after="0" w:line="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Depreciation, depletion and amortization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adjusted operating EBITDA</w:t>
      </w:r>
    </w:p>
    <w:p>
      <w:pPr>
        <w:spacing w:after="0" w:line="20" w:lineRule="exact"/>
        <w:rPr>
          <w:sz w:val="20"/>
          <w:szCs w:val="20"/>
          <w:color w:val="auto"/>
        </w:rPr>
      </w:pPr>
      <w:r>
        <w:rPr>
          <w:sz w:val="20"/>
          <w:szCs w:val="20"/>
          <w:color w:val="auto"/>
        </w:rPr>
        <w:br w:type="column"/>
      </w:r>
    </w:p>
    <w:p>
      <w:pPr>
        <w:ind w:left="820"/>
        <w:spacing w:after="0"/>
        <w:rPr>
          <w:sz w:val="20"/>
          <w:szCs w:val="20"/>
          <w:color w:val="auto"/>
        </w:rPr>
      </w:pPr>
      <w:r>
        <w:rPr>
          <w:rFonts w:ascii="Times New Roman" w:cs="Times New Roman" w:eastAsia="Times New Roman" w:hAnsi="Times New Roman"/>
          <w:sz w:val="18"/>
          <w:szCs w:val="18"/>
          <w:b w:val="1"/>
          <w:bCs w:val="1"/>
          <w:color w:val="auto"/>
        </w:rPr>
        <w:t>30.1%</w:t>
      </w:r>
    </w:p>
    <w:p>
      <w:pPr>
        <w:spacing w:after="0" w:line="216"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40" w:type="dxa"/>
            <w:vAlign w:val="bottom"/>
            <w:tcBorders>
              <w:top w:val="single" w:sz="8" w:color="auto"/>
            </w:tcBorders>
            <w:gridSpan w:val="3"/>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Income from</w:t>
            </w: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480"/>
              <w:spacing w:after="0" w:line="188" w:lineRule="exact"/>
              <w:rPr>
                <w:sz w:val="20"/>
                <w:szCs w:val="20"/>
                <w:color w:val="auto"/>
              </w:rPr>
            </w:pPr>
            <w:r>
              <w:rPr>
                <w:rFonts w:ascii="Times New Roman" w:cs="Times New Roman" w:eastAsia="Times New Roman" w:hAnsi="Times New Roman"/>
                <w:sz w:val="18"/>
                <w:szCs w:val="18"/>
                <w:b w:val="1"/>
                <w:bCs w:val="1"/>
                <w:color w:val="auto"/>
              </w:rPr>
              <w:t>Pre-tax</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620"/>
              <w:spacing w:after="0" w:line="188" w:lineRule="exact"/>
              <w:rPr>
                <w:sz w:val="20"/>
                <w:szCs w:val="20"/>
                <w:color w:val="auto"/>
              </w:rPr>
            </w:pPr>
            <w:r>
              <w:rPr>
                <w:rFonts w:ascii="Times New Roman" w:cs="Times New Roman" w:eastAsia="Times New Roman" w:hAnsi="Times New Roman"/>
                <w:sz w:val="18"/>
                <w:szCs w:val="18"/>
                <w:b w:val="1"/>
                <w:bCs w:val="1"/>
                <w:color w:val="auto"/>
              </w:rPr>
              <w:t>Tax</w:t>
            </w: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3"/>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Diluted Per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2"/>
              </w:rPr>
              <w:t>Income</w:t>
            </w:r>
            <w:r>
              <w:rPr>
                <w:rFonts w:ascii="Times New Roman" w:cs="Times New Roman" w:eastAsia="Times New Roman" w:hAnsi="Times New Roman"/>
                <w:sz w:val="29"/>
                <w:szCs w:val="29"/>
                <w:b w:val="1"/>
                <w:bCs w:val="1"/>
                <w:color w:val="auto"/>
                <w:w w:val="92"/>
                <w:vertAlign w:val="superscript"/>
              </w:rPr>
              <w:t>(a)</w:t>
            </w: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140" w:type="dxa"/>
            <w:vAlign w:val="bottom"/>
          </w:tcPr>
          <w:p>
            <w:pPr>
              <w:spacing w:after="0"/>
              <w:rPr>
                <w:sz w:val="20"/>
                <w:szCs w:val="20"/>
                <w:color w:val="auto"/>
              </w:rPr>
            </w:pPr>
          </w:p>
        </w:tc>
        <w:tc>
          <w:tcPr>
            <w:tcW w:w="118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32"/>
        </w:trPr>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4,063</w:t>
            </w:r>
          </w:p>
        </w:tc>
        <w:tc>
          <w:tcPr>
            <w:tcW w:w="300" w:type="dxa"/>
            <w:vAlign w:val="bottom"/>
          </w:tcPr>
          <w:p>
            <w:pPr>
              <w:spacing w:after="0"/>
              <w:rPr>
                <w:sz w:val="20"/>
                <w:szCs w:val="20"/>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3,458</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713</w:t>
            </w: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0" w:type="dxa"/>
            <w:vAlign w:val="bottom"/>
          </w:tcPr>
          <w:p>
            <w:pPr>
              <w:spacing w:after="0"/>
              <w:rPr>
                <w:sz w:val="24"/>
                <w:szCs w:val="24"/>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160</w:t>
            </w:r>
          </w:p>
        </w:tc>
        <w:tc>
          <w:tcPr>
            <w:tcW w:w="1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24"/>
                <w:szCs w:val="24"/>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23"/>
                <w:szCs w:val="23"/>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10"/>
        </w:trPr>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4,296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3,698</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783</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2,916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7.23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3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2,267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-1327785</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-1045210</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-770890</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-462280</wp:posOffset>
            </wp:positionV>
            <wp:extent cx="71323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-153670</wp:posOffset>
            </wp:positionV>
            <wp:extent cx="7132320" cy="162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740" w:hanging="735"/>
        <w:spacing w:after="0"/>
        <w:tabs>
          <w:tab w:leader="none" w:pos="7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6,563</w:t>
      </w:r>
    </w:p>
    <w:p>
      <w:pPr>
        <w:spacing w:after="0" w:line="31" w:lineRule="exact"/>
        <w:rPr>
          <w:sz w:val="20"/>
          <w:szCs w:val="20"/>
          <w:color w:val="auto"/>
        </w:rPr>
      </w:pPr>
    </w:p>
    <w:p>
      <w:pPr>
        <w:sectPr>
          <w:pgSz w:w="11900" w:h="16838" w:orient="portrait"/>
          <w:cols w:equalWidth="0" w:num="2">
            <w:col w:w="3900" w:space="720"/>
            <w:col w:w="662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462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5480" w:type="dxa"/>
            <w:vAlign w:val="bottom"/>
            <w:tcBorders>
              <w:top w:val="single" w:sz="8" w:color="CCEEFF"/>
            </w:tcBorders>
            <w:shd w:val="clear" w:color="auto" w:fill="CCEEFF"/>
          </w:tcPr>
          <w:p>
            <w:pPr>
              <w:spacing w:after="0"/>
              <w:rPr>
                <w:sz w:val="20"/>
                <w:szCs w:val="20"/>
                <w:color w:val="auto"/>
              </w:rPr>
            </w:pPr>
          </w:p>
        </w:tc>
      </w:t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 margin</w:t>
            </w:r>
          </w:p>
        </w:tc>
        <w:tc>
          <w:tcPr>
            <w:tcW w:w="6620" w:type="dxa"/>
            <w:vAlign w:val="bottom"/>
            <w:gridSpan w:val="2"/>
          </w:tcPr>
          <w:p>
            <w:pPr>
              <w:jc w:val="right"/>
              <w:ind w:right="5300"/>
              <w:spacing w:after="0"/>
              <w:rPr>
                <w:sz w:val="20"/>
                <w:szCs w:val="20"/>
                <w:color w:val="auto"/>
              </w:rPr>
            </w:pPr>
            <w:r>
              <w:rPr>
                <w:rFonts w:ascii="Times New Roman" w:cs="Times New Roman" w:eastAsia="Times New Roman" w:hAnsi="Times New Roman"/>
                <w:sz w:val="18"/>
                <w:szCs w:val="18"/>
                <w:b w:val="1"/>
                <w:bCs w:val="1"/>
                <w:color w:val="auto"/>
              </w:rPr>
              <w:t>29.7%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7830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0" w:lineRule="exact"/>
        <w:rPr>
          <w:sz w:val="20"/>
          <w:szCs w:val="20"/>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press release table, all references to "Net income" refer to the financial statement line item "Net income attributable to Waste Management, Inc."</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(i) a $162 million impairment charge related to the decision to temporarily suspend the operations of a business engaged in accelerating plastic film and wrap recycling capabilities; (ii) a $45 million impairment charge related to the decision to accelerate the closure of a landfill within our East Tier; (iii) a $16 million goodwill impairment charge related to a business engaged in oil recovery and sludge processing services within our Collection and Disposal businesses and (iv) an $11 million negotiated payment for early termination of a contract in our Renewable Energy segment.</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charges consisting of a $54 million charge required to increase the estimated fair value of a liability associated with the expected disposition of an investment the Company holds in a waste diversion technology business and a $13 million charge to adjust an indirect wholly-owned subsidiary’s estimated potential share of the liability for a proposed environmental remediation plan at a closed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revenues, as reported</w:t>
      </w:r>
    </w:p>
    <w:p>
      <w:pPr>
        <w:spacing w:after="0" w:line="235" w:lineRule="exact"/>
        <w:rPr>
          <w:sz w:val="20"/>
          <w:szCs w:val="20"/>
          <w:color w:val="auto"/>
        </w:rPr>
      </w:pPr>
    </w:p>
    <w:p>
      <w:pPr>
        <w:ind w:left="180" w:hanging="161"/>
        <w:spacing w:after="0" w:line="272" w:lineRule="auto"/>
        <w:rPr>
          <w:sz w:val="20"/>
          <w:szCs w:val="20"/>
          <w:color w:val="auto"/>
        </w:rPr>
      </w:pPr>
      <w:r>
        <w:rPr>
          <w:rFonts w:ascii="Times New Roman" w:cs="Times New Roman" w:eastAsia="Times New Roman" w:hAnsi="Times New Roman"/>
          <w:sz w:val="16"/>
          <w:szCs w:val="16"/>
          <w:b w:val="1"/>
          <w:bCs w:val="1"/>
          <w:color w:val="auto"/>
        </w:rPr>
        <w:t xml:space="preserve">Income from operations, as reported </w:t>
      </w:r>
      <w:r>
        <w:rPr>
          <w:rFonts w:ascii="Times New Roman" w:cs="Times New Roman" w:eastAsia="Times New Roman" w:hAnsi="Times New Roman"/>
          <w:sz w:val="16"/>
          <w:szCs w:val="16"/>
          <w:color w:val="auto"/>
        </w:rPr>
        <w:t>Depreciation, depletion and amortization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EBITDA, as reported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Adjustments:</w:t>
      </w:r>
    </w:p>
    <w:p>
      <w:pPr>
        <w:spacing w:after="0" w:line="28" w:lineRule="exact"/>
        <w:rPr>
          <w:sz w:val="20"/>
          <w:szCs w:val="20"/>
          <w:color w:val="auto"/>
        </w:rPr>
      </w:pPr>
    </w:p>
    <w:p>
      <w:pPr>
        <w:ind w:left="340" w:right="240" w:hanging="161"/>
        <w:spacing w:after="0" w:line="264" w:lineRule="auto"/>
        <w:rPr>
          <w:sz w:val="20"/>
          <w:szCs w:val="20"/>
          <w:color w:val="auto"/>
        </w:rPr>
      </w:pPr>
      <w:r>
        <w:rPr>
          <w:rFonts w:ascii="Times New Roman" w:cs="Times New Roman" w:eastAsia="Times New Roman" w:hAnsi="Times New Roman"/>
          <w:sz w:val="16"/>
          <w:szCs w:val="16"/>
          <w:color w:val="auto"/>
        </w:rPr>
        <w:t>Stericycle transaction and integration costs</w:t>
      </w:r>
    </w:p>
    <w:p>
      <w:pPr>
        <w:ind w:left="340" w:right="100" w:hanging="161"/>
        <w:spacing w:after="0" w:line="286" w:lineRule="auto"/>
        <w:rPr>
          <w:sz w:val="20"/>
          <w:szCs w:val="20"/>
          <w:color w:val="auto"/>
        </w:rPr>
      </w:pPr>
      <w:r>
        <w:rPr>
          <w:rFonts w:ascii="Times New Roman" w:cs="Times New Roman" w:eastAsia="Times New Roman" w:hAnsi="Times New Roman"/>
          <w:sz w:val="16"/>
          <w:szCs w:val="16"/>
          <w:color w:val="auto"/>
        </w:rPr>
        <w:t>(Gain) loss from asset impairments and other, net</w:t>
      </w:r>
    </w:p>
    <w:p>
      <w:pPr>
        <w:spacing w:after="0" w:line="20" w:lineRule="exact"/>
        <w:rPr>
          <w:sz w:val="20"/>
          <w:szCs w:val="20"/>
          <w:color w:val="auto"/>
        </w:rPr>
      </w:pPr>
      <w:r>
        <w:rPr>
          <w:sz w:val="20"/>
          <w:szCs w:val="20"/>
          <w:color w:val="auto"/>
        </w:rPr>
        <w:br w:type="column"/>
      </w:r>
    </w:p>
    <w:p>
      <w:pPr>
        <w:jc w:val="center"/>
        <w:ind w:right="304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3040"/>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3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Year Ended December 31,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Recycling</w:t>
            </w: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Collection</w:t>
            </w: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Processing</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Renewable</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8"/>
              </w:rPr>
              <w:t>Corporate</w:t>
            </w:r>
          </w:p>
        </w:tc>
        <w:tc>
          <w:tcPr>
            <w:tcW w:w="100" w:type="dxa"/>
            <w:vAlign w:val="bottom"/>
          </w:tcPr>
          <w:p>
            <w:pPr>
              <w:spacing w:after="0"/>
              <w:rPr>
                <w:sz w:val="17"/>
                <w:szCs w:val="17"/>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Legacy</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Healthcare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0"/>
        </w:trPr>
        <w:tc>
          <w:tcPr>
            <w:tcW w:w="1480" w:type="dxa"/>
            <w:vAlign w:val="bottom"/>
            <w:gridSpan w:val="4"/>
          </w:tcPr>
          <w:p>
            <w:pPr>
              <w:spacing w:after="0" w:line="260" w:lineRule="exact"/>
              <w:rPr>
                <w:sz w:val="20"/>
                <w:szCs w:val="20"/>
                <w:color w:val="auto"/>
              </w:rPr>
            </w:pPr>
            <w:r>
              <w:rPr>
                <w:rFonts w:ascii="Times New Roman" w:cs="Times New Roman" w:eastAsia="Times New Roman" w:hAnsi="Times New Roman"/>
                <w:sz w:val="16"/>
                <w:szCs w:val="16"/>
                <w:b w:val="1"/>
                <w:bCs w:val="1"/>
                <w:color w:val="auto"/>
              </w:rPr>
              <w:t>and Disposal</w:t>
            </w:r>
            <w:r>
              <w:rPr>
                <w:rFonts w:ascii="Times New Roman" w:cs="Times New Roman" w:eastAsia="Times New Roman" w:hAnsi="Times New Roman"/>
                <w:sz w:val="26"/>
                <w:szCs w:val="26"/>
                <w:b w:val="1"/>
                <w:bCs w:val="1"/>
                <w:color w:val="auto"/>
                <w:vertAlign w:val="superscript"/>
              </w:rPr>
              <w:t>(a)(b)</w:t>
            </w:r>
          </w:p>
        </w:tc>
        <w:tc>
          <w:tcPr>
            <w:tcW w:w="1160" w:type="dxa"/>
            <w:vAlign w:val="bottom"/>
            <w:gridSpan w:val="3"/>
          </w:tcPr>
          <w:p>
            <w:pPr>
              <w:jc w:val="center"/>
              <w:ind w:right="280"/>
              <w:spacing w:after="0" w:line="260" w:lineRule="exact"/>
              <w:rPr>
                <w:sz w:val="20"/>
                <w:szCs w:val="20"/>
                <w:color w:val="auto"/>
              </w:rPr>
            </w:pPr>
            <w:r>
              <w:rPr>
                <w:rFonts w:ascii="Times New Roman" w:cs="Times New Roman" w:eastAsia="Times New Roman" w:hAnsi="Times New Roman"/>
                <w:sz w:val="16"/>
                <w:szCs w:val="16"/>
                <w:b w:val="1"/>
                <w:bCs w:val="1"/>
                <w:color w:val="auto"/>
                <w:w w:val="94"/>
              </w:rPr>
              <w:t>and Sales</w:t>
            </w:r>
            <w:r>
              <w:rPr>
                <w:rFonts w:ascii="Times New Roman" w:cs="Times New Roman" w:eastAsia="Times New Roman" w:hAnsi="Times New Roman"/>
                <w:sz w:val="26"/>
                <w:szCs w:val="26"/>
                <w:b w:val="1"/>
                <w:bCs w:val="1"/>
                <w:color w:val="auto"/>
                <w:w w:val="94"/>
                <w:vertAlign w:val="superscript"/>
              </w:rPr>
              <w:t>(a)</w:t>
            </w:r>
          </w:p>
        </w:tc>
        <w:tc>
          <w:tcPr>
            <w:tcW w:w="100" w:type="dxa"/>
            <w:vAlign w:val="bottom"/>
          </w:tcPr>
          <w:p>
            <w:pPr>
              <w:spacing w:after="0"/>
              <w:rPr>
                <w:sz w:val="22"/>
                <w:szCs w:val="22"/>
                <w:color w:val="auto"/>
              </w:rPr>
            </w:pPr>
          </w:p>
        </w:tc>
        <w:tc>
          <w:tcPr>
            <w:tcW w:w="780" w:type="dxa"/>
            <w:vAlign w:val="bottom"/>
          </w:tcPr>
          <w:p>
            <w:pPr>
              <w:jc w:val="right"/>
              <w:ind w:right="19"/>
              <w:spacing w:after="0" w:line="260" w:lineRule="exact"/>
              <w:rPr>
                <w:sz w:val="20"/>
                <w:szCs w:val="20"/>
                <w:color w:val="auto"/>
              </w:rPr>
            </w:pPr>
            <w:r>
              <w:rPr>
                <w:rFonts w:ascii="Times New Roman" w:cs="Times New Roman" w:eastAsia="Times New Roman" w:hAnsi="Times New Roman"/>
                <w:sz w:val="16"/>
                <w:szCs w:val="16"/>
                <w:b w:val="1"/>
                <w:bCs w:val="1"/>
                <w:color w:val="auto"/>
                <w:w w:val="92"/>
              </w:rPr>
              <w:t>Energy</w:t>
            </w:r>
            <w:r>
              <w:rPr>
                <w:rFonts w:ascii="Times New Roman" w:cs="Times New Roman" w:eastAsia="Times New Roman" w:hAnsi="Times New Roman"/>
                <w:sz w:val="26"/>
                <w:szCs w:val="26"/>
                <w:b w:val="1"/>
                <w:bCs w:val="1"/>
                <w:color w:val="auto"/>
                <w:w w:val="92"/>
                <w:vertAlign w:val="superscript"/>
              </w:rPr>
              <w:t>(b)</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8"/>
              </w:rPr>
              <w:t>and Other</w:t>
            </w:r>
          </w:p>
        </w:tc>
        <w:tc>
          <w:tcPr>
            <w:tcW w:w="100" w:type="dxa"/>
            <w:vAlign w:val="bottom"/>
          </w:tcPr>
          <w:p>
            <w:pPr>
              <w:spacing w:after="0"/>
              <w:rPr>
                <w:sz w:val="22"/>
                <w:szCs w:val="22"/>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Business</w:t>
            </w:r>
          </w:p>
        </w:tc>
        <w:tc>
          <w:tcPr>
            <w:tcW w:w="100" w:type="dxa"/>
            <w:vAlign w:val="bottom"/>
          </w:tcPr>
          <w:p>
            <w:pPr>
              <w:spacing w:after="0"/>
              <w:rPr>
                <w:sz w:val="22"/>
                <w:szCs w:val="22"/>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WM</w:t>
            </w:r>
          </w:p>
        </w:tc>
      </w:tr>
      <w:tr>
        <w:trPr>
          <w:trHeight w:val="206"/>
        </w:trPr>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20,704</w:t>
            </w:r>
          </w:p>
        </w:tc>
        <w:tc>
          <w:tcPr>
            <w:tcW w:w="2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1,492</w:t>
            </w:r>
          </w:p>
        </w:tc>
        <w:tc>
          <w:tcPr>
            <w:tcW w:w="2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478</w:t>
            </w:r>
          </w:p>
        </w:tc>
        <w:tc>
          <w:tcPr>
            <w:tcW w:w="26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c>
          <w:tcPr>
            <w:tcW w:w="2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22,696</w:t>
            </w:r>
          </w:p>
        </w:tc>
        <w:tc>
          <w:tcPr>
            <w:tcW w:w="2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2,508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25,204</w:t>
            </w:r>
          </w:p>
        </w:tc>
        <w:tc>
          <w:tcPr>
            <w:tcW w:w="20" w:type="dxa"/>
            <w:vAlign w:val="bottom"/>
          </w:tcPr>
          <w:p>
            <w:pPr>
              <w:spacing w:after="0"/>
              <w:rPr>
                <w:sz w:val="17"/>
                <w:szCs w:val="17"/>
                <w:color w:val="auto"/>
              </w:rPr>
            </w:pPr>
          </w:p>
        </w:tc>
      </w:tr>
      <w:tr>
        <w:trPr>
          <w:trHeight w:val="389"/>
        </w:trPr>
        <w:tc>
          <w:tcPr>
            <w:tcW w:w="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5,777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(80)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(1,436)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4,396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(88)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4,308</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2,038</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2,437</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2,863</w:t>
            </w:r>
          </w:p>
        </w:tc>
      </w:tr>
      <w:tr>
        <w:trPr>
          <w:trHeight w:val="212"/>
        </w:trPr>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7,815</w:t>
            </w:r>
          </w:p>
        </w:tc>
        <w:tc>
          <w:tcPr>
            <w:tcW w:w="2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96</w:t>
            </w:r>
          </w:p>
        </w:tc>
        <w:tc>
          <w:tcPr>
            <w:tcW w:w="2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w:t>
            </w:r>
          </w:p>
        </w:tc>
        <w:tc>
          <w:tcPr>
            <w:tcW w:w="2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(1,280</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6,833</w:t>
            </w:r>
          </w:p>
        </w:tc>
        <w:tc>
          <w:tcPr>
            <w:tcW w:w="2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7,171</w:t>
            </w:r>
          </w:p>
        </w:tc>
      </w:tr>
      <w:tr>
        <w:trPr>
          <w:trHeight w:val="794"/>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24"/>
                <w:szCs w:val="24"/>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137</w:t>
            </w:r>
          </w:p>
        </w:tc>
      </w:tr>
      <w:tr>
        <w:trPr>
          <w:trHeight w:val="418"/>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4"/>
                <w:szCs w:val="24"/>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-1444625</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-1178560</wp:posOffset>
            </wp:positionV>
            <wp:extent cx="713232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-912495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-647065</wp:posOffset>
            </wp:positionV>
            <wp:extent cx="713232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-261620</wp:posOffset>
            </wp:positionV>
            <wp:extent cx="7132320" cy="265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820" w:space="220"/>
            <w:col w:w="8200"/>
          </w:cols>
          <w:pgMar w:left="320" w:top="900" w:right="339" w:bottom="1440" w:gutter="0" w:footer="0" w:header="0"/>
        </w:sectPr>
      </w:pPr>
    </w:p>
    <w:tbl>
      <w:tblPr>
        <w:tblLayout w:type="fixed"/>
        <w:tblInd w:w="0" w:type="dxa"/>
        <w:tblCellMar>
          <w:top w:w="0" w:type="dxa"/>
          <w:left w:w="0" w:type="dxa"/>
          <w:bottom w:w="0" w:type="dxa"/>
          <w:right w:w="0" w:type="dxa"/>
        </w:tblCellMar>
      </w:tblP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199"/>
              <w:spacing w:after="0" w:line="182" w:lineRule="exact"/>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5"/>
                <w:szCs w:val="15"/>
                <w:color w:val="auto"/>
              </w:rPr>
            </w:pPr>
          </w:p>
        </w:tc>
        <w:tc>
          <w:tcPr>
            <w:tcW w:w="1060" w:type="dxa"/>
            <w:vAlign w:val="bottom"/>
            <w:gridSpan w:val="2"/>
          </w:tcPr>
          <w:p>
            <w:pPr>
              <w:jc w:val="right"/>
              <w:ind w:right="280"/>
              <w:spacing w:after="0" w:line="182" w:lineRule="exact"/>
              <w:rPr>
                <w:sz w:val="20"/>
                <w:szCs w:val="20"/>
                <w:color w:val="auto"/>
              </w:rPr>
            </w:pPr>
            <w:r>
              <w:rPr>
                <w:rFonts w:ascii="Times New Roman" w:cs="Times New Roman" w:eastAsia="Times New Roman" w:hAnsi="Times New Roman"/>
                <w:sz w:val="16"/>
                <w:szCs w:val="16"/>
                <w:color w:val="auto"/>
              </w:rPr>
              <w:t>175</w:t>
            </w:r>
          </w:p>
        </w:tc>
        <w:tc>
          <w:tcPr>
            <w:tcW w:w="10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12</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139"/>
              <w:spacing w:after="0" w:line="182" w:lineRule="exact"/>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5"/>
                <w:szCs w:val="15"/>
                <w:color w:val="auto"/>
              </w:rPr>
            </w:pPr>
          </w:p>
        </w:tc>
        <w:tc>
          <w:tcPr>
            <w:tcW w:w="1040" w:type="dxa"/>
            <w:vAlign w:val="bottom"/>
            <w:gridSpan w:val="2"/>
          </w:tcPr>
          <w:p>
            <w:pPr>
              <w:jc w:val="right"/>
              <w:ind w:right="280"/>
              <w:spacing w:after="0" w:line="182" w:lineRule="exact"/>
              <w:rPr>
                <w:sz w:val="20"/>
                <w:szCs w:val="20"/>
                <w:color w:val="auto"/>
              </w:rPr>
            </w:pPr>
            <w:r>
              <w:rPr>
                <w:rFonts w:ascii="Times New Roman" w:cs="Times New Roman" w:eastAsia="Times New Roman" w:hAnsi="Times New Roman"/>
                <w:sz w:val="16"/>
                <w:szCs w:val="16"/>
                <w:color w:val="auto"/>
              </w:rPr>
              <w:t>325</w:t>
            </w:r>
          </w:p>
        </w:tc>
        <w:tc>
          <w:tcPr>
            <w:tcW w:w="10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86</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411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operating EBITDA</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7,889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(1,216</w:t>
            </w:r>
          </w:p>
        </w:tc>
        <w:tc>
          <w:tcPr>
            <w:tcW w:w="220" w:type="dxa"/>
            <w:vAlign w:val="bottom"/>
            <w:tcBorders>
              <w:top w:val="single" w:sz="8" w:color="CCEEFF"/>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7,158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EBITDA margin, as reported</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37.7%</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6.4%</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42.3%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N/A</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30.1%</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13.5%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operating EBITDA margin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38.1%</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18.2%</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44.8%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N/A</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31.5%</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16.9%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Recycling</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Collection</w:t>
            </w: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Processing</w:t>
            </w: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Renewable</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8"/>
              </w:rPr>
              <w:t>Corporate</w:t>
            </w:r>
          </w:p>
        </w:tc>
        <w:tc>
          <w:tcPr>
            <w:tcW w:w="100" w:type="dxa"/>
            <w:vAlign w:val="bottom"/>
          </w:tcPr>
          <w:p>
            <w:pPr>
              <w:spacing w:after="0"/>
              <w:rPr>
                <w:sz w:val="17"/>
                <w:szCs w:val="17"/>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Legacy</w:t>
            </w: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Healthcare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940" w:type="dxa"/>
            <w:vAlign w:val="bottom"/>
          </w:tcPr>
          <w:p>
            <w:pPr>
              <w:spacing w:after="0"/>
              <w:rPr>
                <w:sz w:val="22"/>
                <w:szCs w:val="22"/>
                <w:color w:val="auto"/>
              </w:rPr>
            </w:pPr>
          </w:p>
        </w:tc>
        <w:tc>
          <w:tcPr>
            <w:tcW w:w="1580" w:type="dxa"/>
            <w:vAlign w:val="bottom"/>
            <w:gridSpan w:val="4"/>
          </w:tcPr>
          <w:p>
            <w:pPr>
              <w:ind w:left="100"/>
              <w:spacing w:after="0" w:line="260" w:lineRule="exact"/>
              <w:rPr>
                <w:sz w:val="20"/>
                <w:szCs w:val="20"/>
                <w:color w:val="auto"/>
              </w:rPr>
            </w:pPr>
            <w:r>
              <w:rPr>
                <w:rFonts w:ascii="Times New Roman" w:cs="Times New Roman" w:eastAsia="Times New Roman" w:hAnsi="Times New Roman"/>
                <w:sz w:val="16"/>
                <w:szCs w:val="16"/>
                <w:b w:val="1"/>
                <w:bCs w:val="1"/>
                <w:color w:val="auto"/>
              </w:rPr>
              <w:t>and Disposal</w:t>
            </w:r>
            <w:r>
              <w:rPr>
                <w:rFonts w:ascii="Times New Roman" w:cs="Times New Roman" w:eastAsia="Times New Roman" w:hAnsi="Times New Roman"/>
                <w:sz w:val="26"/>
                <w:szCs w:val="26"/>
                <w:b w:val="1"/>
                <w:bCs w:val="1"/>
                <w:color w:val="auto"/>
                <w:vertAlign w:val="superscript"/>
              </w:rPr>
              <w:t>(a)(b)</w:t>
            </w:r>
          </w:p>
        </w:tc>
        <w:tc>
          <w:tcPr>
            <w:tcW w:w="1160" w:type="dxa"/>
            <w:vAlign w:val="bottom"/>
            <w:gridSpan w:val="3"/>
          </w:tcPr>
          <w:p>
            <w:pPr>
              <w:jc w:val="center"/>
              <w:ind w:right="280"/>
              <w:spacing w:after="0" w:line="260" w:lineRule="exact"/>
              <w:rPr>
                <w:sz w:val="20"/>
                <w:szCs w:val="20"/>
                <w:color w:val="auto"/>
              </w:rPr>
            </w:pPr>
            <w:r>
              <w:rPr>
                <w:rFonts w:ascii="Times New Roman" w:cs="Times New Roman" w:eastAsia="Times New Roman" w:hAnsi="Times New Roman"/>
                <w:sz w:val="16"/>
                <w:szCs w:val="16"/>
                <w:b w:val="1"/>
                <w:bCs w:val="1"/>
                <w:color w:val="auto"/>
                <w:w w:val="94"/>
              </w:rPr>
              <w:t>and Sales</w:t>
            </w:r>
            <w:r>
              <w:rPr>
                <w:rFonts w:ascii="Times New Roman" w:cs="Times New Roman" w:eastAsia="Times New Roman" w:hAnsi="Times New Roman"/>
                <w:sz w:val="26"/>
                <w:szCs w:val="26"/>
                <w:b w:val="1"/>
                <w:bCs w:val="1"/>
                <w:color w:val="auto"/>
                <w:w w:val="94"/>
                <w:vertAlign w:val="superscript"/>
              </w:rPr>
              <w:t>(a)</w:t>
            </w:r>
          </w:p>
        </w:tc>
        <w:tc>
          <w:tcPr>
            <w:tcW w:w="100" w:type="dxa"/>
            <w:vAlign w:val="bottom"/>
          </w:tcPr>
          <w:p>
            <w:pPr>
              <w:spacing w:after="0"/>
              <w:rPr>
                <w:sz w:val="22"/>
                <w:szCs w:val="22"/>
                <w:color w:val="auto"/>
              </w:rPr>
            </w:pPr>
          </w:p>
        </w:tc>
        <w:tc>
          <w:tcPr>
            <w:tcW w:w="1000" w:type="dxa"/>
            <w:vAlign w:val="bottom"/>
            <w:gridSpan w:val="2"/>
          </w:tcPr>
          <w:p>
            <w:pPr>
              <w:jc w:val="right"/>
              <w:ind w:right="320"/>
              <w:spacing w:after="0" w:line="260" w:lineRule="exact"/>
              <w:rPr>
                <w:sz w:val="20"/>
                <w:szCs w:val="20"/>
                <w:color w:val="auto"/>
              </w:rPr>
            </w:pPr>
            <w:r>
              <w:rPr>
                <w:rFonts w:ascii="Times New Roman" w:cs="Times New Roman" w:eastAsia="Times New Roman" w:hAnsi="Times New Roman"/>
                <w:sz w:val="16"/>
                <w:szCs w:val="16"/>
                <w:b w:val="1"/>
                <w:bCs w:val="1"/>
                <w:color w:val="auto"/>
                <w:w w:val="92"/>
              </w:rPr>
              <w:t>Energy</w:t>
            </w:r>
            <w:r>
              <w:rPr>
                <w:rFonts w:ascii="Times New Roman" w:cs="Times New Roman" w:eastAsia="Times New Roman" w:hAnsi="Times New Roman"/>
                <w:sz w:val="26"/>
                <w:szCs w:val="26"/>
                <w:b w:val="1"/>
                <w:bCs w:val="1"/>
                <w:color w:val="auto"/>
                <w:w w:val="92"/>
                <w:vertAlign w:val="superscript"/>
              </w:rPr>
              <w:t>(b)</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8"/>
              </w:rPr>
              <w:t>and Other</w:t>
            </w:r>
          </w:p>
        </w:tc>
        <w:tc>
          <w:tcPr>
            <w:tcW w:w="100" w:type="dxa"/>
            <w:vAlign w:val="bottom"/>
          </w:tcPr>
          <w:p>
            <w:pPr>
              <w:spacing w:after="0"/>
              <w:rPr>
                <w:sz w:val="22"/>
                <w:szCs w:val="22"/>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Business</w:t>
            </w:r>
          </w:p>
        </w:tc>
        <w:tc>
          <w:tcPr>
            <w:tcW w:w="100" w:type="dxa"/>
            <w:vAlign w:val="bottom"/>
          </w:tcPr>
          <w:p>
            <w:pPr>
              <w:spacing w:after="0"/>
              <w:rPr>
                <w:sz w:val="22"/>
                <w:szCs w:val="22"/>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 WM</w:t>
            </w:r>
          </w:p>
        </w:tc>
        <w:tc>
          <w:tcPr>
            <w:tcW w:w="0" w:type="dxa"/>
            <w:vAlign w:val="bottom"/>
          </w:tcPr>
          <w:p>
            <w:pPr>
              <w:spacing w:after="0"/>
              <w:rPr>
                <w:sz w:val="1"/>
                <w:szCs w:val="1"/>
                <w:color w:val="auto"/>
              </w:rPr>
            </w:pPr>
          </w:p>
        </w:tc>
      </w:tr>
      <w:tr>
        <w:trPr>
          <w:trHeight w:val="196"/>
        </w:trPr>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revenues, as reported</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19,716</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1,603</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318</w:t>
            </w: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21,660</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403</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22,063</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13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10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1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from operations, as reported</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5,444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w:t>
            </w:r>
          </w:p>
        </w:tc>
        <w:tc>
          <w:tcPr>
            <w:tcW w:w="2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(1,497)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4,132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(69)</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4,063</w:t>
            </w: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depletion and amortization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1,900</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2,194</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EBITDA, as reported</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7,344</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218</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w:t>
            </w: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(1,371</w:t>
            </w: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6,326</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6,330</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Stericycle transaction and integration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Collective bargaining agreement costs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loss from asset impairments and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net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80" w:type="dxa"/>
            <w:vAlign w:val="bottom"/>
            <w:tcBorders>
              <w:top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Adjusted operating EBITDA</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7,333</w:t>
            </w:r>
          </w:p>
        </w:tc>
        <w:tc>
          <w:tcPr>
            <w:tcW w:w="2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221</w:t>
            </w:r>
          </w:p>
        </w:tc>
        <w:tc>
          <w:tcPr>
            <w:tcW w:w="2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142</w:t>
            </w:r>
          </w:p>
        </w:tc>
        <w:tc>
          <w:tcPr>
            <w:tcW w:w="2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(1,194</w:t>
            </w:r>
          </w:p>
        </w:tc>
        <w:tc>
          <w:tcPr>
            <w:tcW w:w="22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6,502</w:t>
            </w:r>
          </w:p>
        </w:tc>
        <w:tc>
          <w:tcPr>
            <w:tcW w:w="2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w:t>
            </w: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6,563</w:t>
            </w:r>
          </w:p>
        </w:tc>
        <w:tc>
          <w:tcPr>
            <w:tcW w:w="140" w:type="dxa"/>
            <w:vAlign w:val="bottom"/>
            <w:tcBorders>
              <w:bottom w:val="single" w:sz="8" w:color="CCEE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2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EBITDA margin, as reported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37.2%</w:t>
            </w:r>
          </w:p>
        </w:tc>
        <w:tc>
          <w:tcPr>
            <w:tcW w:w="1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13.6%</w:t>
            </w:r>
          </w:p>
        </w:tc>
        <w:tc>
          <w:tcPr>
            <w:tcW w:w="1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42.5%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N/A</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29.2%</w:t>
            </w:r>
          </w:p>
        </w:tc>
        <w:tc>
          <w:tcPr>
            <w:tcW w:w="1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28.7%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operating EBITDA margin</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37.2%</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13.8%</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44.7%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N/A</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30.0%</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15.1%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0"/>
          <w:szCs w:val="20"/>
          <w:color w:val="auto"/>
        </w:rPr>
      </w:pPr>
    </w:p>
    <w:p>
      <w:pPr>
        <w:ind w:left="3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fees related to the processing of recycled material we collect are included within our Collection and Disposal businesses. The total amount of such fees in income from operations for the year ended December 31, 2025 and 2024 is $75 million and $100 million, respectively.</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Renewable Energy pays a 15% intercompany royalty to our Collection and Disposal businesses for landfill gas. The total amount of royalties in income from operations for the year ended December 31, 2025 and 2024 is $72 million and $48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3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75"/>
        </w:trPr>
        <w:tc>
          <w:tcPr>
            <w:tcW w:w="4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0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20" w:type="dxa"/>
            <w:vAlign w:val="bottom"/>
            <w:gridSpan w:val="3"/>
          </w:tcPr>
          <w:p>
            <w:pPr>
              <w:spacing w:after="0" w:line="276" w:lineRule="exact"/>
              <w:rPr>
                <w:sz w:val="20"/>
                <w:szCs w:val="20"/>
                <w:color w:val="auto"/>
              </w:rPr>
            </w:pPr>
            <w:r>
              <w:rPr>
                <w:rFonts w:ascii="Times New Roman" w:cs="Times New Roman" w:eastAsia="Times New Roman" w:hAnsi="Times New Roman"/>
                <w:sz w:val="18"/>
                <w:szCs w:val="18"/>
                <w:b w:val="1"/>
                <w:bCs w:val="1"/>
                <w:color w:val="auto"/>
              </w:rPr>
              <w:t>December 31, 2024</w:t>
            </w:r>
            <w:r>
              <w:rPr>
                <w:rFonts w:ascii="Times New Roman" w:cs="Times New Roman" w:eastAsia="Times New Roman" w:hAnsi="Times New Roman"/>
                <w:sz w:val="29"/>
                <w:szCs w:val="29"/>
                <w:b w:val="1"/>
                <w:bCs w:val="1"/>
                <w:color w:val="auto"/>
                <w:vertAlign w:val="superscript"/>
              </w:rPr>
              <w:t>(a)</w:t>
            </w:r>
          </w:p>
        </w:tc>
        <w:tc>
          <w:tcPr>
            <w:tcW w:w="0" w:type="dxa"/>
            <w:vAlign w:val="bottom"/>
          </w:tcPr>
          <w:p>
            <w:pPr>
              <w:spacing w:after="0"/>
              <w:rPr>
                <w:sz w:val="1"/>
                <w:szCs w:val="1"/>
                <w:color w:val="auto"/>
              </w:rPr>
            </w:pPr>
          </w:p>
        </w:tc>
      </w:tr>
      <w:tr>
        <w:trPr>
          <w:trHeight w:val="201"/>
        </w:trPr>
        <w:tc>
          <w:tcPr>
            <w:tcW w:w="4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center"/>
              <w:ind w:right="370"/>
              <w:spacing w:after="0" w:line="201" w:lineRule="exact"/>
              <w:rPr>
                <w:sz w:val="20"/>
                <w:szCs w:val="20"/>
                <w:color w:val="auto"/>
              </w:rPr>
            </w:pPr>
            <w:r>
              <w:rPr>
                <w:rFonts w:ascii="Times New Roman" w:cs="Times New Roman" w:eastAsia="Times New Roman" w:hAnsi="Times New Roman"/>
                <w:sz w:val="18"/>
                <w:szCs w:val="18"/>
                <w:b w:val="1"/>
                <w:bCs w:val="1"/>
                <w:color w:val="auto"/>
              </w:rPr>
              <w:t>Legacy</w:t>
            </w: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jc w:val="center"/>
              <w:ind w:right="420"/>
              <w:spacing w:after="0" w:line="201" w:lineRule="exact"/>
              <w:rPr>
                <w:sz w:val="20"/>
                <w:szCs w:val="20"/>
                <w:color w:val="auto"/>
              </w:rPr>
            </w:pPr>
            <w:r>
              <w:rPr>
                <w:rFonts w:ascii="Times New Roman" w:cs="Times New Roman" w:eastAsia="Times New Roman" w:hAnsi="Times New Roman"/>
                <w:sz w:val="18"/>
                <w:szCs w:val="18"/>
                <w:b w:val="1"/>
                <w:bCs w:val="1"/>
                <w:color w:val="auto"/>
                <w:w w:val="98"/>
              </w:rPr>
              <w:t>Healthcare</w:t>
            </w: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120" w:type="dxa"/>
            <w:vAlign w:val="bottom"/>
          </w:tcPr>
          <w:p>
            <w:pPr>
              <w:spacing w:after="0"/>
              <w:rPr>
                <w:sz w:val="20"/>
                <w:szCs w:val="20"/>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14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 WM</w:t>
            </w:r>
          </w:p>
        </w:tc>
        <w:tc>
          <w:tcPr>
            <w:tcW w:w="220" w:type="dxa"/>
            <w:vAlign w:val="bottom"/>
          </w:tcPr>
          <w:p>
            <w:pPr>
              <w:spacing w:after="0"/>
              <w:rPr>
                <w:sz w:val="20"/>
                <w:szCs w:val="20"/>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Total WM</w:t>
            </w:r>
          </w:p>
        </w:tc>
        <w:tc>
          <w:tcPr>
            <w:tcW w:w="0" w:type="dxa"/>
            <w:vAlign w:val="bottom"/>
          </w:tcPr>
          <w:p>
            <w:pPr>
              <w:spacing w:after="0"/>
              <w:rPr>
                <w:sz w:val="1"/>
                <w:szCs w:val="1"/>
                <w:color w:val="auto"/>
              </w:rPr>
            </w:pPr>
          </w:p>
        </w:tc>
      </w:tr>
      <w:tr>
        <w:trPr>
          <w:trHeight w:val="174"/>
        </w:trPr>
        <w:tc>
          <w:tcPr>
            <w:tcW w:w="488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Adjusted Operating Expenses and Adjusted Operating Expenses</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right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right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Margin</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 as reported</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5,698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6,313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5,893</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 as reported</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3,302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391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3,693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3,553</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 % of revenues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58.0%</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63.6%</w:t>
            </w:r>
          </w:p>
        </w:tc>
        <w:tc>
          <w:tcPr>
            <w:tcW w:w="1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58.5%</w:t>
            </w:r>
          </w:p>
        </w:tc>
        <w:tc>
          <w:tcPr>
            <w:tcW w:w="2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60.3%</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Stericycle transaction and integration costs</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13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line="284" w:lineRule="exact"/>
              <w:rPr>
                <w:sz w:val="20"/>
                <w:szCs w:val="20"/>
                <w:color w:val="auto"/>
              </w:rPr>
            </w:pPr>
            <w:r>
              <w:rPr>
                <w:rFonts w:ascii="Times New Roman" w:cs="Times New Roman" w:eastAsia="Times New Roman" w:hAnsi="Times New Roman"/>
                <w:sz w:val="18"/>
                <w:szCs w:val="18"/>
                <w:b w:val="1"/>
                <w:bCs w:val="1"/>
                <w:color w:val="auto"/>
              </w:rPr>
              <w:t>As adjusted operating expenses</w:t>
            </w:r>
            <w:r>
              <w:rPr>
                <w:rFonts w:ascii="Times New Roman" w:cs="Times New Roman" w:eastAsia="Times New Roman" w:hAnsi="Times New Roman"/>
                <w:sz w:val="29"/>
                <w:szCs w:val="29"/>
                <w:b w:val="1"/>
                <w:bCs w:val="1"/>
                <w:color w:val="auto"/>
                <w:vertAlign w:val="superscript"/>
              </w:rPr>
              <w:t>(a)</w:t>
            </w: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3,302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389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3,691</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3,553</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 % of revenues</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rPr>
              <w:t>58.0%</w:t>
            </w:r>
          </w:p>
        </w:tc>
        <w:tc>
          <w:tcPr>
            <w:tcW w:w="120" w:type="dxa"/>
            <w:vAlign w:val="bottom"/>
            <w:shd w:val="clear" w:color="auto" w:fill="CCEEFF"/>
          </w:tcPr>
          <w:p>
            <w:pPr>
              <w:spacing w:after="0"/>
              <w:rPr>
                <w:sz w:val="17"/>
                <w:szCs w:val="17"/>
                <w:color w:val="auto"/>
              </w:rPr>
            </w:pPr>
          </w:p>
        </w:tc>
        <w:tc>
          <w:tcPr>
            <w:tcW w:w="1380" w:type="dxa"/>
            <w:vAlign w:val="bottom"/>
            <w:tcBorders>
              <w:right w:val="single" w:sz="8" w:color="CCEEFF"/>
            </w:tcBorders>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b w:val="1"/>
                <w:bCs w:val="1"/>
                <w:color w:val="auto"/>
              </w:rPr>
              <w:t>63.3%</w:t>
            </w:r>
          </w:p>
        </w:tc>
        <w:tc>
          <w:tcPr>
            <w:tcW w:w="140" w:type="dxa"/>
            <w:vAlign w:val="bottom"/>
            <w:shd w:val="clear" w:color="auto" w:fill="CCEEFF"/>
          </w:tcPr>
          <w:p>
            <w:pPr>
              <w:spacing w:after="0"/>
              <w:rPr>
                <w:sz w:val="17"/>
                <w:szCs w:val="17"/>
                <w:color w:val="auto"/>
              </w:rPr>
            </w:pPr>
          </w:p>
        </w:tc>
        <w:tc>
          <w:tcPr>
            <w:tcW w:w="1320" w:type="dxa"/>
            <w:vAlign w:val="bottom"/>
            <w:tcBorders>
              <w:right w:val="single" w:sz="8" w:color="CCEEFF"/>
            </w:tcBorders>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b w:val="1"/>
                <w:bCs w:val="1"/>
                <w:color w:val="auto"/>
              </w:rPr>
              <w:t>58.5%</w:t>
            </w:r>
          </w:p>
        </w:tc>
        <w:tc>
          <w:tcPr>
            <w:tcW w:w="2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60.3%</w:t>
            </w:r>
          </w:p>
        </w:tc>
        <w:tc>
          <w:tcPr>
            <w:tcW w:w="0" w:type="dxa"/>
            <w:vAlign w:val="bottom"/>
          </w:tcPr>
          <w:p>
            <w:pPr>
              <w:spacing w:after="0"/>
              <w:rPr>
                <w:sz w:val="1"/>
                <w:szCs w:val="1"/>
                <w:color w:val="auto"/>
              </w:rPr>
            </w:pPr>
          </w:p>
        </w:tc>
      </w:tr>
      <w:tr>
        <w:trPr>
          <w:trHeight w:val="440"/>
        </w:trPr>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75"/>
        </w:trPr>
        <w:tc>
          <w:tcPr>
            <w:tcW w:w="4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0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20" w:type="dxa"/>
            <w:vAlign w:val="bottom"/>
            <w:gridSpan w:val="3"/>
          </w:tcPr>
          <w:p>
            <w:pPr>
              <w:spacing w:after="0" w:line="276" w:lineRule="exact"/>
              <w:rPr>
                <w:sz w:val="20"/>
                <w:szCs w:val="20"/>
                <w:color w:val="auto"/>
              </w:rPr>
            </w:pPr>
            <w:r>
              <w:rPr>
                <w:rFonts w:ascii="Times New Roman" w:cs="Times New Roman" w:eastAsia="Times New Roman" w:hAnsi="Times New Roman"/>
                <w:sz w:val="18"/>
                <w:szCs w:val="18"/>
                <w:b w:val="1"/>
                <w:bCs w:val="1"/>
                <w:color w:val="auto"/>
              </w:rPr>
              <w:t>December 31, 2024</w:t>
            </w:r>
            <w:r>
              <w:rPr>
                <w:rFonts w:ascii="Times New Roman" w:cs="Times New Roman" w:eastAsia="Times New Roman" w:hAnsi="Times New Roman"/>
                <w:sz w:val="29"/>
                <w:szCs w:val="29"/>
                <w:b w:val="1"/>
                <w:bCs w:val="1"/>
                <w:color w:val="auto"/>
                <w:vertAlign w:val="superscript"/>
              </w:rPr>
              <w:t>(a)</w:t>
            </w:r>
          </w:p>
        </w:tc>
        <w:tc>
          <w:tcPr>
            <w:tcW w:w="0" w:type="dxa"/>
            <w:vAlign w:val="bottom"/>
          </w:tcPr>
          <w:p>
            <w:pPr>
              <w:spacing w:after="0"/>
              <w:rPr>
                <w:sz w:val="1"/>
                <w:szCs w:val="1"/>
                <w:color w:val="auto"/>
              </w:rPr>
            </w:pPr>
          </w:p>
        </w:tc>
      </w:tr>
      <w:tr>
        <w:trPr>
          <w:trHeight w:val="201"/>
        </w:trPr>
        <w:tc>
          <w:tcPr>
            <w:tcW w:w="4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center"/>
              <w:ind w:right="370"/>
              <w:spacing w:after="0" w:line="201" w:lineRule="exact"/>
              <w:rPr>
                <w:sz w:val="20"/>
                <w:szCs w:val="20"/>
                <w:color w:val="auto"/>
              </w:rPr>
            </w:pPr>
            <w:r>
              <w:rPr>
                <w:rFonts w:ascii="Times New Roman" w:cs="Times New Roman" w:eastAsia="Times New Roman" w:hAnsi="Times New Roman"/>
                <w:sz w:val="18"/>
                <w:szCs w:val="18"/>
                <w:b w:val="1"/>
                <w:bCs w:val="1"/>
                <w:color w:val="auto"/>
              </w:rPr>
              <w:t>Legacy</w:t>
            </w: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jc w:val="center"/>
              <w:ind w:right="420"/>
              <w:spacing w:after="0" w:line="201" w:lineRule="exact"/>
              <w:rPr>
                <w:sz w:val="20"/>
                <w:szCs w:val="20"/>
                <w:color w:val="auto"/>
              </w:rPr>
            </w:pPr>
            <w:r>
              <w:rPr>
                <w:rFonts w:ascii="Times New Roman" w:cs="Times New Roman" w:eastAsia="Times New Roman" w:hAnsi="Times New Roman"/>
                <w:sz w:val="18"/>
                <w:szCs w:val="18"/>
                <w:b w:val="1"/>
                <w:bCs w:val="1"/>
                <w:color w:val="auto"/>
                <w:w w:val="98"/>
              </w:rPr>
              <w:t>Healthcare</w:t>
            </w: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120" w:type="dxa"/>
            <w:vAlign w:val="bottom"/>
          </w:tcPr>
          <w:p>
            <w:pPr>
              <w:spacing w:after="0"/>
              <w:rPr>
                <w:sz w:val="20"/>
                <w:szCs w:val="20"/>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14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 WM</w:t>
            </w:r>
          </w:p>
        </w:tc>
        <w:tc>
          <w:tcPr>
            <w:tcW w:w="220" w:type="dxa"/>
            <w:vAlign w:val="bottom"/>
          </w:tcPr>
          <w:p>
            <w:pPr>
              <w:spacing w:after="0"/>
              <w:rPr>
                <w:sz w:val="20"/>
                <w:szCs w:val="20"/>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Total WM</w:t>
            </w:r>
          </w:p>
        </w:tc>
        <w:tc>
          <w:tcPr>
            <w:tcW w:w="0" w:type="dxa"/>
            <w:vAlign w:val="bottom"/>
          </w:tcPr>
          <w:p>
            <w:pPr>
              <w:spacing w:after="0"/>
              <w:rPr>
                <w:sz w:val="1"/>
                <w:szCs w:val="1"/>
                <w:color w:val="auto"/>
              </w:rPr>
            </w:pPr>
          </w:p>
        </w:tc>
      </w:tr>
      <w:tr>
        <w:trPr>
          <w:trHeight w:val="174"/>
        </w:trPr>
        <w:tc>
          <w:tcPr>
            <w:tcW w:w="488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Adjusted Operating Expenses and Adjusted Operating Expenses</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right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right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Margin</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 as reported</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22,696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2,508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25,204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22,063</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 as reported</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13,429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1,583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15,012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13,383</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 % of revenues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59.2%</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63.1%</w:t>
            </w:r>
          </w:p>
        </w:tc>
        <w:tc>
          <w:tcPr>
            <w:tcW w:w="1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59.6%</w:t>
            </w:r>
          </w:p>
        </w:tc>
        <w:tc>
          <w:tcPr>
            <w:tcW w:w="2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60.7%</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Stericycle transaction and integration costs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Legacy loss contingency reserve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Collective bargaining agreement costs</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3"/>
        </w:trPr>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As adjusted SG&amp;A expenses</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13,422</w:t>
            </w:r>
          </w:p>
        </w:tc>
        <w:tc>
          <w:tcPr>
            <w:tcW w:w="3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1,574</w:t>
            </w:r>
          </w:p>
        </w:tc>
        <w:tc>
          <w:tcPr>
            <w:tcW w:w="3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14,996</w:t>
            </w:r>
          </w:p>
        </w:tc>
        <w:tc>
          <w:tcPr>
            <w:tcW w:w="3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13,382</w:t>
            </w:r>
          </w:p>
        </w:tc>
        <w:tc>
          <w:tcPr>
            <w:tcW w:w="1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 a % of revenues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rPr>
              <w:t>59.1%</w:t>
            </w:r>
          </w:p>
        </w:tc>
        <w:tc>
          <w:tcPr>
            <w:tcW w:w="120" w:type="dxa"/>
            <w:vAlign w:val="bottom"/>
            <w:shd w:val="clear" w:color="auto" w:fill="CCEEFF"/>
          </w:tcPr>
          <w:p>
            <w:pPr>
              <w:spacing w:after="0"/>
              <w:rPr>
                <w:sz w:val="17"/>
                <w:szCs w:val="17"/>
                <w:color w:val="auto"/>
              </w:rPr>
            </w:pPr>
          </w:p>
        </w:tc>
        <w:tc>
          <w:tcPr>
            <w:tcW w:w="1380" w:type="dxa"/>
            <w:vAlign w:val="bottom"/>
            <w:tcBorders>
              <w:right w:val="single" w:sz="8" w:color="CCEEFF"/>
            </w:tcBorders>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b w:val="1"/>
                <w:bCs w:val="1"/>
                <w:color w:val="auto"/>
              </w:rPr>
              <w:t>62.8%</w:t>
            </w:r>
          </w:p>
        </w:tc>
        <w:tc>
          <w:tcPr>
            <w:tcW w:w="140" w:type="dxa"/>
            <w:vAlign w:val="bottom"/>
            <w:shd w:val="clear" w:color="auto" w:fill="CCEEFF"/>
          </w:tcPr>
          <w:p>
            <w:pPr>
              <w:spacing w:after="0"/>
              <w:rPr>
                <w:sz w:val="17"/>
                <w:szCs w:val="17"/>
                <w:color w:val="auto"/>
              </w:rPr>
            </w:pPr>
          </w:p>
        </w:tc>
        <w:tc>
          <w:tcPr>
            <w:tcW w:w="1320" w:type="dxa"/>
            <w:vAlign w:val="bottom"/>
            <w:tcBorders>
              <w:right w:val="single" w:sz="8" w:color="CCEEFF"/>
            </w:tcBorders>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b w:val="1"/>
                <w:bCs w:val="1"/>
                <w:color w:val="auto"/>
              </w:rPr>
              <w:t>59.5%</w:t>
            </w:r>
          </w:p>
        </w:tc>
        <w:tc>
          <w:tcPr>
            <w:tcW w:w="2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0"/>
          <w:szCs w:val="20"/>
          <w:color w:val="auto"/>
        </w:rPr>
      </w:pPr>
    </w:p>
    <w:p>
      <w:pPr>
        <w:ind w:left="740" w:hanging="732"/>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2024 WM and Legacy Business reconciliation is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8"/>
        </w:trPr>
        <w:tc>
          <w:tcPr>
            <w:tcW w:w="3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1"/>
        </w:trPr>
        <w:tc>
          <w:tcPr>
            <w:tcW w:w="3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70"/>
              <w:spacing w:after="0" w:line="201" w:lineRule="exact"/>
              <w:rPr>
                <w:sz w:val="20"/>
                <w:szCs w:val="20"/>
                <w:color w:val="auto"/>
              </w:rPr>
            </w:pPr>
            <w:r>
              <w:rPr>
                <w:rFonts w:ascii="Times New Roman" w:cs="Times New Roman" w:eastAsia="Times New Roman" w:hAnsi="Times New Roman"/>
                <w:sz w:val="18"/>
                <w:szCs w:val="18"/>
                <w:b w:val="1"/>
                <w:bCs w:val="1"/>
                <w:color w:val="auto"/>
                <w:w w:val="98"/>
              </w:rPr>
              <w:t>Legacy</w:t>
            </w:r>
          </w:p>
        </w:tc>
        <w:tc>
          <w:tcPr>
            <w:tcW w:w="60" w:type="dxa"/>
            <w:vAlign w:val="bottom"/>
          </w:tcPr>
          <w:p>
            <w:pPr>
              <w:spacing w:after="0"/>
              <w:rPr>
                <w:sz w:val="17"/>
                <w:szCs w:val="17"/>
                <w:color w:val="auto"/>
              </w:rPr>
            </w:pPr>
          </w:p>
        </w:tc>
        <w:tc>
          <w:tcPr>
            <w:tcW w:w="1280" w:type="dxa"/>
            <w:vAlign w:val="bottom"/>
            <w:gridSpan w:val="3"/>
          </w:tcPr>
          <w:p>
            <w:pPr>
              <w:jc w:val="center"/>
              <w:ind w:right="280"/>
              <w:spacing w:after="0" w:line="201" w:lineRule="exact"/>
              <w:rPr>
                <w:sz w:val="20"/>
                <w:szCs w:val="20"/>
                <w:color w:val="auto"/>
              </w:rPr>
            </w:pPr>
            <w:r>
              <w:rPr>
                <w:rFonts w:ascii="Times New Roman" w:cs="Times New Roman" w:eastAsia="Times New Roman" w:hAnsi="Times New Roman"/>
                <w:sz w:val="18"/>
                <w:szCs w:val="18"/>
                <w:b w:val="1"/>
                <w:bCs w:val="1"/>
                <w:color w:val="auto"/>
                <w:w w:val="98"/>
              </w:rPr>
              <w:t>Healthcare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30"/>
              <w:spacing w:after="0" w:line="201" w:lineRule="exact"/>
              <w:rPr>
                <w:sz w:val="20"/>
                <w:szCs w:val="20"/>
                <w:color w:val="auto"/>
              </w:rPr>
            </w:pPr>
            <w:r>
              <w:rPr>
                <w:rFonts w:ascii="Times New Roman" w:cs="Times New Roman" w:eastAsia="Times New Roman" w:hAnsi="Times New Roman"/>
                <w:sz w:val="18"/>
                <w:szCs w:val="18"/>
                <w:b w:val="1"/>
                <w:bCs w:val="1"/>
                <w:color w:val="auto"/>
                <w:w w:val="98"/>
              </w:rPr>
              <w:t>Legacy</w:t>
            </w:r>
          </w:p>
        </w:tc>
        <w:tc>
          <w:tcPr>
            <w:tcW w:w="1300" w:type="dxa"/>
            <w:vAlign w:val="bottom"/>
            <w:gridSpan w:val="3"/>
          </w:tcPr>
          <w:p>
            <w:pPr>
              <w:jc w:val="center"/>
              <w:ind w:right="300"/>
              <w:spacing w:after="0" w:line="201" w:lineRule="exact"/>
              <w:rPr>
                <w:sz w:val="20"/>
                <w:szCs w:val="20"/>
                <w:color w:val="auto"/>
              </w:rPr>
            </w:pPr>
            <w:r>
              <w:rPr>
                <w:rFonts w:ascii="Times New Roman" w:cs="Times New Roman" w:eastAsia="Times New Roman" w:hAnsi="Times New Roman"/>
                <w:sz w:val="18"/>
                <w:szCs w:val="18"/>
                <w:b w:val="1"/>
                <w:bCs w:val="1"/>
                <w:color w:val="auto"/>
                <w:w w:val="98"/>
              </w:rPr>
              <w:t>Healthcare</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8"/>
        </w:trPr>
        <w:tc>
          <w:tcPr>
            <w:tcW w:w="3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Total WM</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120" w:type="dxa"/>
            <w:vAlign w:val="bottom"/>
          </w:tcPr>
          <w:p>
            <w:pPr>
              <w:spacing w:after="0"/>
              <w:rPr>
                <w:sz w:val="20"/>
                <w:szCs w:val="20"/>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10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4"/>
              </w:rPr>
              <w:t>Total WM</w:t>
            </w:r>
          </w:p>
        </w:tc>
      </w:tr>
      <w:tr>
        <w:trPr>
          <w:trHeight w:val="174"/>
        </w:trPr>
        <w:tc>
          <w:tcPr>
            <w:tcW w:w="358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Adjusted SG&amp;A Expenses and Adjusted SG&amp;A</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r>
      <w:tr>
        <w:trPr>
          <w:trHeight w:val="238"/>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 Margin</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16"/>
        </w:trPr>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 as reported</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5,698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615</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6,313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5,490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5,893</w:t>
            </w:r>
          </w:p>
        </w:tc>
      </w:tr>
      <w:tr>
        <w:trPr>
          <w:trHeight w:val="216"/>
        </w:trPr>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SG&amp;A expenses, as reported</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535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139</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674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592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747</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 % of revenues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10.8%</w:t>
            </w: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38.5%</w:t>
            </w: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r>
      <w:tr>
        <w:trPr>
          <w:trHeight w:val="216"/>
        </w:trPr>
        <w:tc>
          <w:tcPr>
            <w:tcW w:w="3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Stericycle transaction and integration costs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w:t>
            </w:r>
          </w:p>
        </w:tc>
      </w:tr>
      <w:tr>
        <w:trPr>
          <w:trHeight w:val="263"/>
        </w:trPr>
        <w:tc>
          <w:tcPr>
            <w:tcW w:w="3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As adjusted SG&amp;A expenses</w:t>
            </w:r>
          </w:p>
        </w:tc>
        <w:tc>
          <w:tcPr>
            <w:tcW w:w="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520</w:t>
            </w:r>
          </w:p>
        </w:tc>
        <w:tc>
          <w:tcPr>
            <w:tcW w:w="2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2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648</w:t>
            </w:r>
          </w:p>
        </w:tc>
        <w:tc>
          <w:tcPr>
            <w:tcW w:w="2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536</w:t>
            </w:r>
          </w:p>
        </w:tc>
        <w:tc>
          <w:tcPr>
            <w:tcW w:w="3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3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634</w:t>
            </w:r>
          </w:p>
        </w:tc>
        <w:tc>
          <w:tcPr>
            <w:tcW w:w="180" w:type="dxa"/>
            <w:vAlign w:val="bottom"/>
            <w:tcBorders>
              <w:bottom w:val="single" w:sz="8" w:color="CCEEFF"/>
            </w:tcBorders>
          </w:tcPr>
          <w:p>
            <w:pPr>
              <w:spacing w:after="0"/>
              <w:rPr>
                <w:sz w:val="22"/>
                <w:szCs w:val="22"/>
                <w:color w:val="auto"/>
              </w:rPr>
            </w:pPr>
          </w:p>
        </w:tc>
      </w:tr>
      <w:tr>
        <w:trPr>
          <w:trHeight w:val="197"/>
        </w:trPr>
        <w:tc>
          <w:tcPr>
            <w:tcW w:w="3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 a % of revenues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20.8%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b w:val="1"/>
                <w:bCs w:val="1"/>
                <w:color w:val="auto"/>
              </w:rPr>
              <w:t>10.3%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rPr>
              <w:t>9.8%</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b w:val="1"/>
                <w:bCs w:val="1"/>
                <w:color w:val="auto"/>
              </w:rPr>
              <w:t>24.3%</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10.8%</w:t>
            </w:r>
          </w:p>
        </w:tc>
      </w:tr>
      <w:tr>
        <w:trPr>
          <w:trHeight w:val="423"/>
        </w:trPr>
        <w:tc>
          <w:tcPr>
            <w:tcW w:w="3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8"/>
        </w:trPr>
        <w:tc>
          <w:tcPr>
            <w:tcW w:w="3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1"/>
        </w:trPr>
        <w:tc>
          <w:tcPr>
            <w:tcW w:w="3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70"/>
              <w:spacing w:after="0" w:line="201" w:lineRule="exact"/>
              <w:rPr>
                <w:sz w:val="20"/>
                <w:szCs w:val="20"/>
                <w:color w:val="auto"/>
              </w:rPr>
            </w:pPr>
            <w:r>
              <w:rPr>
                <w:rFonts w:ascii="Times New Roman" w:cs="Times New Roman" w:eastAsia="Times New Roman" w:hAnsi="Times New Roman"/>
                <w:sz w:val="18"/>
                <w:szCs w:val="18"/>
                <w:b w:val="1"/>
                <w:bCs w:val="1"/>
                <w:color w:val="auto"/>
                <w:w w:val="98"/>
              </w:rPr>
              <w:t>Legacy</w:t>
            </w:r>
          </w:p>
        </w:tc>
        <w:tc>
          <w:tcPr>
            <w:tcW w:w="60" w:type="dxa"/>
            <w:vAlign w:val="bottom"/>
          </w:tcPr>
          <w:p>
            <w:pPr>
              <w:spacing w:after="0"/>
              <w:rPr>
                <w:sz w:val="17"/>
                <w:szCs w:val="17"/>
                <w:color w:val="auto"/>
              </w:rPr>
            </w:pPr>
          </w:p>
        </w:tc>
        <w:tc>
          <w:tcPr>
            <w:tcW w:w="1280" w:type="dxa"/>
            <w:vAlign w:val="bottom"/>
            <w:gridSpan w:val="3"/>
          </w:tcPr>
          <w:p>
            <w:pPr>
              <w:jc w:val="center"/>
              <w:ind w:right="280"/>
              <w:spacing w:after="0" w:line="201" w:lineRule="exact"/>
              <w:rPr>
                <w:sz w:val="20"/>
                <w:szCs w:val="20"/>
                <w:color w:val="auto"/>
              </w:rPr>
            </w:pPr>
            <w:r>
              <w:rPr>
                <w:rFonts w:ascii="Times New Roman" w:cs="Times New Roman" w:eastAsia="Times New Roman" w:hAnsi="Times New Roman"/>
                <w:sz w:val="18"/>
                <w:szCs w:val="18"/>
                <w:b w:val="1"/>
                <w:bCs w:val="1"/>
                <w:color w:val="auto"/>
                <w:w w:val="98"/>
              </w:rPr>
              <w:t>Healthcare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30"/>
              <w:spacing w:after="0" w:line="201" w:lineRule="exact"/>
              <w:rPr>
                <w:sz w:val="20"/>
                <w:szCs w:val="20"/>
                <w:color w:val="auto"/>
              </w:rPr>
            </w:pPr>
            <w:r>
              <w:rPr>
                <w:rFonts w:ascii="Times New Roman" w:cs="Times New Roman" w:eastAsia="Times New Roman" w:hAnsi="Times New Roman"/>
                <w:sz w:val="18"/>
                <w:szCs w:val="18"/>
                <w:b w:val="1"/>
                <w:bCs w:val="1"/>
                <w:color w:val="auto"/>
                <w:w w:val="98"/>
              </w:rPr>
              <w:t>Legacy</w:t>
            </w:r>
          </w:p>
        </w:tc>
        <w:tc>
          <w:tcPr>
            <w:tcW w:w="1300" w:type="dxa"/>
            <w:vAlign w:val="bottom"/>
            <w:gridSpan w:val="3"/>
          </w:tcPr>
          <w:p>
            <w:pPr>
              <w:jc w:val="center"/>
              <w:ind w:right="300"/>
              <w:spacing w:after="0" w:line="201" w:lineRule="exact"/>
              <w:rPr>
                <w:sz w:val="20"/>
                <w:szCs w:val="20"/>
                <w:color w:val="auto"/>
              </w:rPr>
            </w:pPr>
            <w:r>
              <w:rPr>
                <w:rFonts w:ascii="Times New Roman" w:cs="Times New Roman" w:eastAsia="Times New Roman" w:hAnsi="Times New Roman"/>
                <w:sz w:val="18"/>
                <w:szCs w:val="18"/>
                <w:b w:val="1"/>
                <w:bCs w:val="1"/>
                <w:color w:val="auto"/>
                <w:w w:val="98"/>
              </w:rPr>
              <w:t>Healthcare</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8"/>
        </w:trPr>
        <w:tc>
          <w:tcPr>
            <w:tcW w:w="3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Total WM</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120" w:type="dxa"/>
            <w:vAlign w:val="bottom"/>
          </w:tcPr>
          <w:p>
            <w:pPr>
              <w:spacing w:after="0"/>
              <w:rPr>
                <w:sz w:val="20"/>
                <w:szCs w:val="20"/>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10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4"/>
              </w:rPr>
              <w:t>Total WM</w:t>
            </w:r>
          </w:p>
        </w:tc>
      </w:tr>
      <w:tr>
        <w:trPr>
          <w:trHeight w:val="174"/>
        </w:trPr>
        <w:tc>
          <w:tcPr>
            <w:tcW w:w="358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Adjusted SG&amp;A Expenses and Adjusted SG&amp;A</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r>
      <w:tr>
        <w:trPr>
          <w:trHeight w:val="238"/>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 Margin</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16"/>
        </w:trPr>
        <w:tc>
          <w:tcPr>
            <w:tcW w:w="35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0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 as reported</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22,696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2,508</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25,204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21,660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22,063</w:t>
            </w:r>
          </w:p>
        </w:tc>
      </w:tr>
      <w:tr>
        <w:trPr>
          <w:trHeight w:val="216"/>
        </w:trPr>
        <w:tc>
          <w:tcPr>
            <w:tcW w:w="35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0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SG&amp;A expenses, as reported</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2,149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573</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2,722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2,109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2,264</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 % of revenues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9.7%</w:t>
            </w: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38.5%</w:t>
            </w: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r>
      <w:tr>
        <w:trPr>
          <w:trHeight w:val="216"/>
        </w:trPr>
        <w:tc>
          <w:tcPr>
            <w:tcW w:w="3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Stericycle transaction and integration costs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w:t>
            </w:r>
          </w:p>
        </w:tc>
      </w:tr>
      <w:tr>
        <w:trPr>
          <w:trHeight w:val="263"/>
        </w:trPr>
        <w:tc>
          <w:tcPr>
            <w:tcW w:w="3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As adjusted SG&amp;A expenses</w:t>
            </w:r>
          </w:p>
        </w:tc>
        <w:tc>
          <w:tcPr>
            <w:tcW w:w="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2,098</w:t>
            </w:r>
          </w:p>
        </w:tc>
        <w:tc>
          <w:tcPr>
            <w:tcW w:w="2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528</w:t>
            </w:r>
          </w:p>
        </w:tc>
        <w:tc>
          <w:tcPr>
            <w:tcW w:w="2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2,626</w:t>
            </w:r>
          </w:p>
        </w:tc>
        <w:tc>
          <w:tcPr>
            <w:tcW w:w="2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3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2,118</w:t>
            </w:r>
          </w:p>
        </w:tc>
        <w:tc>
          <w:tcPr>
            <w:tcW w:w="180" w:type="dxa"/>
            <w:vAlign w:val="bottom"/>
            <w:tcBorders>
              <w:bottom w:val="single" w:sz="8" w:color="CCEEFF"/>
            </w:tcBorders>
          </w:tcPr>
          <w:p>
            <w:pPr>
              <w:spacing w:after="0"/>
              <w:rPr>
                <w:sz w:val="22"/>
                <w:szCs w:val="22"/>
                <w:color w:val="auto"/>
              </w:rPr>
            </w:pPr>
          </w:p>
        </w:tc>
      </w:tr>
      <w:tr>
        <w:trPr>
          <w:trHeight w:val="197"/>
        </w:trPr>
        <w:tc>
          <w:tcPr>
            <w:tcW w:w="3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 a % of revenues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21.1%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b w:val="1"/>
                <w:bCs w:val="1"/>
                <w:color w:val="auto"/>
              </w:rPr>
              <w:t>10.4%</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rPr>
              <w:t>9.3%</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b w:val="1"/>
                <w:bCs w:val="1"/>
                <w:color w:val="auto"/>
              </w:rPr>
              <w:t>24.3%</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9.6%</w:t>
            </w:r>
          </w:p>
        </w:tc>
      </w:tr>
      <w:tr>
        <w:trPr>
          <w:trHeight w:val="675"/>
        </w:trPr>
        <w:tc>
          <w:tcPr>
            <w:tcW w:w="3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w w:val="98"/>
              </w:rPr>
              <w:t>WASTE MANAGEMENT, INC.</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320" w:type="dxa"/>
            <w:vAlign w:val="bottom"/>
          </w:tcPr>
          <w:p>
            <w:pPr>
              <w:jc w:val="center"/>
              <w:ind w:left="2790"/>
              <w:spacing w:after="0"/>
              <w:rPr>
                <w:sz w:val="20"/>
                <w:szCs w:val="20"/>
                <w:color w:val="auto"/>
              </w:rPr>
            </w:pPr>
            <w:r>
              <w:rPr>
                <w:rFonts w:ascii="Times New Roman" w:cs="Times New Roman" w:eastAsia="Times New Roman" w:hAnsi="Times New Roman"/>
                <w:sz w:val="18"/>
                <w:szCs w:val="18"/>
                <w:b w:val="1"/>
                <w:bCs w:val="1"/>
                <w:color w:val="auto"/>
                <w:w w:val="99"/>
              </w:rPr>
              <w:t>RECONCILIATION OF CERTAIN NON-GAAP MEASURES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32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832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3"/>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2026 Projected Free Cash Flow Reconciliation</w:t>
            </w:r>
            <w:r>
              <w:rPr>
                <w:rFonts w:ascii="Times New Roman" w:cs="Times New Roman" w:eastAsia="Times New Roman" w:hAnsi="Times New Roman"/>
                <w:sz w:val="29"/>
                <w:szCs w:val="29"/>
                <w:b w:val="1"/>
                <w:bCs w:val="1"/>
                <w:i w:val="1"/>
                <w:iCs w:val="1"/>
                <w:color w:val="auto"/>
                <w:vertAlign w:val="superscript"/>
              </w:rPr>
              <w:t>(a)</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Scenario 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Scenario 2</w:t>
            </w:r>
          </w:p>
        </w:tc>
      </w:tr>
      <w:tr>
        <w:trPr>
          <w:trHeight w:val="210"/>
        </w:trPr>
        <w:tc>
          <w:tcPr>
            <w:tcW w:w="8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to support the business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(2,550)</w:t>
            </w:r>
          </w:p>
        </w:tc>
      </w:tr>
      <w:tr>
        <w:trPr>
          <w:trHeight w:val="22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divestitures of businesses and other assets, net of cash divested</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r>
      <w:tr>
        <w:trPr>
          <w:trHeight w:val="21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 before sustainability growth investments</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 sustainability growth investments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r>
      <w:tr>
        <w:trPr>
          <w:trHeight w:val="223"/>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right="2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reconciliation includes two scenarios that illustrate our projected free cash flow range for 2026. The amounts used in the reconciliation are subject to many variables, some of which are not under our control and, therefore, are not necessarily indicative of actual results.</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Note: The reconciliations of net cash provided by operating activities to free cash flow for the fourth quarter and full year of 2025 are included in the second Summary Data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SUPPLEMENTAL INFORMATION PROVIDED FOR ILLUSTRATIVE PURPOSES ONLY</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Diversity in the structure of recycling contracts results in different accounting treatment for commodity rebates. In accordance with revenue recognition guidance, our Company records gross recycling revenue and records rebates paid to customers as cost of goods sold. Other contract structures allow for netting of rebates against revenue.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Additionally, there are differences in whether companies adjust for accretion expense in their calculation of EBITDA. Our Company does not currently adjust for landfill accretion expenses when calculating operating EBITDA, while other companies do adjust it for the calculation of their EBITDA measure.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illustrates the impact that differing contract structures and treatment of accretion expense has on the Company’s adjusted operating EBITDA margin results. This information has been provided to enhance comparability and is not intended to replace or adjust GAAP reported results.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20" w:type="dxa"/>
            <w:vAlign w:val="bottom"/>
            <w:gridSpan w:val="4"/>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Pr>
          <w:p>
            <w:pPr>
              <w:spacing w:after="0"/>
              <w:rPr>
                <w:sz w:val="19"/>
                <w:szCs w:val="19"/>
                <w:color w:val="auto"/>
              </w:rPr>
            </w:pPr>
          </w:p>
        </w:tc>
        <w:tc>
          <w:tcPr>
            <w:tcW w:w="256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3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0" w:type="dxa"/>
            <w:vAlign w:val="bottom"/>
          </w:tcPr>
          <w:p>
            <w:pPr>
              <w:spacing w:after="0"/>
              <w:rPr>
                <w:sz w:val="1"/>
                <w:szCs w:val="1"/>
                <w:color w:val="auto"/>
              </w:rPr>
            </w:pPr>
          </w:p>
        </w:tc>
      </w:tr>
      <w:tr>
        <w:trPr>
          <w:trHeight w:val="229"/>
        </w:trPr>
        <w:tc>
          <w:tcPr>
            <w:tcW w:w="5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EBITDA Margin</w:t>
            </w:r>
          </w:p>
        </w:tc>
        <w:tc>
          <w:tcPr>
            <w:tcW w:w="18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EBITDA Margin</w:t>
            </w:r>
          </w:p>
        </w:tc>
        <w:tc>
          <w:tcPr>
            <w:tcW w:w="0" w:type="dxa"/>
            <w:vAlign w:val="bottom"/>
          </w:tcPr>
          <w:p>
            <w:pPr>
              <w:spacing w:after="0"/>
              <w:rPr>
                <w:sz w:val="1"/>
                <w:szCs w:val="1"/>
                <w:color w:val="auto"/>
              </w:rPr>
            </w:pPr>
          </w:p>
        </w:tc>
      </w:tr>
      <w:tr>
        <w:trPr>
          <w:trHeight w:val="20"/>
        </w:trPr>
        <w:tc>
          <w:tcPr>
            <w:tcW w:w="5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commodity rebates</w:t>
            </w: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vMerge w:val="continue"/>
            <w:shd w:val="clear" w:color="auto" w:fill="CCEEFF"/>
          </w:tcPr>
          <w:p>
            <w:pPr>
              <w:spacing w:after="0"/>
              <w:rPr>
                <w:sz w:val="18"/>
                <w:szCs w:val="18"/>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427"/>
        </w:trPr>
        <w:tc>
          <w:tcPr>
            <w:tcW w:w="5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20" w:type="dxa"/>
            <w:vAlign w:val="bottom"/>
            <w:gridSpan w:val="4"/>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Pr>
          <w:p>
            <w:pPr>
              <w:spacing w:after="0"/>
              <w:rPr>
                <w:sz w:val="19"/>
                <w:szCs w:val="19"/>
                <w:color w:val="auto"/>
              </w:rPr>
            </w:pPr>
          </w:p>
        </w:tc>
        <w:tc>
          <w:tcPr>
            <w:tcW w:w="256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3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EBITDA Margin</w:t>
            </w:r>
          </w:p>
        </w:tc>
        <w:tc>
          <w:tcPr>
            <w:tcW w:w="18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EBITDA Margin</w:t>
            </w:r>
          </w:p>
        </w:tc>
        <w:tc>
          <w:tcPr>
            <w:tcW w:w="0" w:type="dxa"/>
            <w:vAlign w:val="bottom"/>
          </w:tcPr>
          <w:p>
            <w:pPr>
              <w:spacing w:after="0"/>
              <w:rPr>
                <w:sz w:val="1"/>
                <w:szCs w:val="1"/>
                <w:color w:val="auto"/>
              </w:rPr>
            </w:pPr>
          </w:p>
        </w:tc>
      </w:tr>
      <w:tr>
        <w:trPr>
          <w:trHeight w:val="20"/>
        </w:trPr>
        <w:tc>
          <w:tcPr>
            <w:tcW w:w="5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commodity rebates</w:t>
            </w: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20" w:type="dxa"/>
            <w:vAlign w:val="bottom"/>
            <w:vMerge w:val="continue"/>
            <w:shd w:val="clear" w:color="auto" w:fill="CCEEFF"/>
          </w:tcPr>
          <w:p>
            <w:pPr>
              <w:spacing w:after="0"/>
              <w:rPr>
                <w:sz w:val="18"/>
                <w:szCs w:val="18"/>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657"/>
        </w:trPr>
        <w:tc>
          <w:tcPr>
            <w:tcW w:w="5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decimal"/>
      <w:start w:val="104"/>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1)"/>
      <w:numFmt w:val="lowerLetter"/>
      <w:start w:val="11"/>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2026-01-28T16:40:59Z</dcterms:created>
  <dcterms:modified xsi:type="dcterms:W3CDTF">2026-01-28T16:40:59Z</dcterms:modified>
</cp:coreProperties>
</file>