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FORM 10-Q/A</w:t>
      </w:r>
    </w:p>
    <w:p>
      <w:pPr>
        <w:spacing w:after="0" w:line="358"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AMENDMENT NO. 1</w:t>
      </w:r>
    </w:p>
    <w:p>
      <w:pPr>
        <w:spacing w:after="0" w:line="182" w:lineRule="exact"/>
        <w:rPr>
          <w:sz w:val="24"/>
          <w:szCs w:val="24"/>
          <w:color w:val="auto"/>
        </w:rPr>
      </w:pPr>
    </w:p>
    <w:p>
      <w:pPr>
        <w:jc w:val="center"/>
        <w:ind w:right="29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9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826" w:right="291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AND EXCHANGE ACT OF 1934</w:t>
      </w:r>
    </w:p>
    <w:p>
      <w:pPr>
        <w:spacing w:after="0" w:line="174" w:lineRule="exact"/>
        <w:rPr>
          <w:sz w:val="24"/>
          <w:szCs w:val="24"/>
          <w:color w:val="auto"/>
        </w:rPr>
      </w:pPr>
    </w:p>
    <w:p>
      <w:pPr>
        <w:ind w:left="826"/>
        <w:spacing w:after="0"/>
        <w:tabs>
          <w:tab w:leader="none" w:pos="3926"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5"/>
          <w:szCs w:val="15"/>
          <w:color w:val="auto"/>
        </w:rPr>
        <w:t>MARCH 31, 1995</w:t>
      </w:r>
    </w:p>
    <w:p>
      <w:pPr>
        <w:spacing w:after="0" w:line="182"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826" w:right="3179" w:hanging="826"/>
        <w:spacing w:after="0" w:line="250"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AND EXCHANGE ACT OF 1934</w:t>
      </w:r>
    </w:p>
    <w:p>
      <w:pPr>
        <w:spacing w:after="0" w:line="174"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ectPr>
          <w:pgSz w:w="11900" w:h="16838" w:orient="portrait"/>
          <w:cols w:equalWidth="0" w:num="1">
            <w:col w:w="10145"/>
          </w:cols>
          <w:pgMar w:left="314" w:top="235" w:right="1440" w:bottom="1440" w:gutter="0" w:footer="0" w:header="0"/>
        </w:sectPr>
      </w:pP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1-12154</w:t>
      </w:r>
    </w:p>
    <w:p>
      <w:pPr>
        <w:spacing w:after="0" w:line="6" w:lineRule="exact"/>
        <w:rPr>
          <w:sz w:val="24"/>
          <w:szCs w:val="24"/>
          <w:color w:val="auto"/>
        </w:rPr>
      </w:pPr>
    </w:p>
    <w:p>
      <w:pPr>
        <w:sectPr>
          <w:pgSz w:w="11900" w:h="16838" w:orient="portrait"/>
          <w:cols w:equalWidth="0" w:num="2">
            <w:col w:w="2106" w:space="180"/>
            <w:col w:w="7859"/>
          </w:cols>
          <w:pgMar w:left="314" w:top="235" w:right="1440" w:bottom="1440" w:gutter="0" w:footer="0" w:header="0"/>
          <w:type w:val="continuous"/>
        </w:sectPr>
      </w:pPr>
    </w:p>
    <w:p>
      <w:pPr>
        <w:ind w:left="3106"/>
        <w:spacing w:after="0"/>
        <w:rPr>
          <w:sz w:val="20"/>
          <w:szCs w:val="20"/>
          <w:color w:val="auto"/>
        </w:rPr>
      </w:pPr>
      <w:r>
        <w:rPr>
          <w:rFonts w:ascii="Courier New" w:cs="Courier New" w:eastAsia="Courier New" w:hAnsi="Courier New"/>
          <w:sz w:val="15"/>
          <w:szCs w:val="15"/>
          <w:color w:val="auto"/>
        </w:rPr>
        <w:t>__________</w:t>
      </w:r>
    </w:p>
    <w:p>
      <w:pPr>
        <w:spacing w:after="0" w:line="182" w:lineRule="exact"/>
        <w:rPr>
          <w:sz w:val="24"/>
          <w:szCs w:val="24"/>
          <w:color w:val="auto"/>
        </w:rPr>
      </w:pPr>
    </w:p>
    <w:p>
      <w:pPr>
        <w:jc w:val="center"/>
        <w:ind w:right="2833"/>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4"/>
          <w:szCs w:val="24"/>
          <w:color w:val="auto"/>
        </w:rPr>
      </w:pPr>
    </w:p>
    <w:p>
      <w:pPr>
        <w:jc w:val="center"/>
        <w:ind w:right="283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45"/>
          </w:cols>
          <w:pgMar w:left="314" w:top="235" w:right="1440" w:bottom="1440" w:gutter="0" w:footer="0" w:header="0"/>
          <w:type w:val="continuous"/>
        </w:sectPr>
      </w:pPr>
    </w:p>
    <w:p>
      <w:pPr>
        <w:spacing w:after="0" w:line="182"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OKLAHOMA</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2" w:lineRule="exact"/>
        <w:rPr>
          <w:sz w:val="24"/>
          <w:szCs w:val="24"/>
          <w:color w:val="auto"/>
        </w:rPr>
      </w:pPr>
    </w:p>
    <w:p>
      <w:pPr>
        <w:sectPr>
          <w:pgSz w:w="11900" w:h="16838" w:orient="portrait"/>
          <w:cols w:equalWidth="0" w:num="2">
            <w:col w:w="4686" w:space="720"/>
            <w:col w:w="4739"/>
          </w:cols>
          <w:pgMar w:left="314" w:top="235" w:right="1440" w:bottom="1440" w:gutter="0" w:footer="0" w:header="0"/>
          <w:type w:val="continuous"/>
        </w:sectPr>
      </w:pPr>
    </w:p>
    <w:p>
      <w:pPr>
        <w:jc w:val="center"/>
        <w:ind w:right="2913"/>
        <w:spacing w:after="0"/>
        <w:rPr>
          <w:sz w:val="20"/>
          <w:szCs w:val="20"/>
          <w:color w:val="auto"/>
        </w:rPr>
      </w:pPr>
      <w:r>
        <w:rPr>
          <w:rFonts w:ascii="Courier New" w:cs="Courier New" w:eastAsia="Courier New" w:hAnsi="Courier New"/>
          <w:sz w:val="15"/>
          <w:szCs w:val="15"/>
          <w:color w:val="auto"/>
        </w:rPr>
        <w:t>5000 QUORUM DRIVE</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SUITE 300</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DALLAS, TEXAS 75240</w:t>
      </w:r>
    </w:p>
    <w:p>
      <w:pPr>
        <w:spacing w:after="0" w:line="6" w:lineRule="exact"/>
        <w:rPr>
          <w:sz w:val="24"/>
          <w:szCs w:val="24"/>
          <w:color w:val="auto"/>
        </w:rPr>
      </w:pPr>
    </w:p>
    <w:p>
      <w:pPr>
        <w:jc w:val="center"/>
        <w:ind w:right="2833"/>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jc w:val="center"/>
        <w:ind w:right="2833"/>
        <w:spacing w:after="0"/>
        <w:rPr>
          <w:sz w:val="20"/>
          <w:szCs w:val="20"/>
          <w:color w:val="auto"/>
        </w:rPr>
      </w:pPr>
      <w:r>
        <w:rPr>
          <w:rFonts w:ascii="Courier New" w:cs="Courier New" w:eastAsia="Courier New" w:hAnsi="Courier New"/>
          <w:sz w:val="15"/>
          <w:szCs w:val="15"/>
          <w:color w:val="auto"/>
        </w:rPr>
        <w:t>(214) 383-7900</w:t>
      </w:r>
    </w:p>
    <w:p>
      <w:pPr>
        <w:spacing w:after="0" w:line="6" w:lineRule="exact"/>
        <w:rPr>
          <w:sz w:val="24"/>
          <w:szCs w:val="24"/>
          <w:color w:val="auto"/>
        </w:rPr>
      </w:pPr>
    </w:p>
    <w:p>
      <w:pPr>
        <w:jc w:val="center"/>
        <w:ind w:right="283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NO CHANGE</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REPORT)</w:t>
      </w:r>
    </w:p>
    <w:p>
      <w:pPr>
        <w:spacing w:after="0" w:line="182"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__________</w:t>
      </w:r>
    </w:p>
    <w:p>
      <w:pPr>
        <w:spacing w:after="0" w:line="182" w:lineRule="exact"/>
        <w:rPr>
          <w:sz w:val="24"/>
          <w:szCs w:val="24"/>
          <w:color w:val="auto"/>
        </w:rPr>
      </w:pPr>
    </w:p>
    <w:p>
      <w:pPr>
        <w:ind w:left="6" w:right="2919" w:firstLine="824"/>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145"/>
          </w:cols>
          <w:pgMar w:left="314" w:top="235" w:right="1440" w:bottom="1440" w:gutter="0" w:footer="0" w:header="0"/>
          <w:type w:val="continuous"/>
        </w:sectPr>
      </w:pPr>
    </w:p>
    <w:p>
      <w:pPr>
        <w:spacing w:after="0" w:line="175" w:lineRule="exact"/>
        <w:rPr>
          <w:sz w:val="24"/>
          <w:szCs w:val="24"/>
          <w:color w:val="auto"/>
        </w:rPr>
      </w:pPr>
    </w:p>
    <w:p>
      <w:pPr>
        <w:ind w:left="2386"/>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6" w:lineRule="exact"/>
        <w:rPr>
          <w:sz w:val="24"/>
          <w:szCs w:val="24"/>
          <w:color w:val="auto"/>
        </w:rPr>
      </w:pPr>
    </w:p>
    <w:p>
      <w:pPr>
        <w:sectPr>
          <w:pgSz w:w="11900" w:h="16838" w:orient="portrait"/>
          <w:cols w:equalWidth="0" w:num="3">
            <w:col w:w="2646" w:space="280"/>
            <w:col w:w="480" w:space="720"/>
            <w:col w:w="6019"/>
          </w:cols>
          <w:pgMar w:left="314" w:top="235" w:right="1440" w:bottom="1440" w:gutter="0" w:footer="0" w:header="0"/>
          <w:type w:val="continuous"/>
        </w:sectPr>
      </w:pPr>
    </w:p>
    <w:p>
      <w:pPr>
        <w:ind w:left="2846"/>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3766" w:space="720"/>
            <w:col w:w="5659"/>
          </w:cols>
          <w:pgMar w:left="314" w:top="235" w:right="1440" w:bottom="1440" w:gutter="0" w:footer="0" w:header="0"/>
          <w:type w:val="continuous"/>
        </w:sectPr>
      </w:pPr>
    </w:p>
    <w:p>
      <w:pPr>
        <w:ind w:left="6" w:right="3359" w:firstLine="824"/>
        <w:spacing w:after="0" w:line="250"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MAY 11, 1995:</w:t>
      </w:r>
    </w:p>
    <w:p>
      <w:pPr>
        <w:spacing w:after="0" w:line="174" w:lineRule="exact"/>
        <w:rPr>
          <w:sz w:val="24"/>
          <w:szCs w:val="24"/>
          <w:color w:val="auto"/>
        </w:rPr>
      </w:pPr>
    </w:p>
    <w:p>
      <w:pPr>
        <w:ind w:left="1106"/>
        <w:spacing w:after="0"/>
        <w:tabs>
          <w:tab w:leader="none" w:pos="3086" w:val="left"/>
          <w:tab w:leader="none" w:pos="5286"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$.01 PAR VALUE</w:t>
      </w:r>
      <w:r>
        <w:rPr>
          <w:sz w:val="20"/>
          <w:szCs w:val="20"/>
          <w:color w:val="auto"/>
        </w:rPr>
        <w:tab/>
      </w:r>
      <w:r>
        <w:rPr>
          <w:rFonts w:ascii="Courier New" w:cs="Courier New" w:eastAsia="Courier New" w:hAnsi="Courier New"/>
          <w:sz w:val="15"/>
          <w:szCs w:val="15"/>
          <w:color w:val="auto"/>
        </w:rPr>
        <w:t>22,974,256</w:t>
      </w:r>
    </w:p>
    <w:p>
      <w:pPr>
        <w:sectPr>
          <w:pgSz w:w="11900" w:h="16838" w:orient="portrait"/>
          <w:cols w:equalWidth="0" w:num="1">
            <w:col w:w="10145"/>
          </w:cols>
          <w:pgMar w:left="314" w:top="23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4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28"/>
        </w:trPr>
        <w:tc>
          <w:tcPr>
            <w:tcW w:w="720" w:type="dxa"/>
            <w:vAlign w:val="bottom"/>
          </w:tcPr>
          <w:p>
            <w:pPr>
              <w:spacing w:after="0"/>
              <w:rPr>
                <w:sz w:val="24"/>
                <w:szCs w:val="24"/>
                <w:color w:val="auto"/>
              </w:rPr>
            </w:pPr>
          </w:p>
        </w:tc>
        <w:tc>
          <w:tcPr>
            <w:tcW w:w="4860" w:type="dxa"/>
            <w:vAlign w:val="bottom"/>
          </w:tcPr>
          <w:p>
            <w:pPr>
              <w:ind w:left="1840"/>
              <w:spacing w:after="0"/>
              <w:rPr>
                <w:sz w:val="20"/>
                <w:szCs w:val="20"/>
                <w:color w:val="auto"/>
              </w:rPr>
            </w:pPr>
            <w:r>
              <w:rPr>
                <w:rFonts w:ascii="Courier New" w:cs="Courier New" w:eastAsia="Courier New" w:hAnsi="Courier New"/>
                <w:sz w:val="15"/>
                <w:szCs w:val="15"/>
                <w:color w:val="auto"/>
              </w:rPr>
              <w:t>USA WASTE SERVICES, INC.</w:t>
            </w: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4860" w:type="dxa"/>
            <w:vAlign w:val="bottom"/>
          </w:tcPr>
          <w:p>
            <w:pPr>
              <w:ind w:left="1660"/>
              <w:spacing w:after="0"/>
              <w:rPr>
                <w:sz w:val="20"/>
                <w:szCs w:val="20"/>
                <w:color w:val="auto"/>
              </w:rPr>
            </w:pPr>
            <w:r>
              <w:rPr>
                <w:rFonts w:ascii="Courier New" w:cs="Courier New" w:eastAsia="Courier New" w:hAnsi="Courier New"/>
                <w:sz w:val="15"/>
                <w:szCs w:val="15"/>
                <w:color w:val="auto"/>
              </w:rPr>
              <w:t>CONSOLIDATED BALANCE SHEETS</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4860" w:type="dxa"/>
            <w:vAlign w:val="bottom"/>
          </w:tcPr>
          <w:p>
            <w:pPr>
              <w:ind w:left="2380"/>
              <w:spacing w:after="0"/>
              <w:rPr>
                <w:sz w:val="20"/>
                <w:szCs w:val="20"/>
                <w:color w:val="auto"/>
              </w:rPr>
            </w:pPr>
            <w:r>
              <w:rPr>
                <w:rFonts w:ascii="Courier New" w:cs="Courier New" w:eastAsia="Courier New" w:hAnsi="Courier New"/>
                <w:sz w:val="15"/>
                <w:szCs w:val="15"/>
                <w:color w:val="auto"/>
              </w:rPr>
              <w:t>(unaudited)</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704"/>
        </w:trPr>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MARCH 31,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ASSETS</w:t>
            </w: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$7,620,000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$6,613,000</w:t>
            </w:r>
          </w:p>
        </w:tc>
      </w:tr>
      <w:tr>
        <w:trPr>
          <w:trHeight w:val="352"/>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Accounts receivable,net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20,481,000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19,992,000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Notes and other receivables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11,794,000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8,072,000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Prepaid expenses and other</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2,869,000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2,361,000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42,764,000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37,038,000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2,522,000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2,462,000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181,707,000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182,415,000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businesses, net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74,363,000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73,305,000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13,798,000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14,375,000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23,070,000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13,572,000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$338,224,000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$323,167,000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8"/>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LIABILITIES AND STOCKHOLDERS' EQUITY</w:t>
            </w: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Accounts payable</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$11,249,000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$12,023,000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Accrued liabilities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8,730,000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12,783,000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Deferred revenues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2,008,000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1,783,000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Current maturities of long-term debt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1,735,000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1,830,000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23,722,000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28,419,000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Revolving credit facility</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115,000,000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98,000,000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Convertible subordinated debentures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49,000,000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49,000,000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Other long-term debt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3,715,000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6,903,000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17,149,000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17,067,000</w:t>
            </w: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16,292,000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15,792,000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224,878,000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215,181,000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Common stock, $.01 par value; 50,000,000</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shares authorized; 22,828,159</w:t>
            </w: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and 22,728,548 shares issued</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228,000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Additional paid-in capital</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96,329,000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95,758,000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Retained earnings</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18,750,000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13,962,000</w:t>
            </w:r>
          </w:p>
        </w:tc>
      </w:tr>
      <w:tr>
        <w:trPr>
          <w:trHeight w:val="176"/>
        </w:trPr>
        <w:tc>
          <w:tcPr>
            <w:tcW w:w="55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Less treasury stock, 149,285 shares, at cost</w:t>
            </w:r>
          </w:p>
        </w:tc>
        <w:tc>
          <w:tcPr>
            <w:tcW w:w="2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(1,961,000)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(1,961,000)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113,346,000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107,986,000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20" w:type="dxa"/>
            <w:vAlign w:val="bottom"/>
          </w:tcPr>
          <w:p>
            <w:pPr>
              <w:spacing w:after="0"/>
              <w:rPr>
                <w:sz w:val="15"/>
                <w:szCs w:val="15"/>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$338,224,000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$323,167,000</w:t>
            </w:r>
          </w:p>
        </w:tc>
      </w:tr>
      <w:tr>
        <w:trPr>
          <w:trHeight w:val="176"/>
        </w:trPr>
        <w:tc>
          <w:tcPr>
            <w:tcW w:w="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139"/>
          </w:cols>
          <w:pgMar w:left="32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94"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5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FOR THE THREE MONTHS</w:t>
            </w:r>
          </w:p>
        </w:tc>
      </w:tr>
      <w:tr>
        <w:trPr>
          <w:trHeight w:val="176"/>
        </w:trPr>
        <w:tc>
          <w:tcPr>
            <w:tcW w:w="5220" w:type="dxa"/>
            <w:vAlign w:val="bottom"/>
          </w:tcPr>
          <w:p>
            <w:pPr>
              <w:spacing w:after="0"/>
              <w:rPr>
                <w:sz w:val="15"/>
                <w:szCs w:val="15"/>
                <w:color w:val="auto"/>
              </w:rPr>
            </w:pPr>
          </w:p>
        </w:tc>
        <w:tc>
          <w:tcPr>
            <w:tcW w:w="35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ENDED MARCH 31,</w:t>
            </w:r>
          </w:p>
        </w:tc>
      </w:tr>
      <w:tr>
        <w:trPr>
          <w:trHeight w:val="176"/>
        </w:trPr>
        <w:tc>
          <w:tcPr>
            <w:tcW w:w="5220" w:type="dxa"/>
            <w:vAlign w:val="bottom"/>
          </w:tcPr>
          <w:p>
            <w:pPr>
              <w:spacing w:after="0"/>
              <w:rPr>
                <w:sz w:val="15"/>
                <w:szCs w:val="15"/>
                <w:color w:val="auto"/>
              </w:rPr>
            </w:pPr>
          </w:p>
        </w:tc>
        <w:tc>
          <w:tcPr>
            <w:tcW w:w="35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(restated)</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$46,508,000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$38,205,000</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Operating</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25,496,000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21,915,000</w:t>
            </w: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General and administrative</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6,087,000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5,321,000</w:t>
            </w: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5,408,000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4,393,000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36,991,000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31,629,000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9,517,000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6,576,000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 net of capitalized intersest</w:t>
            </w:r>
          </w:p>
        </w:tc>
        <w:tc>
          <w:tcPr>
            <w:tcW w:w="2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(3,152,000)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(2,457,000)</w:t>
            </w: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Other, net</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1,235,000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(1,917,000)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(2,236,000)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7,600,000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4,340,000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2,812,000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1,636,000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4,788,000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2,704,000</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available to common shareholders</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$4,788,000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$2,324,000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$0.21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$0.12</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0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common equivalent shares outstanding</w:t>
            </w: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23,259,000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19,408,000</w:t>
            </w:r>
          </w:p>
        </w:tc>
      </w:tr>
      <w:tr>
        <w:trPr>
          <w:trHeight w:val="176"/>
        </w:trPr>
        <w:tc>
          <w:tcPr>
            <w:tcW w:w="5220" w:type="dxa"/>
            <w:vAlign w:val="bottom"/>
          </w:tcPr>
          <w:p>
            <w:pPr>
              <w:spacing w:after="0"/>
              <w:rPr>
                <w:sz w:val="15"/>
                <w:szCs w:val="15"/>
                <w:color w:val="auto"/>
              </w:rPr>
            </w:pPr>
          </w:p>
        </w:tc>
        <w:tc>
          <w:tcPr>
            <w:tcW w:w="2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Additional</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512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Common</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Paid-in</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Retained</w:t>
            </w:r>
          </w:p>
        </w:tc>
        <w:tc>
          <w:tcPr>
            <w:tcW w:w="1460" w:type="dxa"/>
            <w:vAlign w:val="bottom"/>
          </w:tcPr>
          <w:p>
            <w:pPr>
              <w:ind w:left="560"/>
              <w:spacing w:after="0"/>
              <w:rPr>
                <w:sz w:val="20"/>
                <w:szCs w:val="20"/>
                <w:color w:val="auto"/>
              </w:rPr>
            </w:pPr>
            <w:r>
              <w:rPr>
                <w:rFonts w:ascii="Courier New" w:cs="Courier New" w:eastAsia="Courier New" w:hAnsi="Courier New"/>
                <w:sz w:val="15"/>
                <w:szCs w:val="15"/>
                <w:color w:val="auto"/>
              </w:rPr>
              <w:t>Treasury</w:t>
            </w:r>
          </w:p>
        </w:tc>
      </w:tr>
      <w:tr>
        <w:trPr>
          <w:trHeight w:val="176"/>
        </w:trPr>
        <w:tc>
          <w:tcPr>
            <w:tcW w:w="512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Capital</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Earnings</w:t>
            </w:r>
          </w:p>
        </w:tc>
        <w:tc>
          <w:tcPr>
            <w:tcW w:w="1460" w:type="dxa"/>
            <w:vAlign w:val="bottom"/>
          </w:tcPr>
          <w:p>
            <w:pPr>
              <w:ind w:left="740"/>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512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352"/>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$227,000</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$95,758,000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$13,962,000</w:t>
            </w:r>
          </w:p>
        </w:tc>
        <w:tc>
          <w:tcPr>
            <w:tcW w:w="1460" w:type="dxa"/>
            <w:vAlign w:val="bottom"/>
          </w:tcPr>
          <w:p>
            <w:pPr>
              <w:ind w:left="380"/>
              <w:spacing w:after="0"/>
              <w:rPr>
                <w:sz w:val="20"/>
                <w:szCs w:val="20"/>
                <w:color w:val="auto"/>
              </w:rPr>
            </w:pPr>
            <w:r>
              <w:rPr>
                <w:rFonts w:ascii="Courier New" w:cs="Courier New" w:eastAsia="Courier New" w:hAnsi="Courier New"/>
                <w:sz w:val="15"/>
                <w:szCs w:val="15"/>
                <w:color w:val="auto"/>
                <w:w w:val="98"/>
              </w:rPr>
              <w:t>($1,961,000)</w:t>
            </w:r>
          </w:p>
        </w:tc>
      </w:tr>
      <w:tr>
        <w:trPr>
          <w:trHeight w:val="352"/>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Exercise of stock warrants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516,000</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Issuance of common stock to directors</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25,000</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30,000</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12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4,788,000</w:t>
            </w:r>
          </w:p>
        </w:tc>
        <w:tc>
          <w:tcPr>
            <w:tcW w:w="1460" w:type="dxa"/>
            <w:vAlign w:val="bottom"/>
          </w:tcPr>
          <w:p>
            <w:pPr>
              <w:spacing w:after="0"/>
              <w:rPr>
                <w:sz w:val="15"/>
                <w:szCs w:val="15"/>
                <w:color w:val="auto"/>
              </w:rPr>
            </w:pPr>
          </w:p>
        </w:tc>
      </w:tr>
      <w:tr>
        <w:trPr>
          <w:trHeight w:val="176"/>
        </w:trPr>
        <w:tc>
          <w:tcPr>
            <w:tcW w:w="512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Balance, March 31, 1995</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$228,000</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$96,329,000</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$18,750,000</w:t>
            </w:r>
          </w:p>
        </w:tc>
        <w:tc>
          <w:tcPr>
            <w:tcW w:w="1460" w:type="dxa"/>
            <w:vAlign w:val="bottom"/>
          </w:tcPr>
          <w:p>
            <w:pPr>
              <w:ind w:left="380"/>
              <w:spacing w:after="0"/>
              <w:rPr>
                <w:sz w:val="20"/>
                <w:szCs w:val="20"/>
                <w:color w:val="auto"/>
              </w:rPr>
            </w:pPr>
            <w:r>
              <w:rPr>
                <w:rFonts w:ascii="Courier New" w:cs="Courier New" w:eastAsia="Courier New" w:hAnsi="Courier New"/>
                <w:sz w:val="15"/>
                <w:szCs w:val="15"/>
                <w:color w:val="auto"/>
                <w:w w:val="98"/>
              </w:rPr>
              <w:t>($1,961,000)</w:t>
            </w:r>
          </w:p>
        </w:tc>
      </w:tr>
      <w:tr>
        <w:trPr>
          <w:trHeight w:val="176"/>
        </w:trPr>
        <w:tc>
          <w:tcPr>
            <w:tcW w:w="512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704"/>
        </w:trPr>
        <w:tc>
          <w:tcPr>
            <w:tcW w:w="5120" w:type="dxa"/>
            <w:vAlign w:val="bottom"/>
          </w:tcPr>
          <w:p>
            <w:pPr>
              <w:ind w:left="2560"/>
              <w:spacing w:after="0"/>
              <w:rPr>
                <w:sz w:val="20"/>
                <w:szCs w:val="20"/>
                <w:color w:val="auto"/>
              </w:rPr>
            </w:pPr>
            <w:r>
              <w:rPr>
                <w:rFonts w:ascii="Courier New" w:cs="Courier New" w:eastAsia="Courier New" w:hAnsi="Courier New"/>
                <w:sz w:val="15"/>
                <w:szCs w:val="15"/>
                <w:color w:val="auto"/>
              </w:rPr>
              <w:t>See accompanying notes.</w:t>
            </w: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40"/>
          </w:cols>
          <w:pgMar w:left="320" w:top="294" w:right="2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44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FOR THE THREE MONTHS</w:t>
            </w:r>
          </w:p>
        </w:tc>
      </w:tr>
      <w:tr>
        <w:trPr>
          <w:trHeight w:val="176"/>
        </w:trPr>
        <w:tc>
          <w:tcPr>
            <w:tcW w:w="5720" w:type="dxa"/>
            <w:vAlign w:val="bottom"/>
          </w:tcPr>
          <w:p>
            <w:pPr>
              <w:spacing w:after="0"/>
              <w:rPr>
                <w:sz w:val="15"/>
                <w:szCs w:val="15"/>
                <w:color w:val="auto"/>
              </w:rPr>
            </w:pPr>
          </w:p>
        </w:tc>
        <w:tc>
          <w:tcPr>
            <w:tcW w:w="34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ENDED MARCH 31,</w:t>
            </w:r>
          </w:p>
        </w:tc>
      </w:tr>
      <w:tr>
        <w:trPr>
          <w:trHeight w:val="176"/>
        </w:trPr>
        <w:tc>
          <w:tcPr>
            <w:tcW w:w="5720" w:type="dxa"/>
            <w:vAlign w:val="bottom"/>
          </w:tcPr>
          <w:p>
            <w:pPr>
              <w:spacing w:after="0"/>
              <w:rPr>
                <w:sz w:val="15"/>
                <w:szCs w:val="15"/>
                <w:color w:val="auto"/>
              </w:rPr>
            </w:pPr>
          </w:p>
        </w:tc>
        <w:tc>
          <w:tcPr>
            <w:tcW w:w="34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(restated)</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$4,788,000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$2,704,000</w:t>
            </w: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6"/>
        </w:trPr>
        <w:tc>
          <w:tcPr>
            <w:tcW w:w="5720" w:type="dxa"/>
            <w:vAlign w:val="bottom"/>
          </w:tcPr>
          <w:p>
            <w:pPr>
              <w:ind w:left="820"/>
              <w:spacing w:after="0"/>
              <w:rPr>
                <w:sz w:val="20"/>
                <w:szCs w:val="20"/>
                <w:color w:val="auto"/>
              </w:rPr>
            </w:pPr>
            <w:r>
              <w:rPr>
                <w:rFonts w:ascii="Courier New" w:cs="Courier New" w:eastAsia="Courier New" w:hAnsi="Courier New"/>
                <w:sz w:val="15"/>
                <w:szCs w:val="15"/>
                <w:color w:val="auto"/>
              </w:rPr>
              <w:t>provided by operating activities: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1100"/>
              <w:spacing w:after="0"/>
              <w:rPr>
                <w:sz w:val="20"/>
                <w:szCs w:val="20"/>
                <w:color w:val="auto"/>
              </w:rPr>
            </w:pPr>
            <w:r>
              <w:rPr>
                <w:rFonts w:ascii="Courier New" w:cs="Courier New" w:eastAsia="Courier New" w:hAnsi="Courier New"/>
                <w:sz w:val="15"/>
                <w:szCs w:val="15"/>
                <w:color w:val="auto"/>
              </w:rPr>
              <w:t>Depreciation and amortization</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5,408,000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4,450,000</w:t>
            </w:r>
          </w:p>
        </w:tc>
      </w:tr>
      <w:tr>
        <w:trPr>
          <w:trHeight w:val="176"/>
        </w:trPr>
        <w:tc>
          <w:tcPr>
            <w:tcW w:w="5720" w:type="dxa"/>
            <w:vAlign w:val="bottom"/>
          </w:tcPr>
          <w:p>
            <w:pPr>
              <w:ind w:left="1100"/>
              <w:spacing w:after="0"/>
              <w:rPr>
                <w:sz w:val="20"/>
                <w:szCs w:val="20"/>
                <w:color w:val="auto"/>
              </w:rPr>
            </w:pPr>
            <w:r>
              <w:rPr>
                <w:rFonts w:ascii="Courier New" w:cs="Courier New" w:eastAsia="Courier New" w:hAnsi="Courier New"/>
                <w:sz w:val="15"/>
                <w:szCs w:val="15"/>
                <w:color w:val="auto"/>
              </w:rPr>
              <w:t>Deferred income taxes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341,000</w:t>
            </w:r>
          </w:p>
        </w:tc>
      </w:tr>
      <w:tr>
        <w:trPr>
          <w:trHeight w:val="176"/>
        </w:trPr>
        <w:tc>
          <w:tcPr>
            <w:tcW w:w="5720" w:type="dxa"/>
            <w:vAlign w:val="bottom"/>
          </w:tcPr>
          <w:p>
            <w:pPr>
              <w:ind w:left="1100"/>
              <w:spacing w:after="0"/>
              <w:rPr>
                <w:sz w:val="20"/>
                <w:szCs w:val="20"/>
                <w:color w:val="auto"/>
              </w:rPr>
            </w:pPr>
            <w:r>
              <w:rPr>
                <w:rFonts w:ascii="Courier New" w:cs="Courier New" w:eastAsia="Courier New" w:hAnsi="Courier New"/>
                <w:sz w:val="15"/>
                <w:szCs w:val="15"/>
                <w:color w:val="auto"/>
              </w:rPr>
              <w:t>Net gain on disposal of assets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(514,000)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5720" w:type="dxa"/>
            <w:vAlign w:val="bottom"/>
          </w:tcPr>
          <w:p>
            <w:pPr>
              <w:ind w:left="1100"/>
              <w:spacing w:after="0"/>
              <w:rPr>
                <w:sz w:val="20"/>
                <w:szCs w:val="20"/>
                <w:color w:val="auto"/>
              </w:rPr>
            </w:pPr>
            <w:r>
              <w:rPr>
                <w:rFonts w:ascii="Courier New" w:cs="Courier New" w:eastAsia="Courier New" w:hAnsi="Courier New"/>
                <w:sz w:val="15"/>
                <w:szCs w:val="15"/>
                <w:color w:val="auto"/>
              </w:rPr>
              <w:t>Other non-cash adjustments</w:t>
            </w:r>
          </w:p>
        </w:tc>
        <w:tc>
          <w:tcPr>
            <w:tcW w:w="196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5720" w:type="dxa"/>
            <w:vAlign w:val="bottom"/>
          </w:tcPr>
          <w:p>
            <w:pPr>
              <w:ind w:left="1100"/>
              <w:spacing w:after="0"/>
              <w:rPr>
                <w:sz w:val="20"/>
                <w:szCs w:val="20"/>
                <w:color w:val="auto"/>
              </w:rPr>
            </w:pPr>
            <w:r>
              <w:rPr>
                <w:rFonts w:ascii="Courier New" w:cs="Courier New" w:eastAsia="Courier New" w:hAnsi="Courier New"/>
                <w:sz w:val="15"/>
                <w:szCs w:val="15"/>
                <w:color w:val="auto"/>
              </w:rPr>
              <w:t>Change in assets and liabilities,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1180"/>
              <w:spacing w:after="0"/>
              <w:rPr>
                <w:sz w:val="20"/>
                <w:szCs w:val="20"/>
                <w:color w:val="auto"/>
              </w:rPr>
            </w:pPr>
            <w:r>
              <w:rPr>
                <w:rFonts w:ascii="Courier New" w:cs="Courier New" w:eastAsia="Courier New" w:hAnsi="Courier New"/>
                <w:sz w:val="15"/>
                <w:szCs w:val="15"/>
                <w:color w:val="auto"/>
              </w:rPr>
              <w:t>net of effects of business acquisitions: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in accounts receivables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(490,000)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(2,153,000)</w:t>
            </w: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in prepaid expenses and other</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(508,000)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(520,000)</w:t>
            </w: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in notes and other receivables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(868,000)</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in other assets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(2,778,000)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(decrease) in accounts payable and</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1360"/>
              <w:spacing w:after="0"/>
              <w:rPr>
                <w:sz w:val="20"/>
                <w:szCs w:val="20"/>
                <w:color w:val="auto"/>
              </w:rPr>
            </w:pPr>
            <w:r>
              <w:rPr>
                <w:rFonts w:ascii="Courier New" w:cs="Courier New" w:eastAsia="Courier New" w:hAnsi="Courier New"/>
                <w:sz w:val="15"/>
                <w:szCs w:val="15"/>
                <w:color w:val="auto"/>
              </w:rPr>
              <w:t>accrued liabilities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(5,489,000)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3,533,000</w:t>
            </w:r>
          </w:p>
        </w:tc>
      </w:tr>
      <w:tr>
        <w:trPr>
          <w:trHeight w:val="176"/>
        </w:trPr>
        <w:tc>
          <w:tcPr>
            <w:tcW w:w="5720" w:type="dxa"/>
            <w:vAlign w:val="bottom"/>
          </w:tcPr>
          <w:p>
            <w:pPr>
              <w:ind w:left="1280"/>
              <w:spacing w:after="0"/>
              <w:rPr>
                <w:sz w:val="20"/>
                <w:szCs w:val="20"/>
                <w:color w:val="auto"/>
              </w:rPr>
            </w:pPr>
            <w:r>
              <w:rPr>
                <w:rFonts w:ascii="Courier New" w:cs="Courier New" w:eastAsia="Courier New" w:hAnsi="Courier New"/>
                <w:sz w:val="15"/>
                <w:szCs w:val="15"/>
                <w:color w:val="auto"/>
              </w:rPr>
              <w:t>Increase (decrease) in deferred revenues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1360"/>
              <w:spacing w:after="0"/>
              <w:rPr>
                <w:sz w:val="20"/>
                <w:szCs w:val="20"/>
                <w:color w:val="auto"/>
              </w:rPr>
            </w:pPr>
            <w:r>
              <w:rPr>
                <w:rFonts w:ascii="Courier New" w:cs="Courier New" w:eastAsia="Courier New" w:hAnsi="Courier New"/>
                <w:sz w:val="15"/>
                <w:szCs w:val="15"/>
                <w:color w:val="auto"/>
              </w:rPr>
              <w:t>and other liabilities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308,000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(1,395,000)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357,000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6,939,000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96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(16,204,000)</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Capital expenditures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(7,948,000)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(8,972,000)</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Loans and advances to others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(9,726,000)</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Collection of loans to others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91,000</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sale of assets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3,969,000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(13,614,000)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(25,075,000)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17,000,000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21,121,000</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Principal payments on long-term debt</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(3,283,000)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exercise of stock options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w:t>
            </w: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exercise of warrants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517,000</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14,264,000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20,249,000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1,007,000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2,113,000</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6,613,000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3,235,000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$7,620,000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$5,348,000</w:t>
            </w:r>
          </w:p>
        </w:tc>
      </w:tr>
      <w:tr>
        <w:trPr>
          <w:trHeight w:val="176"/>
        </w:trPr>
        <w:tc>
          <w:tcPr>
            <w:tcW w:w="5720" w:type="dxa"/>
            <w:vAlign w:val="bottom"/>
          </w:tcPr>
          <w:p>
            <w:pPr>
              <w:spacing w:after="0"/>
              <w:rPr>
                <w:sz w:val="15"/>
                <w:szCs w:val="15"/>
                <w:color w:val="auto"/>
              </w:rPr>
            </w:pP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6"/>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Cash paid during the period for:</w:t>
            </w: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720" w:type="dxa"/>
            <w:vAlign w:val="bottom"/>
          </w:tcPr>
          <w:p>
            <w:pPr>
              <w:ind w:left="820"/>
              <w:spacing w:after="0"/>
              <w:rPr>
                <w:sz w:val="20"/>
                <w:szCs w:val="20"/>
                <w:color w:val="auto"/>
              </w:rPr>
            </w:pPr>
            <w:r>
              <w:rPr>
                <w:rFonts w:ascii="Courier New" w:cs="Courier New" w:eastAsia="Courier New" w:hAnsi="Courier New"/>
                <w:sz w:val="15"/>
                <w:szCs w:val="15"/>
                <w:color w:val="auto"/>
              </w:rPr>
              <w:t>Interest</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$2,513,000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$919,000</w:t>
            </w:r>
          </w:p>
        </w:tc>
      </w:tr>
      <w:tr>
        <w:trPr>
          <w:trHeight w:val="176"/>
        </w:trPr>
        <w:tc>
          <w:tcPr>
            <w:tcW w:w="5720" w:type="dxa"/>
            <w:vAlign w:val="bottom"/>
          </w:tcPr>
          <w:p>
            <w:pPr>
              <w:ind w:left="820"/>
              <w:spacing w:after="0"/>
              <w:rPr>
                <w:sz w:val="20"/>
                <w:szCs w:val="20"/>
                <w:color w:val="auto"/>
              </w:rPr>
            </w:pPr>
            <w:r>
              <w:rPr>
                <w:rFonts w:ascii="Courier New" w:cs="Courier New" w:eastAsia="Courier New" w:hAnsi="Courier New"/>
                <w:sz w:val="15"/>
                <w:szCs w:val="15"/>
                <w:color w:val="auto"/>
              </w:rPr>
              <w:t>Income taxes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$4,200,000</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$1,191,000</w:t>
            </w:r>
          </w:p>
        </w:tc>
      </w:tr>
    </w:tbl>
    <w:p>
      <w:pPr>
        <w:spacing w:after="0" w:line="200" w:lineRule="exact"/>
        <w:rPr>
          <w:sz w:val="20"/>
          <w:szCs w:val="20"/>
          <w:color w:val="auto"/>
        </w:rPr>
      </w:pPr>
    </w:p>
    <w:p>
      <w:pPr>
        <w:spacing w:after="0" w:line="33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94"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6" w:right="2919" w:firstLine="366"/>
        <w:spacing w:after="0" w:line="248" w:lineRule="auto"/>
        <w:rPr>
          <w:sz w:val="20"/>
          <w:szCs w:val="20"/>
          <w:color w:val="auto"/>
        </w:rPr>
      </w:pPr>
      <w:r>
        <w:rPr>
          <w:rFonts w:ascii="Courier New" w:cs="Courier New" w:eastAsia="Courier New" w:hAnsi="Courier New"/>
          <w:sz w:val="15"/>
          <w:szCs w:val="15"/>
          <w:color w:val="auto"/>
        </w:rPr>
        <w:t>The consolidated balance sheets as of March 31, 1995 and December 31, 1994, and the related consolidated statements of income for the three months ended March 31, 1995 and 1994, stockholders' equity for the three months ended March 31, 1995, and cash flows for the three months ended March 31, 1995 and 1994 are unaudited; in the opinion of management, such financial statements reflect all adjustments, consisting only of normal recurring adjustments, necessary to a fair statement of the results of the interim periods presented. The Company has restated the previously issued financial statements for the three months ended March 31, 1994 to reflect the acquisition of Envirofil, Inc. ("Envirofil") consummated May 27, 1994, and accounted for using the pooling of interests method of accounting.</w:t>
      </w:r>
    </w:p>
    <w:p>
      <w:pPr>
        <w:spacing w:after="0" w:line="182" w:lineRule="exact"/>
        <w:rPr>
          <w:sz w:val="20"/>
          <w:szCs w:val="20"/>
          <w:color w:val="auto"/>
        </w:rPr>
      </w:pPr>
    </w:p>
    <w:p>
      <w:pPr>
        <w:jc w:val="both"/>
        <w:ind w:left="6" w:right="2999" w:firstLine="366"/>
        <w:spacing w:after="0" w:line="249" w:lineRule="auto"/>
        <w:rPr>
          <w:sz w:val="20"/>
          <w:szCs w:val="20"/>
          <w:color w:val="auto"/>
        </w:rPr>
      </w:pPr>
      <w:r>
        <w:rPr>
          <w:rFonts w:ascii="Courier New" w:cs="Courier New" w:eastAsia="Courier New" w:hAnsi="Courier New"/>
          <w:sz w:val="15"/>
          <w:szCs w:val="15"/>
          <w:color w:val="auto"/>
        </w:rPr>
        <w:t>The financial statements included herein should be read in connection with the Company's Annual Report on Form 10-K for the year ended December 31, 1994, as amended on Form 10-K/A (Amendment No. 1).</w:t>
      </w:r>
    </w:p>
    <w:p>
      <w:pPr>
        <w:spacing w:after="0" w:line="352" w:lineRule="exact"/>
        <w:rPr>
          <w:sz w:val="20"/>
          <w:szCs w:val="20"/>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CHAMBERS ACQUISITION:</w:t>
      </w:r>
    </w:p>
    <w:p>
      <w:pPr>
        <w:spacing w:after="0" w:line="358" w:lineRule="exact"/>
        <w:rPr>
          <w:sz w:val="20"/>
          <w:szCs w:val="20"/>
          <w:color w:val="auto"/>
        </w:rPr>
      </w:pPr>
    </w:p>
    <w:p>
      <w:pPr>
        <w:ind w:left="6" w:right="2919" w:firstLine="366"/>
        <w:spacing w:after="0" w:line="248" w:lineRule="auto"/>
        <w:rPr>
          <w:sz w:val="20"/>
          <w:szCs w:val="20"/>
          <w:color w:val="auto"/>
        </w:rPr>
      </w:pPr>
      <w:r>
        <w:rPr>
          <w:rFonts w:ascii="Courier New" w:cs="Courier New" w:eastAsia="Courier New" w:hAnsi="Courier New"/>
          <w:sz w:val="15"/>
          <w:szCs w:val="15"/>
          <w:color w:val="auto"/>
        </w:rPr>
        <w:t>In December 1994, the Company entered into a Plan and Agreement of Reorganization to acquire Chambers through a merger transaction. The merger is subject to, among other conditions, approval of both companies' boards of directors and shareholders. It is anticipated that the merger will be completed in June 1995 and that it will be accounted for as a pooling of interests. The Agreement provides that on the effective date of the merger the Company will issue one share of its Common Stock for every 2.4 shares of Chambers common stock outstanding. The Company currently has approximately 23.0 million common shares outstanding and, after the merger, expects to have approximately</w:t>
      </w:r>
    </w:p>
    <w:p>
      <w:pPr>
        <w:spacing w:after="0" w:line="5" w:lineRule="exact"/>
        <w:rPr>
          <w:sz w:val="20"/>
          <w:szCs w:val="20"/>
          <w:color w:val="auto"/>
        </w:rPr>
      </w:pPr>
    </w:p>
    <w:p>
      <w:pPr>
        <w:ind w:left="6" w:right="2919"/>
        <w:spacing w:after="0" w:line="249" w:lineRule="auto"/>
        <w:rPr>
          <w:sz w:val="20"/>
          <w:szCs w:val="20"/>
          <w:color w:val="auto"/>
        </w:rPr>
      </w:pPr>
      <w:r>
        <w:rPr>
          <w:rFonts w:ascii="Courier New" w:cs="Courier New" w:eastAsia="Courier New" w:hAnsi="Courier New"/>
          <w:sz w:val="15"/>
          <w:szCs w:val="15"/>
          <w:color w:val="auto"/>
        </w:rPr>
        <w:t>50.8 million common shares outstanding. Following the merger, the Board of Directors will include nominees of both the Company and Chambers. John E. Drury will serve as Chairman and Chief Executive Officer. Donald F. Moorehead, Jr. will serve as Vice Chairman of the Board of Directors and Chief Development Officer. John G. Rangos, Sr. will serve as non-executive Vice-Chairman of the Board of Directors. David Sutherland-Yoest will continue to serve as President and Chief Operating Officer and Earl E. DeFrates will continue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5"/>
          </w:cols>
          <w:pgMar w:left="314"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2"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Long-term debt consists of the following as of:</w:t>
      </w:r>
    </w:p>
    <w:p>
      <w:pPr>
        <w:spacing w:after="0" w:line="358"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5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260" w:type="dxa"/>
            <w:vAlign w:val="bottom"/>
          </w:tcPr>
          <w:p>
            <w:pPr>
              <w:spacing w:after="0"/>
              <w:rPr>
                <w:sz w:val="15"/>
                <w:szCs w:val="15"/>
                <w:color w:val="auto"/>
              </w:rPr>
            </w:pPr>
          </w:p>
        </w:tc>
        <w:tc>
          <w:tcPr>
            <w:tcW w:w="2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426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$115,000,000</w:t>
            </w:r>
          </w:p>
        </w:tc>
      </w:tr>
      <w:tr>
        <w:trPr>
          <w:trHeight w:val="352"/>
        </w:trPr>
        <w:tc>
          <w:tcPr>
            <w:tcW w:w="4260" w:type="dxa"/>
            <w:vAlign w:val="bottom"/>
          </w:tcPr>
          <w:p>
            <w:pPr>
              <w:spacing w:after="0"/>
              <w:rPr>
                <w:sz w:val="20"/>
                <w:szCs w:val="20"/>
                <w:color w:val="auto"/>
              </w:rPr>
            </w:pPr>
            <w:r>
              <w:rPr>
                <w:rFonts w:ascii="Courier New" w:cs="Courier New" w:eastAsia="Courier New" w:hAnsi="Courier New"/>
                <w:sz w:val="15"/>
                <w:szCs w:val="15"/>
                <w:color w:val="auto"/>
              </w:rPr>
              <w:t>8 1/2% Convertible Subordinated</w:t>
            </w:r>
          </w:p>
        </w:tc>
        <w:tc>
          <w:tcPr>
            <w:tcW w:w="2520" w:type="dxa"/>
            <w:vAlign w:val="bottom"/>
          </w:tcPr>
          <w:p>
            <w:pPr>
              <w:spacing w:after="0"/>
              <w:rPr>
                <w:sz w:val="24"/>
                <w:szCs w:val="24"/>
                <w:color w:val="auto"/>
              </w:rPr>
            </w:pPr>
          </w:p>
        </w:tc>
      </w:tr>
      <w:tr>
        <w:trPr>
          <w:trHeight w:val="17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Debentures</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49,000,000</w:t>
            </w:r>
          </w:p>
        </w:tc>
      </w:tr>
      <w:tr>
        <w:trPr>
          <w:trHeight w:val="352"/>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5,450,000</w:t>
            </w:r>
          </w:p>
        </w:tc>
      </w:tr>
      <w:tr>
        <w:trPr>
          <w:trHeight w:val="176"/>
        </w:trPr>
        <w:tc>
          <w:tcPr>
            <w:tcW w:w="426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169,450,000</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1,735,000</w:t>
            </w:r>
          </w:p>
        </w:tc>
      </w:tr>
      <w:tr>
        <w:trPr>
          <w:trHeight w:val="176"/>
        </w:trPr>
        <w:tc>
          <w:tcPr>
            <w:tcW w:w="426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6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$167,715,000</w:t>
            </w:r>
          </w:p>
        </w:tc>
      </w:tr>
      <w:tr>
        <w:trPr>
          <w:trHeight w:val="176"/>
        </w:trPr>
        <w:tc>
          <w:tcPr>
            <w:tcW w:w="426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right="840" w:firstLine="366"/>
        <w:spacing w:after="0" w:line="248" w:lineRule="auto"/>
        <w:rPr>
          <w:sz w:val="20"/>
          <w:szCs w:val="20"/>
          <w:color w:val="auto"/>
        </w:rPr>
      </w:pPr>
      <w:r>
        <w:rPr>
          <w:rFonts w:ascii="Courier New" w:cs="Courier New" w:eastAsia="Courier New" w:hAnsi="Courier New"/>
          <w:sz w:val="15"/>
          <w:szCs w:val="15"/>
          <w:color w:val="auto"/>
        </w:rPr>
        <w:t>On November 28, 1994, the Company entered into a new revolving credit facility providing for borrowings of up to $150,000,000. At the Company's option, the interest rate on any loan under the revolving credit facility will be based on an adjusted prime rate or Eurodollar rate, as defined in the agreement. The facility matures on November 30, 1997. The revolving credit facility, among other conditions, requires the payment of a 3/8 of 1% commitment fee on the unused balance, payable in arrears, and provides for certain restrictions on the ability of the Company, subject to certain limitations, to incur borrowings, sell assets, or pay cash dividends. The facility also requires the maintenance of certain financial ratios, minimum net worth requirements and profitable operations. The facility is collateralized by all the stock of the Company's subsidiaries, whether now owned or hereafter acquired.</w:t>
      </w:r>
    </w:p>
    <w:p>
      <w:pPr>
        <w:spacing w:after="0" w:line="200" w:lineRule="exact"/>
        <w:rPr>
          <w:sz w:val="20"/>
          <w:szCs w:val="20"/>
          <w:color w:val="auto"/>
        </w:rPr>
      </w:pPr>
    </w:p>
    <w:p>
      <w:pPr>
        <w:spacing w:after="0" w:line="335" w:lineRule="exact"/>
        <w:rPr>
          <w:sz w:val="20"/>
          <w:szCs w:val="20"/>
          <w:color w:val="auto"/>
        </w:rPr>
      </w:pPr>
    </w:p>
    <w:p>
      <w:pPr>
        <w:ind w:left="646" w:hanging="646"/>
        <w:spacing w:after="0"/>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ACCOUNTING ESTIMATE:</w:t>
      </w:r>
    </w:p>
    <w:p>
      <w:pPr>
        <w:spacing w:after="0" w:line="182" w:lineRule="exact"/>
        <w:rPr>
          <w:sz w:val="20"/>
          <w:szCs w:val="20"/>
          <w:color w:val="auto"/>
        </w:rPr>
      </w:pPr>
    </w:p>
    <w:p>
      <w:pPr>
        <w:ind w:left="6" w:right="840" w:firstLine="641"/>
        <w:spacing w:after="0" w:line="249" w:lineRule="auto"/>
        <w:rPr>
          <w:sz w:val="20"/>
          <w:szCs w:val="20"/>
          <w:color w:val="auto"/>
        </w:rPr>
      </w:pPr>
      <w:r>
        <w:rPr>
          <w:rFonts w:ascii="Courier New" w:cs="Courier New" w:eastAsia="Courier New" w:hAnsi="Courier New"/>
          <w:sz w:val="15"/>
          <w:szCs w:val="15"/>
          <w:color w:val="auto"/>
        </w:rPr>
        <w:t>As of January 1, 1995, the Company changed the useful life of the excess of cost over net assets of acquired businesses from 25 years to 40 years to more appropriately reflect the estimated periods during which the benefit of the assets will be realized. This change in accounting estimate had the effect of reducing amortization expense by approximately $360,000 for the three months ended March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DECEMBER 31,</w:t>
      </w:r>
    </w:p>
    <w:p>
      <w:pPr>
        <w:spacing w:after="0" w:line="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1994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$ 98,000,000</w:t>
      </w:r>
    </w:p>
    <w:p>
      <w:pPr>
        <w:spacing w:after="0" w:line="358"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49,000,000</w:t>
      </w:r>
    </w:p>
    <w:p>
      <w:pPr>
        <w:spacing w:after="0" w:line="182"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8,733,000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155,733,000</w:t>
      </w:r>
    </w:p>
    <w:p>
      <w:pPr>
        <w:spacing w:after="0" w:line="6"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1,830,000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$153,903,000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8066" w:space="720"/>
            <w:col w:w="1359"/>
          </w:cols>
          <w:pgMar w:left="314"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35" w:lineRule="exact"/>
        <w:rPr>
          <w:sz w:val="20"/>
          <w:szCs w:val="20"/>
          <w:color w:val="auto"/>
        </w:rPr>
      </w:pPr>
    </w:p>
    <w:p>
      <w:pPr>
        <w:jc w:val="both"/>
        <w:ind w:right="355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139"/>
          </w:cols>
          <w:pgMar w:left="32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May 22, 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Earl E. DeFrates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3">
            <w:col w:w="3300" w:space="720"/>
            <w:col w:w="280" w:space="180"/>
            <w:col w:w="5659"/>
          </w:cols>
          <w:pgMar w:left="320" w:top="294" w:right="1440" w:bottom="1440" w:gutter="0" w:footer="0" w:header="0"/>
          <w:type w:val="continuous"/>
        </w:sectPr>
      </w:pP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May 22, 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Bruce E. Snyder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Controller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ectPr>
          <w:pgSz w:w="11900" w:h="16838" w:orient="portrait"/>
          <w:cols w:equalWidth="0" w:num="3">
            <w:col w:w="3300" w:space="720"/>
            <w:col w:w="280" w:space="180"/>
            <w:col w:w="5659"/>
          </w:cols>
          <w:pgMar w:left="320" w:top="2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8</w:t>
      </w:r>
    </w:p>
    <w:sectPr>
      <w:pgSz w:w="11900" w:h="16838" w:orient="portrait"/>
      <w:cols w:equalWidth="0" w:num="1">
        <w:col w:w="10139"/>
      </w:cols>
      <w:pgMar w:left="320" w:top="2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2021-08-19T22:56:04Z</dcterms:created>
  <dcterms:modified xsi:type="dcterms:W3CDTF">2021-08-19T22:56:04Z</dcterms:modified>
</cp:coreProperties>
</file>