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7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40" w:type="dxa"/>
            <w:vAlign w:val="bottom"/>
          </w:tcPr>
          <w:p>
            <w:pPr>
              <w:jc w:val="center"/>
              <w:ind w:right="1982"/>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73-1309529</w:t>
            </w:r>
          </w:p>
        </w:tc>
      </w:tr>
      <w:tr>
        <w:trPr>
          <w:trHeight w:val="149"/>
        </w:trPr>
        <w:tc>
          <w:tcPr>
            <w:tcW w:w="3940" w:type="dxa"/>
            <w:vAlign w:val="bottom"/>
          </w:tcPr>
          <w:p>
            <w:pPr>
              <w:jc w:val="center"/>
              <w:ind w:right="19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EMPLOYEE STOCK PURCHASE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Barry H. Caldwell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32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6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60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80" w:type="dxa"/>
            <w:vAlign w:val="bottom"/>
            <w:gridSpan w:val="3"/>
          </w:tcPr>
          <w:p>
            <w:pPr>
              <w:ind w:left="220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2"/>
                <w:szCs w:val="12"/>
                <w:b w:val="1"/>
                <w:bCs w:val="1"/>
                <w:color w:val="auto"/>
              </w:rPr>
              <w:t>Proposed maximum</w:t>
            </w:r>
          </w:p>
        </w:tc>
        <w:tc>
          <w:tcPr>
            <w:tcW w:w="28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tcBorders>
              <w:right w:val="single" w:sz="8" w:color="auto"/>
            </w:tcBorders>
            <w:gridSpan w:val="2"/>
            <w:vMerge w:val="restart"/>
          </w:tcPr>
          <w:p>
            <w:pPr>
              <w:ind w:left="1480"/>
              <w:spacing w:after="0"/>
              <w:rPr>
                <w:sz w:val="20"/>
                <w:szCs w:val="20"/>
                <w:color w:val="auto"/>
              </w:rPr>
            </w:pPr>
            <w:r>
              <w:rPr>
                <w:rFonts w:ascii="Arial" w:cs="Arial" w:eastAsia="Arial" w:hAnsi="Arial"/>
                <w:sz w:val="14"/>
                <w:szCs w:val="14"/>
                <w:b w:val="1"/>
                <w:bCs w:val="1"/>
                <w:color w:val="auto"/>
              </w:rPr>
              <w:t>Title of securities to be registered</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5"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1"/>
              <w:spacing w:after="0" w:line="145" w:lineRule="exact"/>
              <w:rPr>
                <w:sz w:val="20"/>
                <w:szCs w:val="20"/>
                <w:color w:val="auto"/>
              </w:rPr>
            </w:pPr>
            <w:r>
              <w:rPr>
                <w:rFonts w:ascii="Arial" w:cs="Arial" w:eastAsia="Arial" w:hAnsi="Arial"/>
                <w:sz w:val="14"/>
                <w:szCs w:val="14"/>
                <w:b w:val="1"/>
                <w:bCs w:val="1"/>
                <w:color w:val="auto"/>
                <w:w w:val="91"/>
              </w:rPr>
              <w:t>aggregate offering</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gridSpan w:val="2"/>
            <w:vMerge w:val="continue"/>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2"/>
              </w:rPr>
              <w:t>per share (2)</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5"/>
              </w:rPr>
              <w:t>price (2)</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6"/>
              </w:rPr>
              <w:t>Common Stock, par value $0.01 per share, reserved for issuance</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w w:val="89"/>
              </w:rPr>
              <w:t>under the Waste Management, Inc. Employee Stock Purchase Plan</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89"/>
              </w:rPr>
              <w:t>3,000,000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0"/>
              </w:rPr>
              <w:t>$49.82</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$149,460,000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$17,367.25</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460" w:right="10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Relates to Common Stock to be issued pursuant to the Waste Management, Inc. Employee Stock Purchase Plan. Pursuant to Rule 416(a) under the Securities Act of 1933, as amended, this registration statement on Form S-8 also shall cover rights to acquire Common Stock and any additional shares of Common Stock in respect of the securities identified in the above table as a result of any stock split, stock dividend or anti-dilution provisions of the Plan.</w:t>
      </w:r>
    </w:p>
    <w:p>
      <w:pPr>
        <w:spacing w:after="0" w:line="92"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 Rule 457(h) under the Securities Act based on the average of the high and low sales prices of the Common Stock as reported on the New York Stock Exchange on May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STATEMENT</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accordance with General Instruction E of Form S-8 under the Securities Act of 1933, as amended, the Registrant has filed this registration statement on Form S-8 to register the issuance of an additional 3,000,000 shares of Common Stock pursuant to the Waste Management, Inc. Employee Stock Purchase Plan (the “Plan”). The contents of the Registration Statement on Form S-8 (Registration No. 333-135379) filed by the Registrant with the Securities and Exchange Commission (the “Commission”) on June 27, 2006, the Registration Statement on Form S-8 (Registration No. 333-159475) filed by the Registrant with the Commission on May 26, 2009 and the Registration Statement on Form S-8 (Registration No. 333-181335) filed by the Registrant with the Commission on May 11, 2012 are incorporated herein by reference except to the extent otherwise updated or modified by this Registration Statement.</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into this Registration Statement:</w:t>
      </w:r>
    </w:p>
    <w:p>
      <w:pPr>
        <w:spacing w:after="0" w:line="14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on Form 8-B filed with the Commission on July 13, 1995.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with the Commission on January 2, 2015, February 24, 2015, March 3, 2015 and May 15, 2015.</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Courtney Tippy will issue an opinion regarding the validity of the Registrant’s Common Stock offered hereby. Ms. Tippy is the Registrant’s Assistant General Counsel – Securities &amp; Governance, Corporate Secretary. Ms. Tippy currently owns and has rights to receive less than 0.1% of the Registrant’s outstanding Common Stock and is eligible to participate in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131" w:lineRule="exact"/>
        <w:rPr>
          <w:sz w:val="20"/>
          <w:szCs w:val="20"/>
          <w:color w:val="auto"/>
        </w:rPr>
      </w:pPr>
    </w:p>
    <w:p>
      <w:pPr>
        <w:ind w:left="480" w:right="200" w:hanging="719"/>
        <w:spacing w:after="0" w:line="277" w:lineRule="auto"/>
        <w:tabs>
          <w:tab w:leader="none" w:pos="460" w:val="left"/>
        </w:tabs>
        <w:rPr>
          <w:sz w:val="20"/>
          <w:szCs w:val="20"/>
          <w:color w:val="auto"/>
        </w:rPr>
      </w:pPr>
      <w:r>
        <w:rPr>
          <w:rFonts w:ascii="Arial" w:cs="Arial" w:eastAsia="Arial" w:hAnsi="Arial"/>
          <w:sz w:val="18"/>
          <w:szCs w:val="18"/>
          <w:color w:val="auto"/>
        </w:rPr>
        <w:t>4.1</w:t>
        <w:tab/>
        <w:t>— Third Restated Certificate of Incorporation (Incorporated by reference to Exhibit 3.1 to the Registrant’s Quarterly Report on Form 10-Q for the quarter ended June 30, 2010).</w:t>
      </w:r>
    </w:p>
    <w:p>
      <w:pPr>
        <w:spacing w:after="0" w:line="62" w:lineRule="exact"/>
        <w:rPr>
          <w:sz w:val="20"/>
          <w:szCs w:val="20"/>
          <w:color w:val="auto"/>
        </w:rPr>
      </w:pPr>
    </w:p>
    <w:p>
      <w:pPr>
        <w:ind w:left="480" w:right="780" w:hanging="719"/>
        <w:spacing w:after="0" w:line="277" w:lineRule="auto"/>
        <w:tabs>
          <w:tab w:leader="none" w:pos="460" w:val="left"/>
        </w:tabs>
        <w:rPr>
          <w:sz w:val="20"/>
          <w:szCs w:val="20"/>
          <w:color w:val="auto"/>
        </w:rPr>
      </w:pPr>
      <w:r>
        <w:rPr>
          <w:rFonts w:ascii="Arial" w:cs="Arial" w:eastAsia="Arial" w:hAnsi="Arial"/>
          <w:sz w:val="18"/>
          <w:szCs w:val="18"/>
          <w:color w:val="auto"/>
        </w:rPr>
        <w:t>4.2</w:t>
        <w:tab/>
        <w:t>— Amended and Restated Bylaws (Incorporated by reference to Exhibit 3.2 to the Registrant’s Current Report on Form 8-K filed with the Commission on December 12, 2012).</w:t>
      </w:r>
    </w:p>
    <w:p>
      <w:pPr>
        <w:spacing w:after="0" w:line="62" w:lineRule="exact"/>
        <w:rPr>
          <w:sz w:val="20"/>
          <w:szCs w:val="20"/>
          <w:color w:val="auto"/>
        </w:rPr>
      </w:pPr>
    </w:p>
    <w:p>
      <w:pPr>
        <w:ind w:left="100"/>
        <w:spacing w:after="0"/>
        <w:tabs>
          <w:tab w:leader="none" w:pos="460" w:val="left"/>
          <w:tab w:leader="none" w:pos="800" w:val="left"/>
        </w:tabs>
        <w:rPr>
          <w:sz w:val="20"/>
          <w:szCs w:val="20"/>
          <w:color w:val="auto"/>
        </w:rPr>
      </w:pPr>
      <w:r>
        <w:rPr>
          <w:rFonts w:ascii="Arial" w:cs="Arial" w:eastAsia="Arial" w:hAnsi="Arial"/>
          <w:sz w:val="18"/>
          <w:szCs w:val="18"/>
          <w:color w:val="auto"/>
        </w:rPr>
        <w:t>5.1</w:t>
        <w:tab/>
        <w:t>—</w:t>
      </w:r>
      <w:r>
        <w:rPr>
          <w:sz w:val="20"/>
          <w:szCs w:val="20"/>
          <w:color w:val="auto"/>
        </w:rPr>
        <w:tab/>
      </w:r>
      <w:r>
        <w:rPr>
          <w:rFonts w:ascii="Arial" w:cs="Arial" w:eastAsia="Arial" w:hAnsi="Arial"/>
          <w:sz w:val="16"/>
          <w:szCs w:val="16"/>
          <w:color w:val="auto"/>
        </w:rPr>
        <w:t>Opinion of Courtney Tippy.</w:t>
      </w:r>
    </w:p>
    <w:p>
      <w:pPr>
        <w:spacing w:after="0" w:line="117"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23.1</w:t>
        <w:tab/>
        <w:t>—</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Consent of Courtney Tippy (included in Exhibit 5.1).</w:t>
      </w:r>
    </w:p>
    <w:p>
      <w:pPr>
        <w:spacing w:after="0" w:line="117"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24.1</w:t>
        <w:tab/>
        <w:t>—</w:t>
      </w:r>
      <w:r>
        <w:rPr>
          <w:sz w:val="20"/>
          <w:szCs w:val="20"/>
          <w:color w:val="auto"/>
        </w:rPr>
        <w:tab/>
      </w:r>
      <w:r>
        <w:rPr>
          <w:rFonts w:ascii="Arial" w:cs="Arial" w:eastAsia="Arial" w:hAnsi="Arial"/>
          <w:sz w:val="16"/>
          <w:szCs w:val="16"/>
          <w:color w:val="auto"/>
        </w:rPr>
        <w:t>Powers of Attorney (included on the signature page of this Registration Statement).</w:t>
      </w:r>
    </w:p>
    <w:p>
      <w:pPr>
        <w:spacing w:after="0" w:line="117" w:lineRule="exact"/>
        <w:rPr>
          <w:sz w:val="20"/>
          <w:szCs w:val="20"/>
          <w:color w:val="auto"/>
        </w:rPr>
      </w:pPr>
    </w:p>
    <w:p>
      <w:pPr>
        <w:ind w:left="480" w:right="640" w:hanging="809"/>
        <w:spacing w:after="0" w:line="277" w:lineRule="auto"/>
        <w:tabs>
          <w:tab w:leader="none" w:pos="460" w:val="left"/>
        </w:tabs>
        <w:rPr>
          <w:sz w:val="20"/>
          <w:szCs w:val="20"/>
          <w:color w:val="auto"/>
        </w:rPr>
      </w:pPr>
      <w:r>
        <w:rPr>
          <w:rFonts w:ascii="Arial" w:cs="Arial" w:eastAsia="Arial" w:hAnsi="Arial"/>
          <w:sz w:val="18"/>
          <w:szCs w:val="18"/>
          <w:color w:val="auto"/>
        </w:rPr>
        <w:t>99.1</w:t>
        <w:tab/>
        <w:t>— Waste Management, Inc. Employee Stock Purchase Plan (Incorporated by reference to Exhibit 10.1 to the Registrant’s Current Report on Form 8-K filed with the Commission on May 15, 2015).</w:t>
      </w:r>
    </w:p>
    <w:p>
      <w:pPr>
        <w:sectPr>
          <w:pgSz w:w="11900" w:h="16838" w:orient="portrait"/>
          <w:cols w:equalWidth="0" w:num="1">
            <w:col w:w="11320"/>
          </w:cols>
          <w:pgMar w:left="240" w:top="270"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20</w:t>
      </w:r>
      <w:r>
        <w:rPr>
          <w:rFonts w:ascii="Arial" w:cs="Arial" w:eastAsia="Arial" w:hAnsi="Arial"/>
          <w:sz w:val="15"/>
          <w:szCs w:val="15"/>
          <w:color w:val="auto"/>
        </w:rPr>
        <w:t>th</w:t>
      </w:r>
      <w:r>
        <w:rPr>
          <w:rFonts w:ascii="Arial" w:cs="Arial" w:eastAsia="Arial" w:hAnsi="Arial"/>
          <w:sz w:val="18"/>
          <w:szCs w:val="18"/>
          <w:color w:val="auto"/>
        </w:rPr>
        <w:t xml:space="preserve"> day of May, 2015.</w:t>
      </w:r>
    </w:p>
    <w:p>
      <w:pPr>
        <w:spacing w:after="0" w:line="3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060"/>
          </w:cols>
          <w:pgMar w:left="240" w:top="27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David P. Steiner, James C. Fish Jr. and Barry Caldwell, and each of them, each of whom may act without joinder of the other, his or her true and lawful attorneys-in-fact and agents, with full power of substitution and resubstitution, for him or her and in his or her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each of them, or substitute or substitutes of any or all of them, may lawfully do or cause to be done by virtue hereof.</w:t>
      </w:r>
    </w:p>
    <w:p>
      <w:pPr>
        <w:spacing w:after="0" w:line="19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jc w:val="center"/>
              <w:ind w:right="1301"/>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David P. Steiner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3"/>
              </w:rPr>
              <w:t>David P. Steiner</w:t>
            </w:r>
          </w:p>
        </w:tc>
        <w:tc>
          <w:tcPr>
            <w:tcW w:w="100" w:type="dxa"/>
            <w:vAlign w:val="bottom"/>
          </w:tcPr>
          <w:p>
            <w:pPr>
              <w:spacing w:after="0"/>
              <w:rPr>
                <w:sz w:val="18"/>
                <w:szCs w:val="18"/>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8"/>
                <w:szCs w:val="18"/>
                <w:color w:val="auto"/>
              </w:rPr>
            </w:pPr>
          </w:p>
        </w:tc>
      </w:tr>
      <w:tr>
        <w:trPr>
          <w:trHeight w:val="431"/>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321"/>
              <w:spacing w:after="0"/>
              <w:rPr>
                <w:sz w:val="20"/>
                <w:szCs w:val="20"/>
                <w:color w:val="auto"/>
              </w:rPr>
            </w:pPr>
            <w:r>
              <w:rPr>
                <w:rFonts w:ascii="Arial" w:cs="Arial" w:eastAsia="Arial" w:hAnsi="Arial"/>
                <w:sz w:val="18"/>
                <w:szCs w:val="18"/>
                <w:color w:val="auto"/>
                <w:w w:val="86"/>
              </w:rPr>
              <w:t>James C. Fish, Jr.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and 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0"/>
              </w:rPr>
              <w:t>James C. Fish, Jr.</w:t>
            </w:r>
          </w:p>
        </w:tc>
        <w:tc>
          <w:tcPr>
            <w:tcW w:w="100" w:type="dxa"/>
            <w:vAlign w:val="bottom"/>
          </w:tcPr>
          <w:p>
            <w:pPr>
              <w:spacing w:after="0"/>
              <w:rPr>
                <w:sz w:val="18"/>
                <w:szCs w:val="18"/>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Financial Officer)</w:t>
            </w:r>
          </w:p>
        </w:tc>
        <w:tc>
          <w:tcPr>
            <w:tcW w:w="1740" w:type="dxa"/>
            <w:vAlign w:val="bottom"/>
          </w:tcPr>
          <w:p>
            <w:pPr>
              <w:spacing w:after="0"/>
              <w:rPr>
                <w:sz w:val="18"/>
                <w:szCs w:val="18"/>
                <w:color w:val="auto"/>
              </w:rPr>
            </w:pPr>
          </w:p>
        </w:tc>
      </w:tr>
      <w:tr>
        <w:trPr>
          <w:trHeight w:val="431"/>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301"/>
              <w:spacing w:after="0"/>
              <w:rPr>
                <w:sz w:val="20"/>
                <w:szCs w:val="20"/>
                <w:color w:val="auto"/>
              </w:rPr>
            </w:pPr>
            <w:r>
              <w:rPr>
                <w:rFonts w:ascii="Arial" w:cs="Arial" w:eastAsia="Arial" w:hAnsi="Arial"/>
                <w:sz w:val="18"/>
                <w:szCs w:val="18"/>
                <w:color w:val="auto"/>
                <w:w w:val="88"/>
              </w:rPr>
              <w:t>Don P. Carpenter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and Chief Accounting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4"/>
              </w:rPr>
              <w:t>Don P. Carpenter</w:t>
            </w:r>
          </w:p>
        </w:tc>
        <w:tc>
          <w:tcPr>
            <w:tcW w:w="100" w:type="dxa"/>
            <w:vAlign w:val="bottom"/>
          </w:tcPr>
          <w:p>
            <w:pPr>
              <w:spacing w:after="0"/>
              <w:rPr>
                <w:sz w:val="18"/>
                <w:szCs w:val="18"/>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Accounting Officer)</w:t>
            </w:r>
          </w:p>
        </w:tc>
        <w:tc>
          <w:tcPr>
            <w:tcW w:w="1740" w:type="dxa"/>
            <w:vAlign w:val="bottom"/>
          </w:tcPr>
          <w:p>
            <w:pPr>
              <w:spacing w:after="0"/>
              <w:rPr>
                <w:sz w:val="18"/>
                <w:szCs w:val="18"/>
                <w:color w:val="auto"/>
              </w:rPr>
            </w:pPr>
          </w:p>
        </w:tc>
      </w:tr>
      <w:tr>
        <w:trPr>
          <w:trHeight w:val="431"/>
        </w:trPr>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2"/>
          </w:tcPr>
          <w:p>
            <w:pPr>
              <w:jc w:val="center"/>
              <w:ind w:right="1061"/>
              <w:spacing w:after="0"/>
              <w:rPr>
                <w:sz w:val="20"/>
                <w:szCs w:val="20"/>
                <w:color w:val="auto"/>
              </w:rPr>
            </w:pPr>
            <w:r>
              <w:rPr>
                <w:rFonts w:ascii="Arial" w:cs="Arial" w:eastAsia="Arial" w:hAnsi="Arial"/>
                <w:sz w:val="18"/>
                <w:szCs w:val="18"/>
                <w:color w:val="auto"/>
                <w:w w:val="92"/>
              </w:rPr>
              <w:t>Bradbury H. Anderson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6"/>
              </w:rPr>
              <w:t>Bradbury H. Anderson</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38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301"/>
              <w:spacing w:after="0"/>
              <w:rPr>
                <w:sz w:val="20"/>
                <w:szCs w:val="20"/>
                <w:color w:val="auto"/>
              </w:rPr>
            </w:pPr>
            <w:r>
              <w:rPr>
                <w:rFonts w:ascii="Arial" w:cs="Arial" w:eastAsia="Arial" w:hAnsi="Arial"/>
                <w:sz w:val="18"/>
                <w:szCs w:val="18"/>
                <w:color w:val="auto"/>
                <w:w w:val="91"/>
              </w:rPr>
              <w:t>Frank M. Clark, Jr.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281"/>
              <w:spacing w:after="0"/>
              <w:rPr>
                <w:sz w:val="20"/>
                <w:szCs w:val="20"/>
                <w:color w:val="auto"/>
              </w:rPr>
            </w:pPr>
            <w:r>
              <w:rPr>
                <w:rFonts w:ascii="Arial" w:cs="Arial" w:eastAsia="Arial" w:hAnsi="Arial"/>
                <w:sz w:val="14"/>
                <w:szCs w:val="14"/>
                <w:b w:val="1"/>
                <w:bCs w:val="1"/>
                <w:color w:val="auto"/>
              </w:rPr>
              <w:t>Frank M. Clark, Jr.</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321"/>
              <w:spacing w:after="0"/>
              <w:rPr>
                <w:sz w:val="20"/>
                <w:szCs w:val="20"/>
                <w:color w:val="auto"/>
              </w:rPr>
            </w:pPr>
            <w:r>
              <w:rPr>
                <w:rFonts w:ascii="Arial" w:cs="Arial" w:eastAsia="Arial" w:hAnsi="Arial"/>
                <w:sz w:val="18"/>
                <w:szCs w:val="18"/>
                <w:color w:val="auto"/>
                <w:w w:val="93"/>
              </w:rPr>
              <w:t>Andrés R. Gluski</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5"/>
              </w:rPr>
              <w:t>Andrés R. Gluski</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tcPr>
          <w:p>
            <w:pPr>
              <w:jc w:val="center"/>
              <w:ind w:right="1321"/>
              <w:spacing w:after="0"/>
              <w:rPr>
                <w:sz w:val="20"/>
                <w:szCs w:val="20"/>
                <w:color w:val="auto"/>
              </w:rPr>
            </w:pPr>
            <w:r>
              <w:rPr>
                <w:rFonts w:ascii="Arial" w:cs="Arial" w:eastAsia="Arial" w:hAnsi="Arial"/>
                <w:sz w:val="18"/>
                <w:szCs w:val="18"/>
                <w:color w:val="auto"/>
                <w:w w:val="90"/>
              </w:rPr>
              <w:t>Patrick W. Gross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2"/>
              </w:rPr>
              <w:t>Patrick W. Gross</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900" w:type="dxa"/>
            <w:vAlign w:val="bottom"/>
            <w:tcBorders>
              <w:bottom w:val="single" w:sz="8" w:color="auto"/>
            </w:tcBorders>
          </w:tcPr>
          <w:p>
            <w:pPr>
              <w:jc w:val="center"/>
              <w:ind w:right="1301"/>
              <w:spacing w:after="0"/>
              <w:rPr>
                <w:sz w:val="20"/>
                <w:szCs w:val="20"/>
                <w:color w:val="auto"/>
              </w:rPr>
            </w:pPr>
            <w:r>
              <w:rPr>
                <w:rFonts w:ascii="Arial" w:cs="Arial" w:eastAsia="Arial" w:hAnsi="Arial"/>
                <w:sz w:val="18"/>
                <w:szCs w:val="18"/>
                <w:color w:val="auto"/>
                <w:w w:val="98"/>
              </w:rPr>
              <w:t>Victoria M. Holt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8"/>
              </w:rPr>
              <w:t>Victoria M. Holt</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John C. Pope</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281"/>
              <w:spacing w:after="0"/>
              <w:rPr>
                <w:sz w:val="20"/>
                <w:szCs w:val="20"/>
                <w:color w:val="auto"/>
              </w:rPr>
            </w:pPr>
            <w:r>
              <w:rPr>
                <w:rFonts w:ascii="Arial" w:cs="Arial" w:eastAsia="Arial" w:hAnsi="Arial"/>
                <w:sz w:val="14"/>
                <w:szCs w:val="14"/>
                <w:b w:val="1"/>
                <w:bCs w:val="1"/>
                <w:color w:val="auto"/>
                <w:w w:val="91"/>
              </w:rPr>
              <w:t>John C. Pope</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tcPr>
          <w:p>
            <w:pPr>
              <w:jc w:val="center"/>
              <w:ind w:right="1301"/>
              <w:spacing w:after="0"/>
              <w:rPr>
                <w:sz w:val="20"/>
                <w:szCs w:val="20"/>
                <w:color w:val="auto"/>
              </w:rPr>
            </w:pPr>
            <w:r>
              <w:rPr>
                <w:rFonts w:ascii="Arial" w:cs="Arial" w:eastAsia="Arial" w:hAnsi="Arial"/>
                <w:sz w:val="18"/>
                <w:szCs w:val="18"/>
                <w:color w:val="auto"/>
                <w:w w:val="89"/>
              </w:rPr>
              <w:t>W. Robert Reum</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5"/>
              </w:rPr>
              <w:t>W. Robert Reum</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08"/>
        </w:trPr>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2"/>
          </w:tcPr>
          <w:p>
            <w:pPr>
              <w:jc w:val="center"/>
              <w:ind w:right="1081"/>
              <w:spacing w:after="0"/>
              <w:rPr>
                <w:sz w:val="20"/>
                <w:szCs w:val="20"/>
                <w:color w:val="auto"/>
              </w:rPr>
            </w:pPr>
            <w:r>
              <w:rPr>
                <w:rFonts w:ascii="Arial" w:cs="Arial" w:eastAsia="Arial" w:hAnsi="Arial"/>
                <w:sz w:val="18"/>
                <w:szCs w:val="18"/>
                <w:color w:val="auto"/>
                <w:w w:val="89"/>
              </w:rPr>
              <w:t>Thomas H. Weidemeyer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20, 2015</w:t>
            </w: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jc w:val="center"/>
              <w:ind w:right="1301"/>
              <w:spacing w:after="0"/>
              <w:rPr>
                <w:sz w:val="20"/>
                <w:szCs w:val="20"/>
                <w:color w:val="auto"/>
              </w:rPr>
            </w:pPr>
            <w:r>
              <w:rPr>
                <w:rFonts w:ascii="Arial" w:cs="Arial" w:eastAsia="Arial" w:hAnsi="Arial"/>
                <w:sz w:val="14"/>
                <w:szCs w:val="14"/>
                <w:b w:val="1"/>
                <w:bCs w:val="1"/>
                <w:color w:val="auto"/>
                <w:w w:val="93"/>
              </w:rPr>
              <w:t>Thomas H. Weidemeyer</w:t>
            </w: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56" w:lineRule="exact"/>
        <w:rPr>
          <w:sz w:val="20"/>
          <w:szCs w:val="20"/>
          <w:color w:val="auto"/>
        </w:rPr>
      </w:pPr>
    </w:p>
    <w:p>
      <w:pPr>
        <w:ind w:left="480" w:hanging="719"/>
        <w:spacing w:after="0" w:line="277" w:lineRule="auto"/>
        <w:tabs>
          <w:tab w:leader="none" w:pos="460" w:val="left"/>
        </w:tabs>
        <w:rPr>
          <w:sz w:val="20"/>
          <w:szCs w:val="20"/>
          <w:color w:val="auto"/>
        </w:rPr>
      </w:pPr>
      <w:r>
        <w:rPr>
          <w:rFonts w:ascii="Arial" w:cs="Arial" w:eastAsia="Arial" w:hAnsi="Arial"/>
          <w:sz w:val="18"/>
          <w:szCs w:val="18"/>
          <w:color w:val="auto"/>
        </w:rPr>
        <w:t>4.1</w:t>
        <w:tab/>
        <w:t>— Third Restated Certificate of Incorporation (Incorporated by reference to Exhibit 3.1 to the Registrant’s Quarterly Report on Form 10-Q for the quarter ended June 30, 2010).</w:t>
      </w:r>
    </w:p>
    <w:p>
      <w:pPr>
        <w:spacing w:after="0" w:line="62" w:lineRule="exact"/>
        <w:rPr>
          <w:sz w:val="20"/>
          <w:szCs w:val="20"/>
          <w:color w:val="auto"/>
        </w:rPr>
      </w:pPr>
    </w:p>
    <w:p>
      <w:pPr>
        <w:ind w:left="480" w:right="580" w:hanging="719"/>
        <w:spacing w:after="0" w:line="277" w:lineRule="auto"/>
        <w:tabs>
          <w:tab w:leader="none" w:pos="460" w:val="left"/>
        </w:tabs>
        <w:rPr>
          <w:sz w:val="20"/>
          <w:szCs w:val="20"/>
          <w:color w:val="auto"/>
        </w:rPr>
      </w:pPr>
      <w:r>
        <w:rPr>
          <w:rFonts w:ascii="Arial" w:cs="Arial" w:eastAsia="Arial" w:hAnsi="Arial"/>
          <w:sz w:val="18"/>
          <w:szCs w:val="18"/>
          <w:color w:val="auto"/>
        </w:rPr>
        <w:t>4.2</w:t>
        <w:tab/>
        <w:t>— Amended and Restated Bylaws (Incorporated by reference to Exhibit 3.2 to the Registrant’s Current Report on Form 8-K filed with the Commission on December 12, 2012).</w:t>
      </w:r>
    </w:p>
    <w:p>
      <w:pPr>
        <w:spacing w:after="0" w:line="62" w:lineRule="exact"/>
        <w:rPr>
          <w:sz w:val="20"/>
          <w:szCs w:val="20"/>
          <w:color w:val="auto"/>
        </w:rPr>
      </w:pPr>
    </w:p>
    <w:p>
      <w:pPr>
        <w:ind w:left="100"/>
        <w:spacing w:after="0"/>
        <w:tabs>
          <w:tab w:leader="none" w:pos="460" w:val="left"/>
          <w:tab w:leader="none" w:pos="800" w:val="left"/>
        </w:tabs>
        <w:rPr>
          <w:sz w:val="20"/>
          <w:szCs w:val="20"/>
          <w:color w:val="auto"/>
        </w:rPr>
      </w:pPr>
      <w:r>
        <w:rPr>
          <w:rFonts w:ascii="Arial" w:cs="Arial" w:eastAsia="Arial" w:hAnsi="Arial"/>
          <w:sz w:val="18"/>
          <w:szCs w:val="18"/>
          <w:color w:val="auto"/>
        </w:rPr>
        <w:t>5.1</w:t>
        <w:tab/>
        <w:t>—</w:t>
      </w:r>
      <w:r>
        <w:rPr>
          <w:sz w:val="20"/>
          <w:szCs w:val="20"/>
          <w:color w:val="auto"/>
        </w:rPr>
        <w:tab/>
      </w:r>
      <w:r>
        <w:rPr>
          <w:rFonts w:ascii="Arial" w:cs="Arial" w:eastAsia="Arial" w:hAnsi="Arial"/>
          <w:sz w:val="16"/>
          <w:szCs w:val="16"/>
          <w:color w:val="auto"/>
        </w:rPr>
        <w:t>Opinion of Courtney Tippy.</w:t>
      </w:r>
    </w:p>
    <w:p>
      <w:pPr>
        <w:spacing w:after="0" w:line="117"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23.1</w:t>
        <w:tab/>
        <w:t>—</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Consent of Courtney Tippy (included in Exhibit 5.1).</w:t>
      </w:r>
    </w:p>
    <w:p>
      <w:pPr>
        <w:spacing w:after="0" w:line="117"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24.1</w:t>
        <w:tab/>
        <w:t>—</w:t>
      </w:r>
      <w:r>
        <w:rPr>
          <w:sz w:val="20"/>
          <w:szCs w:val="20"/>
          <w:color w:val="auto"/>
        </w:rPr>
        <w:tab/>
      </w:r>
      <w:r>
        <w:rPr>
          <w:rFonts w:ascii="Arial" w:cs="Arial" w:eastAsia="Arial" w:hAnsi="Arial"/>
          <w:sz w:val="16"/>
          <w:szCs w:val="16"/>
          <w:color w:val="auto"/>
        </w:rPr>
        <w:t>Powers of Attorney (included on the signature page of this Registration Statement).</w:t>
      </w:r>
    </w:p>
    <w:p>
      <w:pPr>
        <w:spacing w:after="0" w:line="117" w:lineRule="exact"/>
        <w:rPr>
          <w:sz w:val="20"/>
          <w:szCs w:val="20"/>
          <w:color w:val="auto"/>
        </w:rPr>
      </w:pPr>
    </w:p>
    <w:p>
      <w:pPr>
        <w:ind w:left="480" w:right="440" w:hanging="809"/>
        <w:spacing w:after="0" w:line="277" w:lineRule="auto"/>
        <w:tabs>
          <w:tab w:leader="none" w:pos="460" w:val="left"/>
        </w:tabs>
        <w:rPr>
          <w:sz w:val="20"/>
          <w:szCs w:val="20"/>
          <w:color w:val="auto"/>
        </w:rPr>
      </w:pPr>
      <w:r>
        <w:rPr>
          <w:rFonts w:ascii="Arial" w:cs="Arial" w:eastAsia="Arial" w:hAnsi="Arial"/>
          <w:sz w:val="18"/>
          <w:szCs w:val="18"/>
          <w:color w:val="auto"/>
        </w:rPr>
        <w:t>99.1</w:t>
        <w:tab/>
        <w:t>— Waste Management, Inc. Employee Stock Purchase Plan (Incorporated by reference to Exhibit 10.1 to the Registrant’s Current Report on Form 8-K filed with the Commission on May 15, 2015).</w:t>
      </w:r>
    </w:p>
    <w:p>
      <w:pPr>
        <w:sectPr>
          <w:pgSz w:w="11900" w:h="16838" w:orient="portrait"/>
          <w:cols w:equalWidth="0" w:num="1">
            <w:col w:w="11120"/>
          </w:cols>
          <w:pgMar w:left="240" w:top="270"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I am Assistant General Counsel – Securities &amp; Governance, Corporate Secretary for Waste Management, Inc., a Delaware corporation (the “Company”), and have acted in such capacity in connection with the registration under the Securities Act of 1933, as amended (the “Act”), of 3,000,000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or about May 20, 2015.</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Employee Stock Purchase Plan (the “Plan”), the resolutions of the Board of Directors and records of the Annual Meeting of Stockholders of the Company relating to adoption and approval of the amendment to the Plan, and such other documents and instruments as I have deemed necessary or appropriate for the expression of the opinions contained herein.</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spacing w:after="0" w:line="18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Based on the foregoing, and having a regard for such legal considerations as I have deemed relevant, I am of the opinion that the shares of Common Stock have been duly authorized, and when issued and sold in accordance with the Plan, will be validly issued, fully paid and non-assessable.</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Securities Act of 1933, as amended, or the rules and regulations of the Securities and Exchange Commission promulgated thereunder.</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Courtney Tippy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Courtney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General Counsel – Securities &amp; Governance,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Waste Management, Inc. Employee Stock Purchase Plan of our reports dated February 17, 2015, with respect to the consolidated financial statements and schedule of Waste Management, Inc. and the effectiveness of internal control over financial reporting of Waste Management, Inc. included in its Annual Report (Form 10-K) for the year ended December 31, 2014, filed with the Securities and Exchange Commission.</w:t>
      </w:r>
    </w:p>
    <w:p>
      <w:pPr>
        <w:spacing w:after="0" w:line="29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2019-12-06T01:55:57Z</dcterms:created>
  <dcterms:modified xsi:type="dcterms:W3CDTF">2019-12-06T01:55:57Z</dcterms:modified>
</cp:coreProperties>
</file>