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5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64770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89" w:lineRule="exact"/>
        <w:rPr>
          <w:sz w:val="20"/>
          <w:szCs w:val="20"/>
          <w:color w:val="auto"/>
        </w:rPr>
      </w:pPr>
    </w:p>
    <w:p>
      <w:pPr>
        <w:jc w:val="center"/>
        <w:ind w:right="-5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92710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3"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August 4, 2005</w:t>
      </w:r>
    </w:p>
    <w:p>
      <w:pPr>
        <w:spacing w:after="0" w:line="146" w:lineRule="exact"/>
        <w:rPr>
          <w:sz w:val="20"/>
          <w:szCs w:val="20"/>
          <w:color w:val="auto"/>
        </w:rPr>
      </w:pPr>
    </w:p>
    <w:p>
      <w:pPr>
        <w:jc w:val="center"/>
        <w:ind w:right="-599"/>
        <w:spacing w:after="0"/>
        <w:rPr>
          <w:sz w:val="20"/>
          <w:szCs w:val="20"/>
          <w:color w:val="auto"/>
        </w:rPr>
      </w:pPr>
      <w:r>
        <w:rPr>
          <w:rFonts w:ascii="Arial" w:cs="Arial" w:eastAsia="Arial" w:hAnsi="Arial"/>
          <w:sz w:val="43"/>
          <w:szCs w:val="43"/>
          <w:b w:val="1"/>
          <w:bCs w:val="1"/>
          <w:color w:val="auto"/>
        </w:rPr>
        <w:t>Waste Management, Inc.</w:t>
      </w:r>
    </w:p>
    <w:p>
      <w:pPr>
        <w:spacing w:after="0" w:line="42" w:lineRule="exact"/>
        <w:rPr>
          <w:sz w:val="20"/>
          <w:szCs w:val="20"/>
          <w:color w:val="auto"/>
        </w:rPr>
      </w:pPr>
    </w:p>
    <w:p>
      <w:pPr>
        <w:ind w:left="4240"/>
        <w:spacing w:after="0"/>
        <w:rPr>
          <w:sz w:val="20"/>
          <w:szCs w:val="20"/>
          <w:color w:val="auto"/>
        </w:rPr>
      </w:pPr>
      <w:r>
        <w:rPr>
          <w:rFonts w:ascii="Arial" w:cs="Arial" w:eastAsia="Arial" w:hAnsi="Arial"/>
          <w:sz w:val="14"/>
          <w:szCs w:val="14"/>
          <w:i w:val="1"/>
          <w:iCs w:val="1"/>
          <w:color w:val="auto"/>
        </w:rPr>
        <w:t>(Exact Name of Registrant as Specified in Charter)</w:t>
      </w:r>
    </w:p>
    <w:p>
      <w:pPr>
        <w:spacing w:after="0" w:line="152"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30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Delaware</w:t>
            </w:r>
          </w:p>
        </w:tc>
        <w:tc>
          <w:tcPr>
            <w:tcW w:w="4900" w:type="dxa"/>
            <w:vAlign w:val="bottom"/>
          </w:tcPr>
          <w:p>
            <w:pPr>
              <w:jc w:val="right"/>
              <w:ind w:right="1970"/>
              <w:spacing w:after="0"/>
              <w:rPr>
                <w:sz w:val="20"/>
                <w:szCs w:val="20"/>
                <w:color w:val="auto"/>
              </w:rPr>
            </w:pPr>
            <w:r>
              <w:rPr>
                <w:rFonts w:ascii="Arial" w:cs="Arial" w:eastAsia="Arial" w:hAnsi="Arial"/>
                <w:sz w:val="18"/>
                <w:szCs w:val="18"/>
                <w:b w:val="1"/>
                <w:bCs w:val="1"/>
                <w:color w:val="auto"/>
              </w:rPr>
              <w:t>1-12154</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73-1309529</w:t>
            </w:r>
          </w:p>
        </w:tc>
      </w:tr>
      <w:tr>
        <w:trPr>
          <w:trHeight w:val="216"/>
        </w:trPr>
        <w:tc>
          <w:tcPr>
            <w:tcW w:w="3040" w:type="dxa"/>
            <w:vAlign w:val="bottom"/>
          </w:tcPr>
          <w:p>
            <w:pPr>
              <w:jc w:val="center"/>
              <w:ind w:right="30"/>
              <w:spacing w:after="0"/>
              <w:rPr>
                <w:sz w:val="20"/>
                <w:szCs w:val="20"/>
                <w:color w:val="auto"/>
              </w:rPr>
            </w:pPr>
            <w:r>
              <w:rPr>
                <w:rFonts w:ascii="Arial" w:cs="Arial" w:eastAsia="Arial" w:hAnsi="Arial"/>
                <w:sz w:val="18"/>
                <w:szCs w:val="18"/>
                <w:i w:val="1"/>
                <w:iCs w:val="1"/>
                <w:color w:val="auto"/>
                <w:w w:val="93"/>
              </w:rPr>
              <w:t>(State or Other Jurisdiction</w:t>
            </w:r>
          </w:p>
        </w:tc>
        <w:tc>
          <w:tcPr>
            <w:tcW w:w="4900" w:type="dxa"/>
            <w:vAlign w:val="bottom"/>
          </w:tcPr>
          <w:p>
            <w:pPr>
              <w:jc w:val="center"/>
              <w:ind w:left="70"/>
              <w:spacing w:after="0"/>
              <w:rPr>
                <w:sz w:val="20"/>
                <w:szCs w:val="20"/>
                <w:color w:val="auto"/>
              </w:rPr>
            </w:pPr>
            <w:r>
              <w:rPr>
                <w:rFonts w:ascii="Arial" w:cs="Arial" w:eastAsia="Arial" w:hAnsi="Arial"/>
                <w:sz w:val="18"/>
                <w:szCs w:val="18"/>
                <w:i w:val="1"/>
                <w:iCs w:val="1"/>
                <w:color w:val="auto"/>
                <w:w w:val="92"/>
              </w:rPr>
              <w:t>(Commission File Number)</w:t>
            </w:r>
          </w:p>
        </w:tc>
        <w:tc>
          <w:tcPr>
            <w:tcW w:w="206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040" w:type="dxa"/>
            <w:vAlign w:val="bottom"/>
          </w:tcPr>
          <w:p>
            <w:pPr>
              <w:jc w:val="center"/>
              <w:ind w:right="50"/>
              <w:spacing w:after="0"/>
              <w:rPr>
                <w:sz w:val="20"/>
                <w:szCs w:val="20"/>
                <w:color w:val="auto"/>
              </w:rPr>
            </w:pPr>
            <w:r>
              <w:rPr>
                <w:rFonts w:ascii="Arial" w:cs="Arial" w:eastAsia="Arial" w:hAnsi="Arial"/>
                <w:sz w:val="18"/>
                <w:szCs w:val="18"/>
                <w:i w:val="1"/>
                <w:iCs w:val="1"/>
                <w:color w:val="auto"/>
                <w:w w:val="96"/>
              </w:rPr>
              <w:t>of Incorporation)</w:t>
            </w:r>
          </w:p>
        </w:tc>
        <w:tc>
          <w:tcPr>
            <w:tcW w:w="4900" w:type="dxa"/>
            <w:vAlign w:val="bottom"/>
          </w:tcPr>
          <w:p>
            <w:pPr>
              <w:spacing w:after="0"/>
              <w:rPr>
                <w:sz w:val="20"/>
                <w:szCs w:val="20"/>
                <w:color w:val="auto"/>
              </w:rPr>
            </w:pPr>
          </w:p>
        </w:tc>
        <w:tc>
          <w:tcPr>
            <w:tcW w:w="2060" w:type="dxa"/>
            <w:vAlign w:val="bottom"/>
          </w:tcPr>
          <w:p>
            <w:pPr>
              <w:jc w:val="center"/>
              <w:ind w:left="63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3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1001 Fannin, Suite 4000</w:t>
            </w:r>
          </w:p>
        </w:tc>
        <w:tc>
          <w:tcPr>
            <w:tcW w:w="4900" w:type="dxa"/>
            <w:vAlign w:val="bottom"/>
          </w:tcPr>
          <w:p>
            <w:pPr>
              <w:spacing w:after="0"/>
              <w:rPr>
                <w:sz w:val="24"/>
                <w:szCs w:val="24"/>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rPr>
              <w:t>77002</w:t>
            </w:r>
          </w:p>
        </w:tc>
      </w:tr>
      <w:tr>
        <w:trPr>
          <w:trHeight w:val="220"/>
        </w:trPr>
        <w:tc>
          <w:tcPr>
            <w:tcW w:w="30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Houston, Texas</w:t>
            </w:r>
          </w:p>
        </w:tc>
        <w:tc>
          <w:tcPr>
            <w:tcW w:w="4900" w:type="dxa"/>
            <w:vAlign w:val="bottom"/>
          </w:tcPr>
          <w:p>
            <w:pPr>
              <w:spacing w:after="0"/>
              <w:rPr>
                <w:sz w:val="19"/>
                <w:szCs w:val="19"/>
                <w:color w:val="auto"/>
              </w:rPr>
            </w:pPr>
          </w:p>
        </w:tc>
        <w:tc>
          <w:tcPr>
            <w:tcW w:w="2060" w:type="dxa"/>
            <w:vAlign w:val="bottom"/>
          </w:tcPr>
          <w:p>
            <w:pPr>
              <w:jc w:val="center"/>
              <w:ind w:left="63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3040" w:type="dxa"/>
            <w:vAlign w:val="bottom"/>
          </w:tcPr>
          <w:p>
            <w:pPr>
              <w:jc w:val="center"/>
              <w:ind w:right="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9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22"/>
        </w:trPr>
        <w:tc>
          <w:tcPr>
            <w:tcW w:w="3040" w:type="dxa"/>
            <w:vAlign w:val="bottom"/>
          </w:tcPr>
          <w:p>
            <w:pPr>
              <w:spacing w:after="0"/>
              <w:rPr>
                <w:sz w:val="24"/>
                <w:szCs w:val="24"/>
                <w:color w:val="auto"/>
              </w:rPr>
            </w:pPr>
          </w:p>
        </w:tc>
        <w:tc>
          <w:tcPr>
            <w:tcW w:w="4900" w:type="dxa"/>
            <w:vAlign w:val="bottom"/>
          </w:tcPr>
          <w:p>
            <w:pPr>
              <w:jc w:val="center"/>
              <w:ind w:right="45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206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4900" w:type="dxa"/>
            <w:vAlign w:val="bottom"/>
          </w:tcPr>
          <w:p>
            <w:pPr>
              <w:jc w:val="right"/>
              <w:ind w:right="2070"/>
              <w:spacing w:after="0"/>
              <w:rPr>
                <w:sz w:val="20"/>
                <w:szCs w:val="20"/>
                <w:color w:val="auto"/>
              </w:rPr>
            </w:pPr>
            <w:r>
              <w:rPr>
                <w:rFonts w:ascii="Arial" w:cs="Arial" w:eastAsia="Arial" w:hAnsi="Arial"/>
                <w:sz w:val="18"/>
                <w:szCs w:val="18"/>
                <w:b w:val="1"/>
                <w:bCs w:val="1"/>
                <w:color w:val="auto"/>
              </w:rPr>
              <w:t>(713) 512-6200</w:t>
            </w:r>
          </w:p>
        </w:tc>
        <w:tc>
          <w:tcPr>
            <w:tcW w:w="2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68580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295910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22" w:right="8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EE"/>
        </w:rPr>
        <w:t>Employment Agreement - Recycle America Alliance, LLC and Patrick DeRueda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153035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i w:val="1"/>
          <w:iCs w:val="1"/>
          <w:color w:val="auto"/>
        </w:rPr>
        <w:t>Entry into a Material Definitive Agreement</w:t>
      </w:r>
    </w:p>
    <w:p>
      <w:pPr>
        <w:spacing w:after="0" w:line="121"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On August 4, 2005, Recycle America Alliance, L.L.C. (“RAA”), a majority owned subsidiary of Waste Management, Inc. (the “Company”), entered into an employment agreement with Patrick DeRueda, President of RAA, effective as of March 1, 2005. The Company announced in March that Mr. DeRueda had been named President of RAA, reporting directly to Larry O’Donnell, President and Chief Operating Officer of the Company.</w:t>
      </w:r>
    </w:p>
    <w:p>
      <w:pPr>
        <w:spacing w:after="0" w:line="57" w:lineRule="exact"/>
        <w:rPr>
          <w:sz w:val="20"/>
          <w:szCs w:val="20"/>
          <w:color w:val="auto"/>
        </w:rPr>
      </w:pPr>
    </w:p>
    <w:p>
      <w:pPr>
        <w:ind w:right="40" w:firstLine="267"/>
        <w:spacing w:after="0" w:line="285" w:lineRule="auto"/>
        <w:rPr>
          <w:sz w:val="20"/>
          <w:szCs w:val="20"/>
          <w:color w:val="auto"/>
        </w:rPr>
      </w:pPr>
      <w:r>
        <w:rPr>
          <w:rFonts w:ascii="Arial" w:cs="Arial" w:eastAsia="Arial" w:hAnsi="Arial"/>
          <w:sz w:val="16"/>
          <w:szCs w:val="16"/>
          <w:color w:val="auto"/>
        </w:rPr>
        <w:t>The agreement is for a term of two years, and automatically renews for successive one-year periods thereafter. During the employment period, Mr. DeRueda shall be paid a minimum base salary of $270,000 per year and shall be entitled to a bonus in accordance with the Company’s incentive compensation plan. Mr. DeRueda shall have a target annual bonus of 60% of his base salary, although his actual bonus may range from 0 — 120% of his base salary, depending on the achievement of certain personal and corporate performance goals. Additionally, Mr. DeRueda shall be entitled to certain perquisites, including an annual automobile allowance, financial planning services, social organization initiation fees and dues and an annual physical examination.</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Mr. DeRueda shall also be entitled to participate in or receive benefits under any and all plans and programs made available to executive employees of the Company generally.</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the event of the termination of Mr. DeRueda’s employment by the Company, he will be entitled to certain severance payments. Specifically, if</w:t>
      </w:r>
    </w:p>
    <w:p>
      <w:pPr>
        <w:spacing w:after="0" w:line="3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Mr. DeRueda is terminated without cause, in addition to the benefits all employees receive, including all accrued but unpaid base salary and payments under applicable Company plans, policies and arrangements, Mr. DeRueda generally is entitled to a cash payment equal to two times his base salary and target bonus; continuation of all health and welfare plan benefits for him and his family for the lesser of two years, his death or until he becomes covered by a subsequent employer; and a pro-rated bonus payment for the year in which he is terminated. In the event Mr. DeRueda is terminated without cause, or leaves the Company for good reason, in connection with a change in control, he generally is entitled to the same benefits that he would receive as described for a termination without cause, except that his cash payment will be three times his base salary and target bonus, benefits will continue for a period of three years and he will receive 100% of the maximum bonus available, pro rated to the date of termination. In the event Mr. DeRueda’s employment is terminated by reason of death or total disability, he generally will receive all amounts accrued but unpaid at the date of termination, a pro rated bonus payment and any benefits to which he is entitled pursuant to the plans, policies and arrangements of the Company in accordance with their terms.</w:t>
      </w:r>
    </w:p>
    <w:p>
      <w:pPr>
        <w:spacing w:after="0" w:line="58"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Mr. DeRueda’s agreement also contains certain restrictive covenants, including covenants not to compete or solicit Company customers or employees for a period of two years after the termination of his employment, and a covenant not to disparage the Company.</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terms “cause,” “good reason,” and “total disability” are all defined in Mr. DeRueda’s employment agreement.</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Employment Agreement between Recycle America Alliance, L.L.C. and Patrick DeRueda, dated August 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i w:val="1"/>
          <w:iCs w:val="1"/>
          <w:color w:val="auto"/>
        </w:rPr>
        <w:t>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40" w:type="dxa"/>
            <w:vAlign w:val="bottom"/>
            <w:gridSpan w:val="3"/>
          </w:tcPr>
          <w:p>
            <w:pPr>
              <w:ind w:left="26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6"/>
        </w:trPr>
        <w:tc>
          <w:tcPr>
            <w:tcW w:w="2240" w:type="dxa"/>
            <w:vAlign w:val="bottom"/>
          </w:tcPr>
          <w:p>
            <w:pPr>
              <w:jc w:val="right"/>
              <w:ind w:right="802"/>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1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240" w:type="dxa"/>
            <w:vAlign w:val="bottom"/>
          </w:tcPr>
          <w:p>
            <w:pPr>
              <w:jc w:val="right"/>
              <w:ind w:right="822"/>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w w:val="99"/>
              </w:rPr>
              <w:t>Employment Agreement between Recycle America Alliance, L.L.C. and Patrick DeRueda, dated August 4, 2005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jc w:val="both"/>
        <w:ind w:right="40" w:firstLine="267"/>
        <w:spacing w:after="0" w:line="286" w:lineRule="auto"/>
        <w:rPr>
          <w:sz w:val="20"/>
          <w:szCs w:val="20"/>
          <w:color w:val="auto"/>
        </w:rPr>
      </w:pPr>
      <w:r>
        <w:rPr>
          <w:rFonts w:ascii="Arial" w:cs="Arial" w:eastAsia="Arial" w:hAnsi="Arial"/>
          <w:sz w:val="17"/>
          <w:szCs w:val="17"/>
          <w:color w:val="auto"/>
        </w:rPr>
        <w:t>This EMPLOYMENT AGREEMENT (the “Agreement”) is made and entered into on this 4th day of August, 2005, but as effective as of the date set forth herein, by and between Recycle America Alliance, L.L.C. and Patrick DeRueda (the “Executive”). Recycle America Alliance, L.L.C. is an indirect subsidiary of Waste Management, Inc. (“WMI”). Recycle America Alliance, L.L.C. and all of its affiliates shall be referred to herein as “the Company.”</w:t>
      </w:r>
    </w:p>
    <w:p>
      <w:pPr>
        <w:spacing w:after="0" w:line="16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121" w:lineRule="exact"/>
        <w:rPr>
          <w:sz w:val="20"/>
          <w:szCs w:val="20"/>
          <w:color w:val="auto"/>
        </w:rPr>
      </w:pPr>
    </w:p>
    <w:p>
      <w:pPr>
        <w:ind w:right="340" w:firstLine="267"/>
        <w:spacing w:after="0" w:line="277"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62"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Executive acknowledges and represents that, any and all prior employment agreements, are terminated, and that any and all obligation of the Company created thereunder, whether express or implied, are null and void and of no further force or effect, and that the only rights, obligations and duties between the Company and Executive are those expressly set forth in this Agreement.</w:t>
      </w:r>
    </w:p>
    <w:p>
      <w:pPr>
        <w:spacing w:after="0" w:line="17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Term of Employment.</w:t>
      </w:r>
    </w:p>
    <w:p>
      <w:pPr>
        <w:spacing w:after="0" w:line="121"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The period of Executive’s employment under this Agreement shall commence on March 1, 2005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18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Responsibilities.</w:t>
      </w:r>
    </w:p>
    <w:p>
      <w:pPr>
        <w:spacing w:after="0" w:line="121" w:lineRule="exact"/>
        <w:rPr>
          <w:rFonts w:ascii="Arial" w:cs="Arial" w:eastAsia="Arial" w:hAnsi="Arial"/>
          <w:sz w:val="18"/>
          <w:szCs w:val="18"/>
          <w:b w:val="1"/>
          <w:bCs w:val="1"/>
          <w:color w:val="auto"/>
        </w:rPr>
      </w:pPr>
    </w:p>
    <w:p>
      <w:pPr>
        <w:jc w:val="both"/>
        <w:ind w:right="80" w:firstLine="278"/>
        <w:spacing w:after="0" w:line="279" w:lineRule="auto"/>
        <w:tabs>
          <w:tab w:leader="none" w:pos="525"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Executive shall serve as the President of Recycle America Alliance, L.L.C. In such capacity, Executive shall perform such duties and have the power, authority, and functions commensurate with such position in similarly-sized public companies, and have and possess such other authority and functions as set forth by the Board of Managers of the Company, and as may be assigned to Executive from time to time by the Chief Executive Officer of WMI, the President of WMI, or the Chief Operating Officer of WMI (in any such case, hereinafter referred to as the “Chief Executive Officer”).</w:t>
      </w:r>
    </w:p>
    <w:p>
      <w:pPr>
        <w:spacing w:after="0" w:line="63" w:lineRule="exact"/>
        <w:rPr>
          <w:rFonts w:ascii="Arial" w:cs="Arial" w:eastAsia="Arial" w:hAnsi="Arial"/>
          <w:sz w:val="17"/>
          <w:szCs w:val="17"/>
          <w:b w:val="1"/>
          <w:bCs w:val="1"/>
          <w:color w:val="auto"/>
        </w:rPr>
      </w:pPr>
    </w:p>
    <w:p>
      <w:pPr>
        <w:ind w:right="20" w:firstLine="278"/>
        <w:spacing w:after="0" w:line="276" w:lineRule="auto"/>
        <w:tabs>
          <w:tab w:leader="none" w:pos="535" w:val="left"/>
        </w:tabs>
        <w:numPr>
          <w:ilvl w:val="1"/>
          <w:numId w:val="4"/>
        </w:numPr>
        <w:rPr>
          <w:rFonts w:ascii="Arial" w:cs="Arial" w:eastAsia="Arial" w:hAnsi="Arial"/>
          <w:sz w:val="17"/>
          <w:szCs w:val="17"/>
          <w:b w:val="1"/>
          <w:bCs w:val="1"/>
          <w:color w:val="auto"/>
        </w:rPr>
      </w:pPr>
      <w:r>
        <w:rPr>
          <w:rFonts w:ascii="Arial" w:cs="Arial" w:eastAsia="Arial" w:hAnsi="Arial"/>
          <w:sz w:val="17"/>
          <w:szCs w:val="17"/>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10 of this Agreement), be involved in charitable and professional activities, and, with the prior written consent of the Chief Executive Officer, serve on boards of other for profit entities, provided such activities do not materially interfere with the performance of his duties hereunder (however, the Chief Executive Officer does not typically allow officers to serve on more than one public company board at a time).</w:t>
      </w:r>
    </w:p>
    <w:p>
      <w:pPr>
        <w:spacing w:after="0" w:line="168" w:lineRule="exact"/>
        <w:rPr>
          <w:rFonts w:ascii="Arial" w:cs="Arial" w:eastAsia="Arial" w:hAnsi="Arial"/>
          <w:sz w:val="17"/>
          <w:szCs w:val="17"/>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117" w:lineRule="exact"/>
        <w:rPr>
          <w:rFonts w:ascii="Arial" w:cs="Arial" w:eastAsia="Arial" w:hAnsi="Arial"/>
          <w:sz w:val="18"/>
          <w:szCs w:val="18"/>
          <w:b w:val="1"/>
          <w:bCs w:val="1"/>
          <w:color w:val="auto"/>
        </w:rPr>
      </w:pPr>
    </w:p>
    <w:p>
      <w:pPr>
        <w:ind w:right="160" w:firstLine="278"/>
        <w:spacing w:after="0" w:line="314" w:lineRule="auto"/>
        <w:tabs>
          <w:tab w:leader="none" w:pos="525"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During the Employment Period, the Company shall pay Executive a base salary at the annual rate of Two Hundred Seventy Thousand</w:t>
      </w:r>
      <w:r>
        <w:rPr>
          <w:rFonts w:ascii="Arial" w:cs="Arial" w:eastAsia="Arial" w:hAnsi="Arial"/>
          <w:sz w:val="16"/>
          <w:szCs w:val="16"/>
          <w:b w:val="1"/>
          <w:bCs w:val="1"/>
          <w:color w:val="auto"/>
        </w:rPr>
        <w:t xml:space="preserve"> </w:t>
      </w:r>
      <w:r>
        <w:rPr>
          <w:rFonts w:ascii="Arial" w:cs="Arial" w:eastAsia="Arial" w:hAnsi="Arial"/>
          <w:sz w:val="16"/>
          <w:szCs w:val="16"/>
          <w:color w:val="auto"/>
        </w:rPr>
        <w:t>dollars ($270,000.00)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34" w:lineRule="exact"/>
        <w:rPr>
          <w:rFonts w:ascii="Arial" w:cs="Arial" w:eastAsia="Arial" w:hAnsi="Arial"/>
          <w:sz w:val="16"/>
          <w:szCs w:val="16"/>
          <w:b w:val="1"/>
          <w:bCs w:val="1"/>
          <w:color w:val="auto"/>
        </w:rPr>
      </w:pPr>
    </w:p>
    <w:p>
      <w:pPr>
        <w:ind w:right="60" w:firstLine="278"/>
        <w:spacing w:after="0" w:line="266" w:lineRule="auto"/>
        <w:tabs>
          <w:tab w:leader="none" w:pos="525"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During the Employment Period, Executive will be entitled to participate in an annual incentive compensation plan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Compensation Committee of the Board from time to time. The Executive’s target annual bonus will be sixty percent (60%) of his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100"/>
        <w:spacing w:after="0" w:line="255" w:lineRule="auto"/>
        <w:rPr>
          <w:sz w:val="20"/>
          <w:szCs w:val="20"/>
          <w:color w:val="auto"/>
        </w:rPr>
      </w:pPr>
      <w:r>
        <w:rPr>
          <w:rFonts w:ascii="Arial" w:cs="Arial" w:eastAsia="Arial" w:hAnsi="Arial"/>
          <w:sz w:val="18"/>
          <w:szCs w:val="18"/>
          <w:color w:val="auto"/>
        </w:rPr>
        <w:t>in effect for such year (the “Target Bonus”), and his actual annual bonus may range from 0% to 120% of Base Salary (</w:t>
      </w:r>
      <w:r>
        <w:rPr>
          <w:rFonts w:ascii="Arial" w:cs="Arial" w:eastAsia="Arial" w:hAnsi="Arial"/>
          <w:sz w:val="18"/>
          <w:szCs w:val="18"/>
          <w:i w:val="1"/>
          <w:iCs w:val="1"/>
          <w:color w:val="auto"/>
        </w:rPr>
        <w:t>i.e</w:t>
      </w:r>
      <w:r>
        <w:rPr>
          <w:rFonts w:ascii="Arial" w:cs="Arial" w:eastAsia="Arial" w:hAnsi="Arial"/>
          <w:sz w:val="18"/>
          <w:szCs w:val="18"/>
          <w:color w:val="auto"/>
        </w:rPr>
        <w:t>., a maximum possible bonus of two times the Target Bonus), and will be determined based upon (i) the achievement of certain corporate performance goals, as may be established and approved by from time to time by the Compensation Committee of the Board of Directors of WMI, and (ii) the achievement of personal performance goals as may be established by Executive’s immediate supervisor. The annual bonus for calendar year 2005 will be paid in 2006, if earned, at the same time as similarly situated executive employees of WMI receive or would otherwise receive their bonuses, provided that Executive remains employed through the end of the 2005 calendar year.</w:t>
      </w:r>
    </w:p>
    <w:p>
      <w:pPr>
        <w:spacing w:after="0" w:line="81" w:lineRule="exact"/>
        <w:rPr>
          <w:sz w:val="20"/>
          <w:szCs w:val="20"/>
          <w:color w:val="auto"/>
        </w:rPr>
      </w:pPr>
    </w:p>
    <w:p>
      <w:pPr>
        <w:ind w:firstLine="278"/>
        <w:spacing w:after="0" w:line="258" w:lineRule="auto"/>
        <w:tabs>
          <w:tab w:leader="none" w:pos="51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Neither WMI nor the Company shall not be obligated to institute, maintain, or refrain from changing, amending, or discontinuing any benefit plan, or perquisite, so long as such changes are similarly applicable to similarly situated employees generally.</w:t>
      </w:r>
    </w:p>
    <w:p>
      <w:pPr>
        <w:spacing w:after="0" w:line="80"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58" w:lineRule="exact"/>
        <w:rPr>
          <w:sz w:val="20"/>
          <w:szCs w:val="20"/>
          <w:color w:val="auto"/>
        </w:rPr>
      </w:pPr>
    </w:p>
    <w:p>
      <w:pPr>
        <w:ind w:right="20" w:firstLine="278"/>
        <w:spacing w:after="0" w:line="313" w:lineRule="auto"/>
        <w:tabs>
          <w:tab w:leader="none" w:pos="53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 Reimbursement. </w:t>
      </w:r>
      <w:r>
        <w:rPr>
          <w:rFonts w:ascii="Arial" w:cs="Arial" w:eastAsia="Arial" w:hAnsi="Arial"/>
          <w:sz w:val="17"/>
          <w:szCs w:val="17"/>
          <w:color w:val="auto"/>
        </w:rPr>
        <w:t>The Company shall promptly reimburse Executive for the ordinary and necessary business expenses incurred by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performance of the duties hereunder in accordance with the Company’s customary practices applicable to its executive officers.</w:t>
      </w:r>
    </w:p>
    <w:p>
      <w:pPr>
        <w:spacing w:after="0" w:line="30" w:lineRule="exact"/>
        <w:rPr>
          <w:rFonts w:ascii="Arial" w:cs="Arial" w:eastAsia="Arial" w:hAnsi="Arial"/>
          <w:sz w:val="17"/>
          <w:szCs w:val="17"/>
          <w:b w:val="1"/>
          <w:bCs w:val="1"/>
          <w:color w:val="auto"/>
        </w:rPr>
      </w:pPr>
    </w:p>
    <w:p>
      <w:pPr>
        <w:ind w:right="660" w:firstLine="278"/>
        <w:spacing w:after="0" w:line="282" w:lineRule="auto"/>
        <w:tabs>
          <w:tab w:leader="none" w:pos="51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WMI as approved by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of Directors of WMI, and as they may exist from time to time, including the following:</w:t>
      </w:r>
    </w:p>
    <w:p>
      <w:pPr>
        <w:spacing w:after="0" w:line="57" w:lineRule="exact"/>
        <w:rPr>
          <w:rFonts w:ascii="Arial" w:cs="Arial" w:eastAsia="Arial" w:hAnsi="Arial"/>
          <w:sz w:val="18"/>
          <w:szCs w:val="18"/>
          <w:b w:val="1"/>
          <w:bCs w:val="1"/>
          <w:color w:val="auto"/>
        </w:rPr>
      </w:pPr>
    </w:p>
    <w:p>
      <w:pPr>
        <w:ind w:left="360" w:right="200" w:firstLine="269"/>
        <w:spacing w:after="0" w:line="277" w:lineRule="auto"/>
        <w:tabs>
          <w:tab w:leader="none" w:pos="8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75" w:lineRule="exact"/>
        <w:rPr>
          <w:rFonts w:ascii="Arial" w:cs="Arial" w:eastAsia="Arial" w:hAnsi="Arial"/>
          <w:sz w:val="18"/>
          <w:szCs w:val="18"/>
          <w:color w:val="auto"/>
        </w:rPr>
      </w:pPr>
    </w:p>
    <w:p>
      <w:pPr>
        <w:ind w:left="900" w:hanging="271"/>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Financial planning services at actual cost, and not to exceed Fifteen Thousand Dollars ($15,000.00) annually;</w:t>
      </w:r>
    </w:p>
    <w:p>
      <w:pPr>
        <w:spacing w:after="0" w:line="130" w:lineRule="exact"/>
        <w:rPr>
          <w:rFonts w:ascii="Arial" w:cs="Arial" w:eastAsia="Arial" w:hAnsi="Arial"/>
          <w:sz w:val="18"/>
          <w:szCs w:val="18"/>
          <w:color w:val="auto"/>
        </w:rPr>
      </w:pPr>
    </w:p>
    <w:p>
      <w:pPr>
        <w:ind w:left="360" w:right="20" w:firstLine="269"/>
        <w:spacing w:after="0" w:line="264" w:lineRule="auto"/>
        <w:tabs>
          <w:tab w:leader="none" w:pos="9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Additional one-time financial planning services at actual cost, not to exceed $20,000, for services in preparation for voluntary retirement (for such purposes voluntary retirement means retirement from the Company after attainment of both (x) the age of 55 and (y) a sum of years of services with the Company plus age equal to 65 or greater);</w:t>
      </w:r>
    </w:p>
    <w:p>
      <w:pPr>
        <w:spacing w:after="0" w:line="86" w:lineRule="exact"/>
        <w:rPr>
          <w:rFonts w:ascii="Arial" w:cs="Arial" w:eastAsia="Arial" w:hAnsi="Arial"/>
          <w:sz w:val="18"/>
          <w:szCs w:val="18"/>
          <w:color w:val="auto"/>
        </w:rPr>
      </w:pPr>
    </w:p>
    <w:p>
      <w:pPr>
        <w:ind w:left="360" w:right="800" w:firstLine="269"/>
        <w:spacing w:after="0" w:line="277" w:lineRule="auto"/>
        <w:tabs>
          <w:tab w:leader="none" w:pos="935" w:val="left"/>
        </w:tabs>
        <w:numPr>
          <w:ilvl w:val="1"/>
          <w:numId w:val="6"/>
        </w:numPr>
        <w:rPr>
          <w:rFonts w:ascii="Arial" w:cs="Arial" w:eastAsia="Arial" w:hAnsi="Arial"/>
          <w:sz w:val="18"/>
          <w:szCs w:val="18"/>
          <w:color w:val="auto"/>
        </w:rPr>
      </w:pPr>
      <w:r>
        <w:rPr>
          <w:rFonts w:ascii="Arial" w:cs="Arial" w:eastAsia="Arial" w:hAnsi="Arial"/>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75" w:lineRule="exact"/>
        <w:rPr>
          <w:rFonts w:ascii="Arial" w:cs="Arial" w:eastAsia="Arial" w:hAnsi="Arial"/>
          <w:sz w:val="18"/>
          <w:szCs w:val="18"/>
          <w:color w:val="auto"/>
        </w:rPr>
      </w:pPr>
    </w:p>
    <w:p>
      <w:pPr>
        <w:ind w:left="880" w:hanging="251"/>
        <w:spacing w:after="0"/>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annual physical examination on a program designated by the Company.</w:t>
      </w:r>
    </w:p>
    <w:p>
      <w:pPr>
        <w:spacing w:after="0" w:line="2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13" w:lineRule="exact"/>
        <w:rPr>
          <w:sz w:val="20"/>
          <w:szCs w:val="20"/>
          <w:color w:val="auto"/>
        </w:rPr>
      </w:pPr>
    </w:p>
    <w:p>
      <w:pPr>
        <w:ind w:left="540" w:hanging="26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117" w:lineRule="exact"/>
        <w:rPr>
          <w:rFonts w:ascii="Arial" w:cs="Arial" w:eastAsia="Arial" w:hAnsi="Arial"/>
          <w:sz w:val="18"/>
          <w:szCs w:val="18"/>
          <w:b w:val="1"/>
          <w:bCs w:val="1"/>
          <w:color w:val="auto"/>
        </w:rPr>
      </w:pPr>
    </w:p>
    <w:p>
      <w:pPr>
        <w:ind w:right="80" w:firstLine="278"/>
        <w:spacing w:after="0" w:line="261" w:lineRule="auto"/>
        <w:tabs>
          <w:tab w:leader="none" w:pos="53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Disability. </w:t>
      </w:r>
      <w:r>
        <w:rPr>
          <w:rFonts w:ascii="Arial" w:cs="Arial" w:eastAsia="Arial" w:hAnsi="Arial"/>
          <w:sz w:val="18"/>
          <w:szCs w:val="18"/>
          <w:color w:val="auto"/>
        </w:rPr>
        <w:t>The Company may terminate Executive’s employment hereunder upon Executive becoming “Totally Disabled.” For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both"/>
        <w:ind w:right="60"/>
        <w:spacing w:after="0" w:line="264" w:lineRule="auto"/>
        <w:rPr>
          <w:sz w:val="20"/>
          <w:szCs w:val="20"/>
          <w:color w:val="auto"/>
        </w:rPr>
      </w:pPr>
      <w:r>
        <w:rPr>
          <w:rFonts w:ascii="Arial" w:cs="Arial" w:eastAsia="Arial" w:hAnsi="Arial"/>
          <w:sz w:val="18"/>
          <w:szCs w:val="18"/>
          <w:color w:val="auto"/>
        </w:rPr>
        <w:t>Security disability benefits shall be deemed conclusive evidence of Total Disability for purpose of this Agreement; provided, however, that in the absence of Executive’s receipt of such long-term disability benefits or Social Security benefits, the Company’s Board may, in their reasonable discretion (but based upon appropriate medical evidence), determine that Executive is Totally Disabled.</w:t>
      </w:r>
    </w:p>
    <w:p>
      <w:pPr>
        <w:spacing w:after="0" w:line="69" w:lineRule="exact"/>
        <w:rPr>
          <w:sz w:val="20"/>
          <w:szCs w:val="20"/>
          <w:color w:val="auto"/>
        </w:rPr>
      </w:pPr>
    </w:p>
    <w:p>
      <w:pPr>
        <w:ind w:right="60" w:firstLine="278"/>
        <w:spacing w:after="0" w:line="282" w:lineRule="auto"/>
        <w:tabs>
          <w:tab w:leader="none" w:pos="51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57" w:lineRule="exact"/>
        <w:rPr>
          <w:rFonts w:ascii="Arial" w:cs="Arial" w:eastAsia="Arial" w:hAnsi="Arial"/>
          <w:sz w:val="18"/>
          <w:szCs w:val="18"/>
          <w:b w:val="1"/>
          <w:bCs w:val="1"/>
          <w:color w:val="auto"/>
        </w:rPr>
      </w:pPr>
    </w:p>
    <w:p>
      <w:pPr>
        <w:ind w:left="360" w:right="180" w:firstLine="269"/>
        <w:spacing w:after="0" w:line="271" w:lineRule="auto"/>
        <w:tabs>
          <w:tab w:leader="none" w:pos="845" w:val="left"/>
        </w:tabs>
        <w:numPr>
          <w:ilvl w:val="2"/>
          <w:numId w:val="9"/>
        </w:numPr>
        <w:rPr>
          <w:rFonts w:ascii="Arial" w:cs="Arial" w:eastAsia="Arial" w:hAnsi="Arial"/>
          <w:sz w:val="17"/>
          <w:szCs w:val="17"/>
          <w:color w:val="auto"/>
        </w:rPr>
      </w:pPr>
      <w:r>
        <w:rPr>
          <w:rFonts w:ascii="Arial" w:cs="Arial" w:eastAsia="Arial" w:hAnsi="Arial"/>
          <w:sz w:val="17"/>
          <w:szCs w:val="17"/>
          <w:color w:val="auto"/>
        </w:rPr>
        <w:t xml:space="preserve">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contendre </w:t>
      </w:r>
      <w:r>
        <w:rPr>
          <w:rFonts w:ascii="Arial" w:cs="Arial" w:eastAsia="Arial" w:hAnsi="Arial"/>
          <w:sz w:val="17"/>
          <w:szCs w:val="17"/>
          <w:color w:val="auto"/>
        </w:rPr>
        <w:t>to, any felony; (D) willfully or intentionally caused material injury to the Company, its property, or its assets; (E) disclosed to unauthorized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proprietary or confidential information of the Company; (F) any material violation or a repeated and willful violation of Company policies or procedures, including but not limited to, the Company’s or WMI’s Code of Business Conduct and Ethics (or any successor policy or policies) then in effect; or (G) breach of any of the covenants set forth in Section 10 hereof.</w:t>
      </w:r>
    </w:p>
    <w:p>
      <w:pPr>
        <w:spacing w:after="0" w:line="84" w:lineRule="exact"/>
        <w:rPr>
          <w:rFonts w:ascii="Arial" w:cs="Arial" w:eastAsia="Arial" w:hAnsi="Arial"/>
          <w:sz w:val="17"/>
          <w:szCs w:val="17"/>
          <w:color w:val="auto"/>
        </w:rPr>
      </w:pPr>
    </w:p>
    <w:p>
      <w:pPr>
        <w:ind w:left="360" w:right="80" w:firstLine="269"/>
        <w:spacing w:after="0" w:line="270" w:lineRule="auto"/>
        <w:tabs>
          <w:tab w:leader="none" w:pos="895" w:val="left"/>
        </w:tabs>
        <w:numPr>
          <w:ilvl w:val="2"/>
          <w:numId w:val="9"/>
        </w:numPr>
        <w:rPr>
          <w:rFonts w:ascii="Arial" w:cs="Arial" w:eastAsia="Arial" w:hAnsi="Arial"/>
          <w:sz w:val="17"/>
          <w:szCs w:val="17"/>
          <w:color w:val="auto"/>
        </w:rPr>
      </w:pPr>
      <w:r>
        <w:rPr>
          <w:rFonts w:ascii="Arial" w:cs="Arial" w:eastAsia="Arial" w:hAnsi="Arial"/>
          <w:sz w:val="17"/>
          <w:szCs w:val="17"/>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a majority of the entire membership of the Company’s Board of Managers at a meeting of the Board of Managers which was called for the purpose of considering such employment termination, and at which Executive and his representative had the right to attend and address the Board of Managers, finding that, in the good faith belief of the Board of Managers,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69" w:lineRule="exact"/>
        <w:rPr>
          <w:rFonts w:ascii="Arial" w:cs="Arial" w:eastAsia="Arial" w:hAnsi="Arial"/>
          <w:sz w:val="17"/>
          <w:szCs w:val="17"/>
          <w:color w:val="auto"/>
        </w:rPr>
      </w:pPr>
    </w:p>
    <w:p>
      <w:pPr>
        <w:ind w:right="240" w:firstLine="278"/>
        <w:spacing w:after="0" w:line="282" w:lineRule="auto"/>
        <w:tabs>
          <w:tab w:leader="none" w:pos="53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57" w:lineRule="exact"/>
        <w:rPr>
          <w:rFonts w:ascii="Arial" w:cs="Arial" w:eastAsia="Arial" w:hAnsi="Arial"/>
          <w:sz w:val="18"/>
          <w:szCs w:val="18"/>
          <w:b w:val="1"/>
          <w:bCs w:val="1"/>
          <w:color w:val="auto"/>
        </w:rPr>
      </w:pPr>
    </w:p>
    <w:p>
      <w:pPr>
        <w:ind w:left="360" w:right="40" w:firstLine="269"/>
        <w:spacing w:after="0" w:line="283" w:lineRule="auto"/>
        <w:tabs>
          <w:tab w:leader="none" w:pos="835" w:val="left"/>
        </w:tabs>
        <w:numPr>
          <w:ilvl w:val="2"/>
          <w:numId w:val="9"/>
        </w:numPr>
        <w:rPr>
          <w:rFonts w:ascii="Arial" w:cs="Arial" w:eastAsia="Arial" w:hAnsi="Arial"/>
          <w:sz w:val="16"/>
          <w:szCs w:val="16"/>
          <w:color w:val="auto"/>
        </w:rPr>
      </w:pPr>
      <w:r>
        <w:rPr>
          <w:rFonts w:ascii="Arial" w:cs="Arial" w:eastAsia="Arial" w:hAnsi="Arial"/>
          <w:sz w:val="16"/>
          <w:szCs w:val="16"/>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his position unless he is also the equivalent of a Subsidiary President of WMI or such other successor entity of the ultimate parent entity;</w:t>
      </w:r>
    </w:p>
    <w:p>
      <w:pPr>
        <w:spacing w:after="0" w:line="6" w:lineRule="exact"/>
        <w:rPr>
          <w:rFonts w:ascii="Arial" w:cs="Arial" w:eastAsia="Arial" w:hAnsi="Arial"/>
          <w:sz w:val="16"/>
          <w:szCs w:val="16"/>
          <w:color w:val="auto"/>
        </w:rPr>
      </w:pPr>
    </w:p>
    <w:p>
      <w:pPr>
        <w:jc w:val="both"/>
        <w:ind w:left="360" w:hanging="1"/>
        <w:spacing w:after="0" w:line="281" w:lineRule="auto"/>
        <w:tabs>
          <w:tab w:leader="none" w:pos="645" w:val="left"/>
        </w:tabs>
        <w:numPr>
          <w:ilvl w:val="1"/>
          <w:numId w:val="9"/>
        </w:numPr>
        <w:rPr>
          <w:rFonts w:ascii="Arial" w:cs="Arial" w:eastAsia="Arial" w:hAnsi="Arial"/>
          <w:sz w:val="16"/>
          <w:szCs w:val="16"/>
          <w:color w:val="auto"/>
        </w:rPr>
      </w:pPr>
      <w:r>
        <w:rPr>
          <w:rFonts w:ascii="Arial" w:cs="Arial" w:eastAsia="Arial" w:hAnsi="Arial"/>
          <w:sz w:val="16"/>
          <w:szCs w:val="16"/>
          <w:color w:val="auto"/>
        </w:rPr>
        <w:t>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w:t>
      </w:r>
    </w:p>
    <w:p>
      <w:pPr>
        <w:spacing w:after="0" w:line="1" w:lineRule="exact"/>
        <w:rPr>
          <w:rFonts w:ascii="Arial" w:cs="Arial" w:eastAsia="Arial" w:hAnsi="Arial"/>
          <w:sz w:val="16"/>
          <w:szCs w:val="16"/>
          <w:color w:val="auto"/>
        </w:rPr>
      </w:pPr>
    </w:p>
    <w:p>
      <w:pPr>
        <w:ind w:left="660" w:hanging="301"/>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failure of any successor to the Company or to WMI (whether direct or indirect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left="360" w:right="140"/>
        <w:spacing w:after="0" w:line="264" w:lineRule="auto"/>
        <w:rPr>
          <w:sz w:val="20"/>
          <w:szCs w:val="20"/>
          <w:color w:val="auto"/>
        </w:rPr>
      </w:pPr>
      <w:r>
        <w:rPr>
          <w:rFonts w:ascii="Arial" w:cs="Arial" w:eastAsia="Arial" w:hAnsi="Arial"/>
          <w:sz w:val="18"/>
          <w:szCs w:val="18"/>
          <w:color w:val="auto"/>
        </w:rPr>
        <w:t>and whether by merger, acquisition, consolidation or otherwise) to assume in a writing delivered to Executive upon the assignee becoming such, the obligations of the Company hereunder; or (E) the reassignment of Executive to a geographic location more than fifty (50) miles from his then business office location.</w:t>
      </w:r>
    </w:p>
    <w:p>
      <w:pPr>
        <w:spacing w:after="0" w:line="87" w:lineRule="exact"/>
        <w:rPr>
          <w:sz w:val="20"/>
          <w:szCs w:val="20"/>
          <w:color w:val="auto"/>
        </w:rPr>
      </w:pPr>
    </w:p>
    <w:p>
      <w:pPr>
        <w:ind w:left="360" w:right="120" w:firstLine="269"/>
        <w:spacing w:after="0" w:line="272" w:lineRule="auto"/>
        <w:tabs>
          <w:tab w:leader="none" w:pos="885" w:val="left"/>
        </w:tabs>
        <w:numPr>
          <w:ilvl w:val="2"/>
          <w:numId w:val="11"/>
        </w:numPr>
        <w:rPr>
          <w:rFonts w:ascii="Arial" w:cs="Arial" w:eastAsia="Arial" w:hAnsi="Arial"/>
          <w:sz w:val="17"/>
          <w:szCs w:val="17"/>
          <w:color w:val="auto"/>
        </w:rPr>
      </w:pPr>
      <w:r>
        <w:rPr>
          <w:rFonts w:ascii="Arial" w:cs="Arial" w:eastAsia="Arial" w:hAnsi="Arial"/>
          <w:sz w:val="17"/>
          <w:szCs w:val="17"/>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 The Company, at its sole discretion, may waive this requirement.</w:t>
      </w:r>
    </w:p>
    <w:p>
      <w:pPr>
        <w:spacing w:after="0" w:line="173" w:lineRule="exact"/>
        <w:rPr>
          <w:rFonts w:ascii="Arial" w:cs="Arial" w:eastAsia="Arial" w:hAnsi="Arial"/>
          <w:sz w:val="17"/>
          <w:szCs w:val="17"/>
          <w:color w:val="auto"/>
        </w:rPr>
      </w:pPr>
    </w:p>
    <w:p>
      <w:pPr>
        <w:ind w:right="300" w:firstLine="278"/>
        <w:spacing w:after="0" w:line="282" w:lineRule="auto"/>
        <w:tabs>
          <w:tab w:leader="none" w:pos="511"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53" w:lineRule="exact"/>
        <w:rPr>
          <w:rFonts w:ascii="Arial" w:cs="Arial" w:eastAsia="Arial" w:hAnsi="Arial"/>
          <w:sz w:val="18"/>
          <w:szCs w:val="18"/>
          <w:b w:val="1"/>
          <w:bCs w:val="1"/>
          <w:color w:val="auto"/>
        </w:rPr>
      </w:pPr>
    </w:p>
    <w:p>
      <w:pPr>
        <w:ind w:right="280" w:firstLine="278"/>
        <w:spacing w:after="0" w:line="282" w:lineRule="auto"/>
        <w:tabs>
          <w:tab w:leader="none" w:pos="495"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positions with the Company or any of its subsidiaries held by him at such time.</w:t>
      </w:r>
    </w:p>
    <w:p>
      <w:pPr>
        <w:spacing w:after="0" w:line="161"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Following Termination of Employment.</w:t>
      </w:r>
    </w:p>
    <w:p>
      <w:pPr>
        <w:spacing w:after="0" w:line="121" w:lineRule="exact"/>
        <w:rPr>
          <w:sz w:val="20"/>
          <w:szCs w:val="20"/>
          <w:color w:val="auto"/>
        </w:rPr>
      </w:pPr>
    </w:p>
    <w:p>
      <w:pPr>
        <w:ind w:right="800" w:firstLine="270"/>
        <w:spacing w:after="0" w:line="277"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as applicable to the form of termination:</w:t>
      </w:r>
    </w:p>
    <w:p>
      <w:pPr>
        <w:spacing w:after="0" w:line="58" w:lineRule="exact"/>
        <w:rPr>
          <w:sz w:val="20"/>
          <w:szCs w:val="20"/>
          <w:color w:val="auto"/>
        </w:rPr>
      </w:pPr>
    </w:p>
    <w:p>
      <w:pPr>
        <w:ind w:firstLine="278"/>
        <w:spacing w:after="0" w:line="282" w:lineRule="auto"/>
        <w:tabs>
          <w:tab w:leader="none" w:pos="52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57" w:lineRule="exact"/>
        <w:rPr>
          <w:rFonts w:ascii="Arial" w:cs="Arial" w:eastAsia="Arial" w:hAnsi="Arial"/>
          <w:sz w:val="18"/>
          <w:szCs w:val="18"/>
          <w:b w:val="1"/>
          <w:bCs w:val="1"/>
          <w:color w:val="auto"/>
        </w:rPr>
      </w:pPr>
    </w:p>
    <w:p>
      <w:pPr>
        <w:ind w:left="360" w:right="120" w:firstLine="269"/>
        <w:spacing w:after="0" w:line="259"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92" w:lineRule="exact"/>
        <w:rPr>
          <w:rFonts w:ascii="Arial" w:cs="Arial" w:eastAsia="Arial" w:hAnsi="Arial"/>
          <w:sz w:val="18"/>
          <w:szCs w:val="18"/>
          <w:color w:val="auto"/>
        </w:rPr>
      </w:pPr>
    </w:p>
    <w:p>
      <w:pPr>
        <w:ind w:left="360" w:right="320" w:firstLine="269"/>
        <w:spacing w:after="0" w:line="277" w:lineRule="auto"/>
        <w:tabs>
          <w:tab w:leader="none" w:pos="8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58" w:lineRule="exact"/>
        <w:rPr>
          <w:rFonts w:ascii="Arial" w:cs="Arial" w:eastAsia="Arial" w:hAnsi="Arial"/>
          <w:sz w:val="18"/>
          <w:szCs w:val="18"/>
          <w:color w:val="auto"/>
        </w:rPr>
      </w:pPr>
    </w:p>
    <w:p>
      <w:pPr>
        <w:ind w:right="80" w:firstLine="278"/>
        <w:spacing w:after="0" w:line="282" w:lineRule="auto"/>
        <w:tabs>
          <w:tab w:leader="none" w:pos="5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57" w:lineRule="exact"/>
        <w:rPr>
          <w:rFonts w:ascii="Arial" w:cs="Arial" w:eastAsia="Arial" w:hAnsi="Arial"/>
          <w:sz w:val="18"/>
          <w:szCs w:val="18"/>
          <w:b w:val="1"/>
          <w:bCs w:val="1"/>
          <w:color w:val="auto"/>
        </w:rPr>
      </w:pPr>
    </w:p>
    <w:p>
      <w:pPr>
        <w:ind w:left="360" w:right="120" w:firstLine="269"/>
        <w:spacing w:after="0" w:line="302" w:lineRule="auto"/>
        <w:tabs>
          <w:tab w:leader="none" w:pos="83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for the current calendar year to the extent such awards are made to senior executives of WMI for the year in which Executive is terminated, and to the extent not otherwise paid to the Executive.</w:t>
      </w:r>
    </w:p>
    <w:p>
      <w:pPr>
        <w:spacing w:after="0" w:line="59" w:lineRule="exact"/>
        <w:rPr>
          <w:rFonts w:ascii="Arial" w:cs="Arial" w:eastAsia="Arial" w:hAnsi="Arial"/>
          <w:sz w:val="16"/>
          <w:szCs w:val="16"/>
          <w:color w:val="auto"/>
        </w:rPr>
      </w:pPr>
    </w:p>
    <w:p>
      <w:pPr>
        <w:ind w:left="360" w:right="320" w:firstLine="269"/>
        <w:spacing w:after="0" w:line="277" w:lineRule="auto"/>
        <w:tabs>
          <w:tab w:leader="none" w:pos="88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ind w:right="360" w:firstLine="278"/>
        <w:spacing w:after="0" w:line="282" w:lineRule="auto"/>
        <w:tabs>
          <w:tab w:leader="none" w:pos="51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57" w:lineRule="exact"/>
        <w:rPr>
          <w:rFonts w:ascii="Arial" w:cs="Arial" w:eastAsia="Arial" w:hAnsi="Arial"/>
          <w:sz w:val="18"/>
          <w:szCs w:val="18"/>
          <w:b w:val="1"/>
          <w:bCs w:val="1"/>
          <w:color w:val="auto"/>
        </w:rPr>
      </w:pPr>
    </w:p>
    <w:p>
      <w:pPr>
        <w:ind w:left="360" w:right="180" w:firstLine="269"/>
        <w:spacing w:after="0" w:line="342" w:lineRule="auto"/>
        <w:tabs>
          <w:tab w:leader="none" w:pos="835" w:val="left"/>
        </w:tabs>
        <w:numPr>
          <w:ilvl w:val="2"/>
          <w:numId w:val="1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360" w:right="380" w:firstLine="269"/>
        <w:spacing w:after="0" w:line="342" w:lineRule="auto"/>
        <w:tabs>
          <w:tab w:leader="none" w:pos="885" w:val="left"/>
        </w:tabs>
        <w:numPr>
          <w:ilvl w:val="2"/>
          <w:numId w:val="15"/>
        </w:numPr>
        <w:rPr>
          <w:rFonts w:ascii="Arial" w:cs="Arial" w:eastAsia="Arial" w:hAnsi="Arial"/>
          <w:sz w:val="16"/>
          <w:szCs w:val="16"/>
          <w:color w:val="auto"/>
        </w:rPr>
      </w:pPr>
      <w:r>
        <w:rPr>
          <w:rFonts w:ascii="Arial" w:cs="Arial" w:eastAsia="Arial" w:hAnsi="Arial"/>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1" w:lineRule="exact"/>
        <w:rPr>
          <w:rFonts w:ascii="Arial" w:cs="Arial" w:eastAsia="Arial" w:hAnsi="Arial"/>
          <w:sz w:val="16"/>
          <w:szCs w:val="16"/>
          <w:color w:val="auto"/>
        </w:rPr>
      </w:pPr>
    </w:p>
    <w:p>
      <w:pPr>
        <w:ind w:firstLine="278"/>
        <w:spacing w:after="0" w:line="282" w:lineRule="auto"/>
        <w:tabs>
          <w:tab w:leader="none" w:pos="53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57" w:lineRule="exact"/>
        <w:rPr>
          <w:rFonts w:ascii="Arial" w:cs="Arial" w:eastAsia="Arial" w:hAnsi="Arial"/>
          <w:sz w:val="18"/>
          <w:szCs w:val="18"/>
          <w:b w:val="1"/>
          <w:bCs w:val="1"/>
          <w:color w:val="auto"/>
        </w:rPr>
      </w:pPr>
    </w:p>
    <w:p>
      <w:pPr>
        <w:ind w:left="360" w:right="180" w:firstLine="269"/>
        <w:spacing w:after="0" w:line="342" w:lineRule="auto"/>
        <w:tabs>
          <w:tab w:leader="none" w:pos="835" w:val="left"/>
        </w:tabs>
        <w:numPr>
          <w:ilvl w:val="2"/>
          <w:numId w:val="1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360" w:right="380" w:firstLine="269"/>
        <w:spacing w:after="0" w:line="342" w:lineRule="auto"/>
        <w:tabs>
          <w:tab w:leader="none" w:pos="885" w:val="left"/>
        </w:tabs>
        <w:numPr>
          <w:ilvl w:val="2"/>
          <w:numId w:val="15"/>
        </w:numPr>
        <w:rPr>
          <w:rFonts w:ascii="Arial" w:cs="Arial" w:eastAsia="Arial" w:hAnsi="Arial"/>
          <w:sz w:val="16"/>
          <w:szCs w:val="16"/>
          <w:color w:val="auto"/>
        </w:rPr>
      </w:pPr>
      <w:r>
        <w:rPr>
          <w:rFonts w:ascii="Arial" w:cs="Arial" w:eastAsia="Arial" w:hAnsi="Arial"/>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11" w:lineRule="exact"/>
        <w:rPr>
          <w:rFonts w:ascii="Arial" w:cs="Arial" w:eastAsia="Arial" w:hAnsi="Arial"/>
          <w:sz w:val="16"/>
          <w:szCs w:val="16"/>
          <w:color w:val="auto"/>
        </w:rPr>
      </w:pPr>
    </w:p>
    <w:p>
      <w:pPr>
        <w:ind w:right="200" w:firstLine="278"/>
        <w:spacing w:after="0" w:line="261" w:lineRule="auto"/>
        <w:tabs>
          <w:tab w:leader="none" w:pos="51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for reasons other than death, Total Disability or Cause, or Executive terminates his employment for Good Reason outside of a Change in Control Period, the Company shall pay the following amounts to Executive:</w:t>
      </w:r>
    </w:p>
    <w:p>
      <w:pPr>
        <w:spacing w:after="0" w:line="75" w:lineRule="exact"/>
        <w:rPr>
          <w:rFonts w:ascii="Arial" w:cs="Arial" w:eastAsia="Arial" w:hAnsi="Arial"/>
          <w:sz w:val="18"/>
          <w:szCs w:val="18"/>
          <w:b w:val="1"/>
          <w:bCs w:val="1"/>
          <w:color w:val="auto"/>
        </w:rPr>
      </w:pPr>
    </w:p>
    <w:p>
      <w:pPr>
        <w:ind w:left="360" w:right="180" w:firstLine="269"/>
        <w:spacing w:after="0" w:line="342" w:lineRule="auto"/>
        <w:tabs>
          <w:tab w:leader="none" w:pos="835" w:val="left"/>
        </w:tabs>
        <w:numPr>
          <w:ilvl w:val="2"/>
          <w:numId w:val="1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360" w:right="500" w:firstLine="269"/>
        <w:spacing w:after="0" w:line="277" w:lineRule="auto"/>
        <w:tabs>
          <w:tab w:leader="none" w:pos="885"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75" w:lineRule="exact"/>
        <w:rPr>
          <w:rFonts w:ascii="Arial" w:cs="Arial" w:eastAsia="Arial" w:hAnsi="Arial"/>
          <w:sz w:val="18"/>
          <w:szCs w:val="18"/>
          <w:color w:val="auto"/>
        </w:rPr>
      </w:pPr>
    </w:p>
    <w:p>
      <w:pPr>
        <w:ind w:left="360" w:right="100" w:firstLine="269"/>
        <w:spacing w:after="0" w:line="302" w:lineRule="auto"/>
        <w:tabs>
          <w:tab w:leader="none" w:pos="945" w:val="left"/>
        </w:tabs>
        <w:numPr>
          <w:ilvl w:val="2"/>
          <w:numId w:val="15"/>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59" w:lineRule="exact"/>
        <w:rPr>
          <w:rFonts w:ascii="Arial" w:cs="Arial" w:eastAsia="Arial" w:hAnsi="Arial"/>
          <w:sz w:val="16"/>
          <w:szCs w:val="16"/>
          <w:color w:val="auto"/>
        </w:rPr>
      </w:pPr>
    </w:p>
    <w:p>
      <w:pPr>
        <w:ind w:left="360" w:firstLine="269"/>
        <w:spacing w:after="0" w:line="288" w:lineRule="auto"/>
        <w:tabs>
          <w:tab w:leader="none" w:pos="935" w:val="left"/>
        </w:tabs>
        <w:numPr>
          <w:ilvl w:val="2"/>
          <w:numId w:val="15"/>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w:t>
      </w:r>
    </w:p>
    <w:p>
      <w:pPr>
        <w:ind w:left="360" w:right="20" w:hanging="1"/>
        <w:spacing w:after="0" w:line="292" w:lineRule="auto"/>
        <w:tabs>
          <w:tab w:leader="none" w:pos="65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68" w:lineRule="exact"/>
        <w:rPr>
          <w:rFonts w:ascii="Arial" w:cs="Arial" w:eastAsia="Arial" w:hAnsi="Arial"/>
          <w:sz w:val="16"/>
          <w:szCs w:val="16"/>
          <w:color w:val="auto"/>
        </w:rPr>
      </w:pPr>
    </w:p>
    <w:p>
      <w:pPr>
        <w:ind w:left="360" w:right="520" w:firstLine="269"/>
        <w:spacing w:after="0" w:line="277" w:lineRule="auto"/>
        <w:tabs>
          <w:tab w:leader="none" w:pos="885" w:val="left"/>
        </w:tabs>
        <w:numPr>
          <w:ilvl w:val="2"/>
          <w:numId w:val="16"/>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left="352"/>
        <w:spacing w:after="0"/>
        <w:rPr>
          <w:sz w:val="20"/>
          <w:szCs w:val="20"/>
          <w:color w:val="auto"/>
        </w:rPr>
      </w:pPr>
      <w:r>
        <w:rPr>
          <w:rFonts w:ascii="Arial" w:cs="Arial" w:eastAsia="Arial" w:hAnsi="Arial"/>
          <w:sz w:val="18"/>
          <w:szCs w:val="18"/>
          <w:color w:val="auto"/>
        </w:rPr>
        <w:t>same extent payments are made to senior executives of the Company, pro-rated for the fiscal year in which the Executive is terminated.</w:t>
      </w:r>
    </w:p>
    <w:p>
      <w:pPr>
        <w:spacing w:after="0" w:line="221" w:lineRule="exact"/>
        <w:rPr>
          <w:sz w:val="20"/>
          <w:szCs w:val="20"/>
          <w:color w:val="auto"/>
        </w:rPr>
      </w:pPr>
    </w:p>
    <w:p>
      <w:pPr>
        <w:ind w:left="-8" w:right="20" w:firstLine="278"/>
        <w:spacing w:after="0" w:line="266" w:lineRule="auto"/>
        <w:tabs>
          <w:tab w:leader="none" w:pos="487"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72" w:lineRule="exact"/>
        <w:rPr>
          <w:rFonts w:ascii="Arial" w:cs="Arial" w:eastAsia="Arial" w:hAnsi="Arial"/>
          <w:sz w:val="18"/>
          <w:szCs w:val="18"/>
          <w:b w:val="1"/>
          <w:bCs w:val="1"/>
          <w:color w:val="auto"/>
        </w:rPr>
      </w:pPr>
    </w:p>
    <w:p>
      <w:pPr>
        <w:ind w:left="352" w:right="700" w:firstLine="269"/>
        <w:spacing w:after="0" w:line="277" w:lineRule="auto"/>
        <w:tabs>
          <w:tab w:leader="none" w:pos="837"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Company and/or WMI may elect to cancel any and all payments of any benefits otherwise due Executive, but not yet paid, under this Agreement or otherwise; and</w:t>
      </w:r>
    </w:p>
    <w:p>
      <w:pPr>
        <w:spacing w:after="0" w:line="75" w:lineRule="exact"/>
        <w:rPr>
          <w:rFonts w:ascii="Arial" w:cs="Arial" w:eastAsia="Arial" w:hAnsi="Arial"/>
          <w:sz w:val="18"/>
          <w:szCs w:val="18"/>
          <w:color w:val="auto"/>
        </w:rPr>
      </w:pPr>
    </w:p>
    <w:p>
      <w:pPr>
        <w:ind w:left="352" w:firstLine="269"/>
        <w:spacing w:after="0" w:line="277" w:lineRule="auto"/>
        <w:tabs>
          <w:tab w:leader="none" w:pos="887" w:val="left"/>
        </w:tabs>
        <w:numPr>
          <w:ilvl w:val="2"/>
          <w:numId w:val="17"/>
        </w:numPr>
        <w:rPr>
          <w:rFonts w:ascii="Arial" w:cs="Arial" w:eastAsia="Arial" w:hAnsi="Arial"/>
          <w:sz w:val="18"/>
          <w:szCs w:val="18"/>
          <w:color w:val="auto"/>
        </w:rPr>
      </w:pPr>
      <w:r>
        <w:rPr>
          <w:rFonts w:ascii="Arial" w:cs="Arial" w:eastAsia="Arial" w:hAnsi="Arial"/>
          <w:sz w:val="18"/>
          <w:szCs w:val="18"/>
          <w:color w:val="auto"/>
        </w:rPr>
        <w:t>Executive will refund to the Company and/or WMI any amounts, plus interest, previously paid by Company to Executive pursuant to Subsections 6(e)(iii), 6(e)(iv) or 6(e)(v).</w:t>
      </w:r>
    </w:p>
    <w:p>
      <w:pPr>
        <w:spacing w:after="0" w:line="166"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by Executive for Good Reason or Termination by Company Without Cause During a Change in Control Period.</w:t>
      </w:r>
    </w:p>
    <w:p>
      <w:pPr>
        <w:spacing w:after="0" w:line="117" w:lineRule="exact"/>
        <w:rPr>
          <w:rFonts w:ascii="Arial" w:cs="Arial" w:eastAsia="Arial" w:hAnsi="Arial"/>
          <w:sz w:val="18"/>
          <w:szCs w:val="18"/>
          <w:b w:val="1"/>
          <w:bCs w:val="1"/>
          <w:color w:val="auto"/>
        </w:rPr>
      </w:pPr>
    </w:p>
    <w:p>
      <w:pPr>
        <w:ind w:left="-8" w:firstLine="278"/>
        <w:spacing w:after="0" w:line="261" w:lineRule="auto"/>
        <w:tabs>
          <w:tab w:leader="none" w:pos="517"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Terminations During a Change in Control Period. </w:t>
      </w:r>
      <w:r>
        <w:rPr>
          <w:rFonts w:ascii="Arial" w:cs="Arial" w:eastAsia="Arial" w:hAnsi="Arial"/>
          <w:sz w:val="18"/>
          <w:szCs w:val="18"/>
          <w:color w:val="auto"/>
        </w:rPr>
        <w:t>In the event a Change in Control occurs and (x) Executive terminates his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Good Reason during a Change in Control Period ,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75" w:lineRule="exact"/>
        <w:rPr>
          <w:rFonts w:ascii="Arial" w:cs="Arial" w:eastAsia="Arial" w:hAnsi="Arial"/>
          <w:sz w:val="18"/>
          <w:szCs w:val="18"/>
          <w:b w:val="1"/>
          <w:bCs w:val="1"/>
          <w:color w:val="auto"/>
        </w:rPr>
      </w:pPr>
    </w:p>
    <w:p>
      <w:pPr>
        <w:ind w:left="352" w:right="20" w:firstLine="269"/>
        <w:spacing w:after="0" w:line="264" w:lineRule="auto"/>
        <w:tabs>
          <w:tab w:leader="none" w:pos="834"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86" w:lineRule="exact"/>
        <w:rPr>
          <w:rFonts w:ascii="Arial" w:cs="Arial" w:eastAsia="Arial" w:hAnsi="Arial"/>
          <w:sz w:val="18"/>
          <w:szCs w:val="18"/>
          <w:color w:val="auto"/>
        </w:rPr>
      </w:pPr>
    </w:p>
    <w:p>
      <w:pPr>
        <w:ind w:left="352" w:right="180" w:firstLine="269"/>
        <w:spacing w:after="0" w:line="255" w:lineRule="auto"/>
        <w:tabs>
          <w:tab w:leader="none" w:pos="887" w:val="left"/>
        </w:tabs>
        <w:numPr>
          <w:ilvl w:val="2"/>
          <w:numId w:val="18"/>
        </w:numPr>
        <w:rPr>
          <w:rFonts w:ascii="Arial" w:cs="Arial" w:eastAsia="Arial" w:hAnsi="Arial"/>
          <w:sz w:val="18"/>
          <w:szCs w:val="18"/>
          <w:color w:val="auto"/>
        </w:rPr>
      </w:pPr>
      <w:r>
        <w:rPr>
          <w:rFonts w:ascii="Arial" w:cs="Arial" w:eastAsia="Arial" w:hAnsi="Arial"/>
          <w:sz w:val="18"/>
          <w:szCs w:val="18"/>
          <w:color w:val="auto"/>
        </w:rPr>
        <w:t>Executive shall also receive a bonus or incentive compensation payment for the calendar year of the termination, payable at 100% of the maximum bonus available to Executive, pro-rated as of the effective date of the termination. Such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81" w:lineRule="exact"/>
        <w:rPr>
          <w:rFonts w:ascii="Arial" w:cs="Arial" w:eastAsia="Arial" w:hAnsi="Arial"/>
          <w:sz w:val="18"/>
          <w:szCs w:val="18"/>
          <w:color w:val="auto"/>
        </w:rPr>
      </w:pPr>
    </w:p>
    <w:p>
      <w:pPr>
        <w:ind w:left="532" w:hanging="262"/>
        <w:spacing w:after="0"/>
        <w:tabs>
          <w:tab w:leader="none" w:pos="532"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Certain Additional Payments by the Company.</w:t>
      </w:r>
    </w:p>
    <w:p>
      <w:pPr>
        <w:spacing w:after="0" w:line="121" w:lineRule="exact"/>
        <w:rPr>
          <w:rFonts w:ascii="Arial" w:cs="Arial" w:eastAsia="Arial" w:hAnsi="Arial"/>
          <w:sz w:val="18"/>
          <w:szCs w:val="18"/>
          <w:b w:val="1"/>
          <w:bCs w:val="1"/>
          <w:color w:val="auto"/>
        </w:rPr>
      </w:pPr>
    </w:p>
    <w:p>
      <w:pPr>
        <w:ind w:left="352" w:right="20" w:firstLine="269"/>
        <w:spacing w:after="0" w:line="270" w:lineRule="auto"/>
        <w:tabs>
          <w:tab w:leader="none" w:pos="837" w:val="left"/>
        </w:tabs>
        <w:numPr>
          <w:ilvl w:val="2"/>
          <w:numId w:val="18"/>
        </w:numPr>
        <w:rPr>
          <w:rFonts w:ascii="Arial" w:cs="Arial" w:eastAsia="Arial" w:hAnsi="Arial"/>
          <w:sz w:val="17"/>
          <w:szCs w:val="17"/>
          <w:color w:val="auto"/>
        </w:rPr>
      </w:pPr>
      <w:r>
        <w:rPr>
          <w:rFonts w:ascii="Arial" w:cs="Arial" w:eastAsia="Arial" w:hAnsi="Arial"/>
          <w:sz w:val="17"/>
          <w:szCs w:val="17"/>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87" w:lineRule="exact"/>
        <w:rPr>
          <w:rFonts w:ascii="Arial" w:cs="Arial" w:eastAsia="Arial" w:hAnsi="Arial"/>
          <w:sz w:val="17"/>
          <w:szCs w:val="17"/>
          <w:color w:val="auto"/>
        </w:rPr>
      </w:pPr>
    </w:p>
    <w:p>
      <w:pPr>
        <w:ind w:left="352" w:right="140" w:firstLine="269"/>
        <w:spacing w:after="0" w:line="264" w:lineRule="auto"/>
        <w:tabs>
          <w:tab w:leader="none" w:pos="887" w:val="left"/>
        </w:tabs>
        <w:numPr>
          <w:ilvl w:val="2"/>
          <w:numId w:val="18"/>
        </w:numPr>
        <w:rPr>
          <w:rFonts w:ascii="Arial" w:cs="Arial" w:eastAsia="Arial" w:hAnsi="Arial"/>
          <w:sz w:val="18"/>
          <w:szCs w:val="18"/>
          <w:color w:val="auto"/>
        </w:rPr>
      </w:pPr>
      <w:r>
        <w:rPr>
          <w:rFonts w:ascii="Arial" w:cs="Arial" w:eastAsia="Arial" w:hAnsi="Arial"/>
          <w:sz w:val="18"/>
          <w:szCs w:val="18"/>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2" w:name="page13"/>
    <w:bookmarkEnd w:id="12"/>
    <w:p>
      <w:pPr>
        <w:ind w:right="120"/>
        <w:spacing w:after="0" w:line="273" w:lineRule="auto"/>
        <w:rPr>
          <w:sz w:val="20"/>
          <w:szCs w:val="20"/>
          <w:color w:val="auto"/>
        </w:rPr>
      </w:pPr>
      <w:r>
        <w:rPr>
          <w:rFonts w:ascii="Arial" w:cs="Arial" w:eastAsia="Arial" w:hAnsi="Arial"/>
          <w:sz w:val="17"/>
          <w:szCs w:val="17"/>
          <w:color w:val="auto"/>
        </w:rPr>
        <w:t>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84" w:lineRule="exact"/>
        <w:rPr>
          <w:sz w:val="20"/>
          <w:szCs w:val="20"/>
          <w:color w:val="auto"/>
        </w:rPr>
      </w:pPr>
    </w:p>
    <w:p>
      <w:pPr>
        <w:ind w:firstLine="269"/>
        <w:spacing w:after="0" w:line="286" w:lineRule="auto"/>
        <w:tabs>
          <w:tab w:leader="none" w:pos="5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77"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77" w:lineRule="exact"/>
        <w:rPr>
          <w:sz w:val="20"/>
          <w:szCs w:val="20"/>
          <w:color w:val="auto"/>
        </w:rPr>
      </w:pPr>
    </w:p>
    <w:p>
      <w:pPr>
        <w:ind w:right="40" w:firstLine="269"/>
        <w:spacing w:after="0" w:line="290" w:lineRule="auto"/>
        <w:tabs>
          <w:tab w:leader="none" w:pos="5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71" w:lineRule="exact"/>
        <w:rPr>
          <w:rFonts w:ascii="Arial" w:cs="Arial" w:eastAsia="Arial" w:hAnsi="Arial"/>
          <w:sz w:val="16"/>
          <w:szCs w:val="16"/>
          <w:color w:val="auto"/>
        </w:rPr>
      </w:pPr>
    </w:p>
    <w:p>
      <w:pPr>
        <w:jc w:val="both"/>
        <w:ind w:right="220" w:firstLine="269"/>
        <w:spacing w:after="0" w:line="286" w:lineRule="auto"/>
        <w:tabs>
          <w:tab w:leader="none" w:pos="52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w:t>
      </w:r>
    </w:p>
    <w:p>
      <w:pPr>
        <w:spacing w:after="0" w:line="16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935" w:right="259" w:bottom="1440" w:gutter="0" w:footer="0" w:header="0"/>
        </w:sectPr>
      </w:pPr>
    </w:p>
    <w:bookmarkStart w:id="13" w:name="page14"/>
    <w:bookmarkEnd w:id="13"/>
    <w:p>
      <w:pPr>
        <w:ind w:left="340" w:right="180"/>
        <w:spacing w:after="0" w:line="259" w:lineRule="auto"/>
        <w:rPr>
          <w:sz w:val="20"/>
          <w:szCs w:val="20"/>
          <w:color w:val="auto"/>
        </w:rPr>
      </w:pPr>
      <w:r>
        <w:rPr>
          <w:rFonts w:ascii="Arial" w:cs="Arial" w:eastAsia="Arial" w:hAnsi="Arial"/>
          <w:sz w:val="18"/>
          <w:szCs w:val="18"/>
          <w:color w:val="auto"/>
        </w:rPr>
        <w:t>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92" w:lineRule="exact"/>
        <w:rPr>
          <w:sz w:val="20"/>
          <w:szCs w:val="20"/>
          <w:color w:val="auto"/>
        </w:rPr>
      </w:pPr>
    </w:p>
    <w:p>
      <w:pPr>
        <w:ind w:left="920" w:hanging="311"/>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shall be responsible for all charges of the Accountant.</w:t>
      </w:r>
    </w:p>
    <w:p>
      <w:pPr>
        <w:spacing w:after="0" w:line="130" w:lineRule="exact"/>
        <w:rPr>
          <w:rFonts w:ascii="Arial" w:cs="Arial" w:eastAsia="Arial" w:hAnsi="Arial"/>
          <w:sz w:val="18"/>
          <w:szCs w:val="18"/>
          <w:color w:val="auto"/>
        </w:rPr>
      </w:pPr>
    </w:p>
    <w:p>
      <w:pPr>
        <w:ind w:left="340" w:right="480" w:firstLine="269"/>
        <w:spacing w:after="0" w:line="277" w:lineRule="auto"/>
        <w:tabs>
          <w:tab w:leader="none" w:pos="9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 Certain Definitions.</w:t>
      </w:r>
    </w:p>
    <w:p>
      <w:pPr>
        <w:spacing w:after="0" w:line="121" w:lineRule="exact"/>
        <w:rPr>
          <w:sz w:val="20"/>
          <w:szCs w:val="20"/>
          <w:color w:val="auto"/>
        </w:rPr>
      </w:pPr>
    </w:p>
    <w:p>
      <w:pPr>
        <w:ind w:left="-20" w:right="720" w:firstLine="278"/>
        <w:spacing w:after="0" w:line="277" w:lineRule="auto"/>
        <w:tabs>
          <w:tab w:leader="none" w:pos="4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62" w:lineRule="exact"/>
        <w:rPr>
          <w:rFonts w:ascii="Arial" w:cs="Arial" w:eastAsia="Arial" w:hAnsi="Arial"/>
          <w:sz w:val="18"/>
          <w:szCs w:val="18"/>
          <w:color w:val="auto"/>
        </w:rPr>
      </w:pPr>
    </w:p>
    <w:p>
      <w:pPr>
        <w:ind w:left="340" w:right="20" w:firstLine="269"/>
        <w:spacing w:after="0" w:line="277" w:lineRule="auto"/>
        <w:tabs>
          <w:tab w:leader="none" w:pos="8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WMI representing twenty-five percent (25%) or more of the combined voting power of WMI’s then outstanding voting securities;</w:t>
      </w:r>
    </w:p>
    <w:p>
      <w:pPr>
        <w:spacing w:after="0" w:line="75" w:lineRule="exact"/>
        <w:rPr>
          <w:rFonts w:ascii="Arial" w:cs="Arial" w:eastAsia="Arial" w:hAnsi="Arial"/>
          <w:sz w:val="18"/>
          <w:szCs w:val="18"/>
          <w:color w:val="auto"/>
        </w:rPr>
      </w:pPr>
    </w:p>
    <w:p>
      <w:pPr>
        <w:ind w:left="340" w:right="160" w:firstLine="269"/>
        <w:spacing w:after="0" w:line="273" w:lineRule="auto"/>
        <w:tabs>
          <w:tab w:leader="none" w:pos="865"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Commencement Date, constitute the Board of Directors of WMI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w:t>
      </w:r>
      <w:r>
        <w:rPr>
          <w:rFonts w:ascii="Arial" w:cs="Arial" w:eastAsia="Arial" w:hAnsi="Arial"/>
          <w:sz w:val="10"/>
          <w:szCs w:val="10"/>
          <w:color w:val="auto"/>
        </w:rPr>
        <w:t>2</w:t>
      </w:r>
      <w:r>
        <w:rPr>
          <w:rFonts w:ascii="Arial" w:cs="Arial" w:eastAsia="Arial" w:hAnsi="Arial"/>
          <w:sz w:val="17"/>
          <w:szCs w:val="17"/>
          <w:color w:val="auto"/>
        </w:rPr>
        <w:t>/</w:t>
      </w:r>
      <w:r>
        <w:rPr>
          <w:rFonts w:ascii="Arial" w:cs="Arial" w:eastAsia="Arial" w:hAnsi="Arial"/>
          <w:sz w:val="10"/>
          <w:szCs w:val="10"/>
          <w:color w:val="auto"/>
        </w:rPr>
        <w:t>3</w:t>
      </w:r>
      <w:r>
        <w:rPr>
          <w:rFonts w:ascii="Arial" w:cs="Arial" w:eastAsia="Arial" w:hAnsi="Arial"/>
          <w:sz w:val="17"/>
          <w:szCs w:val="17"/>
          <w:color w:val="auto"/>
        </w:rPr>
        <w:t>rds) of the directors then still in office who either were directors on the Commencement Date or whose appointment, election or nomination for election was previously so approved or recommended (the “Incumbent Board”);</w:t>
      </w:r>
    </w:p>
    <w:p>
      <w:pPr>
        <w:spacing w:after="0" w:line="83" w:lineRule="exact"/>
        <w:rPr>
          <w:rFonts w:ascii="Arial" w:cs="Arial" w:eastAsia="Arial" w:hAnsi="Arial"/>
          <w:sz w:val="17"/>
          <w:szCs w:val="17"/>
          <w:color w:val="auto"/>
        </w:rPr>
      </w:pPr>
    </w:p>
    <w:p>
      <w:pPr>
        <w:ind w:left="340" w:right="60" w:firstLine="269"/>
        <w:spacing w:after="0" w:line="272" w:lineRule="auto"/>
        <w:tabs>
          <w:tab w:leader="none" w:pos="855"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there is a consummated merger or consolidation of the Company pursuant to which no securities of the Company are owned by WMI or its direct or indirect subsidiaries, or a merger or consolidation of WMI or any direct or indirect subsidiary of WMI (other than the Company) with any other corporation, other than (1) a merger or consolidation which would result in the voting securities of WMI outstanding immediately prior thereto continuing to represent (either by remaining outstanding or by being converted into voting securities of the surviving or parent entity) more than fifty percent (50%) of the combined voting power of the voting securities of WMI or such surviving or parent entity outstanding immediately after such merger or consolidation or (2) a merger or consolidation effected to implement a recapitalization of WMI (or similar transaction) in which no Person, directly or indirectly, acquired twenty-five percent (25%) or more of the combined voting power of WMI’s then outstanding securities; or</w:t>
      </w:r>
    </w:p>
    <w:p>
      <w:pPr>
        <w:spacing w:after="0" w:line="83" w:lineRule="exact"/>
        <w:rPr>
          <w:rFonts w:ascii="Arial" w:cs="Arial" w:eastAsia="Arial" w:hAnsi="Arial"/>
          <w:sz w:val="17"/>
          <w:szCs w:val="17"/>
          <w:color w:val="auto"/>
        </w:rPr>
      </w:pPr>
    </w:p>
    <w:p>
      <w:pPr>
        <w:ind w:left="340" w:right="20" w:firstLine="269"/>
        <w:spacing w:after="0" w:line="257" w:lineRule="auto"/>
        <w:tabs>
          <w:tab w:leader="none" w:pos="8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stockholders of the Company or WMI approve a plan of complete liquidation of the Company or WMI or there is consummated an agreement for the sale or disposition by the Company of all or substantially all of the Company’s or WMI’s assets (or any transaction having a similar effect), other than a sale or disposition by the Company or WMI of all or substantially all of the Company’s assets to an entity, at least fifty percent (50%) of the combined voting power of the voting securities of which are owned by stockholders of the Company and/or WMI in substantially the same proportions as their ownership of the Company and/or WMI immediately prior to such sale.</w:t>
      </w:r>
    </w:p>
    <w:p>
      <w:pPr>
        <w:spacing w:after="0" w:line="80" w:lineRule="exact"/>
        <w:rPr>
          <w:sz w:val="20"/>
          <w:szCs w:val="20"/>
          <w:color w:val="auto"/>
        </w:rPr>
      </w:pPr>
    </w:p>
    <w:p>
      <w:pPr>
        <w:ind w:left="520" w:hanging="26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purposes of this Section 7, “Beneficial Owner” shall have the meaning set forth in Rule 13d-3 under the Exchange Act;</w:t>
      </w:r>
    </w:p>
    <w:p>
      <w:pPr>
        <w:spacing w:after="0" w:line="117" w:lineRule="exact"/>
        <w:rPr>
          <w:rFonts w:ascii="Arial" w:cs="Arial" w:eastAsia="Arial" w:hAnsi="Arial"/>
          <w:sz w:val="18"/>
          <w:szCs w:val="18"/>
          <w:color w:val="auto"/>
        </w:rPr>
      </w:pPr>
    </w:p>
    <w:p>
      <w:pPr>
        <w:ind w:left="-20" w:firstLine="278"/>
        <w:spacing w:after="0" w:line="308" w:lineRule="auto"/>
        <w:tabs>
          <w:tab w:leader="none" w:pos="565"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4" w:name="page15"/>
    <w:bookmarkEnd w:id="14"/>
    <w:p>
      <w:pPr>
        <w:ind w:left="580" w:hanging="30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117" w:lineRule="exact"/>
        <w:rPr>
          <w:rFonts w:ascii="Arial" w:cs="Arial" w:eastAsia="Arial" w:hAnsi="Arial"/>
          <w:sz w:val="18"/>
          <w:szCs w:val="18"/>
          <w:color w:val="auto"/>
        </w:rPr>
      </w:pPr>
    </w:p>
    <w:p>
      <w:pPr>
        <w:ind w:right="60" w:firstLine="278"/>
        <w:spacing w:after="0" w:line="257" w:lineRule="auto"/>
        <w:tabs>
          <w:tab w:leader="none" w:pos="5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purposes of this Section 7, “Person” shall have the meaning set forth in Section 3(a)(9) of the Exchange Act, as modified and used in Sections 13(d) and 14(d) thereof, except that such term shall not include (1) WMI, (2) a trustee or other fiduciary holding securities under an employee benefit plan of the Company, (3) an employee benefit plan of the Company or WMI, (4) an underwriter temporarily holding securities pursuant to an offering of such securities or (5) a corporation owned, directly or indirectly, by the stockholders of WMI in substantially the same proportions as their ownership of shares of Common Stock of WMI.</w:t>
      </w:r>
    </w:p>
    <w:p>
      <w:pPr>
        <w:spacing w:after="0" w:line="80" w:lineRule="exact"/>
        <w:rPr>
          <w:rFonts w:ascii="Arial" w:cs="Arial" w:eastAsia="Arial" w:hAnsi="Arial"/>
          <w:sz w:val="18"/>
          <w:szCs w:val="18"/>
          <w:color w:val="auto"/>
        </w:rPr>
      </w:pPr>
    </w:p>
    <w:p>
      <w:pPr>
        <w:ind w:right="40" w:firstLine="278"/>
        <w:spacing w:after="0" w:line="257" w:lineRule="auto"/>
        <w:tabs>
          <w:tab w:leader="none" w:pos="5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purposes of this Agreement, “Release” means that specific document which the Company shall present to Executive for consideration and execution after any termination of employment pursuant to Section 5(e) and Section 6(e), wherein if he agrees to such, he will irrevocably and unconditionally release and forever discharge WMI, the Company, their respective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76" w:lineRule="exact"/>
        <w:rPr>
          <w:sz w:val="20"/>
          <w:szCs w:val="20"/>
          <w:color w:val="auto"/>
        </w:rPr>
      </w:pPr>
    </w:p>
    <w:p>
      <w:pPr>
        <w:jc w:val="both"/>
        <w:ind w:right="80" w:firstLine="278"/>
        <w:spacing w:after="0" w:line="314" w:lineRule="auto"/>
        <w:tabs>
          <w:tab w:leader="none" w:pos="450" w:val="left"/>
        </w:tabs>
        <w:numPr>
          <w:ilvl w:val="1"/>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Benefits or Compensation. </w:t>
      </w:r>
      <w:r>
        <w:rPr>
          <w:rFonts w:ascii="Arial" w:cs="Arial" w:eastAsia="Arial" w:hAnsi="Arial"/>
          <w:sz w:val="16"/>
          <w:szCs w:val="16"/>
          <w:color w:val="auto"/>
        </w:rPr>
        <w:t>Except as may be provided under this Agreement, or under the terms of any incentive compensation,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34" w:lineRule="exact"/>
        <w:rPr>
          <w:rFonts w:ascii="Arial" w:cs="Arial" w:eastAsia="Arial" w:hAnsi="Arial"/>
          <w:sz w:val="16"/>
          <w:szCs w:val="16"/>
          <w:b w:val="1"/>
          <w:bCs w:val="1"/>
          <w:color w:val="auto"/>
        </w:rPr>
      </w:pPr>
    </w:p>
    <w:p>
      <w:pPr>
        <w:ind w:right="40" w:firstLine="278"/>
        <w:spacing w:after="0" w:line="258" w:lineRule="auto"/>
        <w:tabs>
          <w:tab w:leader="none" w:pos="45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No Set-Off. </w:t>
      </w:r>
      <w:r>
        <w:rPr>
          <w:rFonts w:ascii="Arial" w:cs="Arial" w:eastAsia="Arial" w:hAnsi="Arial"/>
          <w:sz w:val="18"/>
          <w:szCs w:val="18"/>
          <w:color w:val="auto"/>
        </w:rPr>
        <w:t>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183" w:lineRule="exact"/>
        <w:rPr>
          <w:rFonts w:ascii="Arial" w:cs="Arial" w:eastAsia="Arial" w:hAnsi="Arial"/>
          <w:sz w:val="18"/>
          <w:szCs w:val="18"/>
          <w:b w:val="1"/>
          <w:bCs w:val="1"/>
          <w:color w:val="auto"/>
        </w:rPr>
      </w:pPr>
    </w:p>
    <w:p>
      <w:pPr>
        <w:ind w:left="580" w:hanging="572"/>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right="140" w:firstLine="278"/>
        <w:spacing w:after="0" w:line="255" w:lineRule="auto"/>
        <w:tabs>
          <w:tab w:leader="none" w:pos="52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Property. </w:t>
      </w:r>
      <w:r>
        <w:rPr>
          <w:rFonts w:ascii="Arial" w:cs="Arial" w:eastAsia="Arial" w:hAnsi="Arial"/>
          <w:sz w:val="18"/>
          <w:szCs w:val="18"/>
          <w:color w:val="auto"/>
        </w:rPr>
        <w:t>All written materials, records, data, and other documents prepared or possessed by Executive during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77" w:lineRule="exact"/>
        <w:rPr>
          <w:rFonts w:ascii="Arial" w:cs="Arial" w:eastAsia="Arial" w:hAnsi="Arial"/>
          <w:sz w:val="18"/>
          <w:szCs w:val="18"/>
          <w:b w:val="1"/>
          <w:bCs w:val="1"/>
          <w:color w:val="auto"/>
        </w:rPr>
      </w:pPr>
    </w:p>
    <w:p>
      <w:pPr>
        <w:ind w:right="120" w:firstLine="278"/>
        <w:spacing w:after="0" w:line="266" w:lineRule="auto"/>
        <w:tabs>
          <w:tab w:leader="none" w:pos="53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 Information; Non-Disclosure. </w:t>
      </w:r>
      <w:r>
        <w:rPr>
          <w:rFonts w:ascii="Arial" w:cs="Arial" w:eastAsia="Arial" w:hAnsi="Arial"/>
          <w:sz w:val="18"/>
          <w:szCs w:val="18"/>
          <w:color w:val="auto"/>
        </w:rPr>
        <w:t>Executive acknowledges that the business of the Company is highly competitive and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provided and will continue to provide Executive with access to “Confidential Information” relating to the business of the Company, WMI and their respective affiliates.</w:t>
      </w:r>
    </w:p>
    <w:p>
      <w:pPr>
        <w:spacing w:after="0" w:line="72"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For purposes of this Agreement, “Confidential Information” means and includes the Company’s and WMI’s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spacing w:after="0" w:line="268" w:lineRule="auto"/>
        <w:rPr>
          <w:sz w:val="20"/>
          <w:szCs w:val="20"/>
          <w:color w:val="auto"/>
        </w:rPr>
      </w:pPr>
      <w:r>
        <w:rPr>
          <w:rFonts w:ascii="Arial" w:cs="Arial" w:eastAsia="Arial" w:hAnsi="Arial"/>
          <w:sz w:val="17"/>
          <w:szCs w:val="17"/>
          <w:color w:val="auto"/>
        </w:rPr>
        <w:t>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and/or WMI’s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and/or WMI;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WMI, and/or the Company in the pursuit of its business will not cause the information to lose its protected status under this Agreement. Executive acknowledges that this Confidential Information constitutes a valuable, special, and unique asset used by WMI and/or the Company or their respective affiliates in their businesses to obtain a competitive advantage over their competitors. Executive further acknowledges that protection of such Confidential Information against unauthorized disclosure and use is of critical importance to WMI, the Company and their respective affiliates in maintaining their competitive position.</w:t>
      </w:r>
    </w:p>
    <w:p>
      <w:pPr>
        <w:spacing w:after="0" w:line="75" w:lineRule="exact"/>
        <w:rPr>
          <w:sz w:val="20"/>
          <w:szCs w:val="20"/>
          <w:color w:val="auto"/>
        </w:rPr>
      </w:pPr>
    </w:p>
    <w:p>
      <w:pPr>
        <w:ind w:right="380" w:firstLine="270"/>
        <w:spacing w:after="0" w:line="308" w:lineRule="auto"/>
        <w:rPr>
          <w:sz w:val="20"/>
          <w:szCs w:val="20"/>
          <w:color w:val="auto"/>
        </w:rPr>
      </w:pPr>
      <w:r>
        <w:rPr>
          <w:rFonts w:ascii="Arial" w:cs="Arial" w:eastAsia="Arial" w:hAnsi="Arial"/>
          <w:sz w:val="17"/>
          <w:szCs w:val="17"/>
          <w:color w:val="auto"/>
        </w:rPr>
        <w:t>Executive has and will continue to have access to, or knowledge of, Confidential Information of third parties, such as actual and potential customers, suppliers, partners, joint venturers, investors, financing sources, and the like, of WMI, the Company and their respective affiliates.</w:t>
      </w:r>
    </w:p>
    <w:p>
      <w:pPr>
        <w:spacing w:after="0" w:line="38" w:lineRule="exact"/>
        <w:rPr>
          <w:sz w:val="20"/>
          <w:szCs w:val="20"/>
          <w:color w:val="auto"/>
        </w:rPr>
      </w:pPr>
    </w:p>
    <w:p>
      <w:pPr>
        <w:ind w:right="120" w:firstLine="267"/>
        <w:spacing w:after="0" w:line="297" w:lineRule="auto"/>
        <w:rPr>
          <w:sz w:val="20"/>
          <w:szCs w:val="20"/>
          <w:color w:val="auto"/>
        </w:rPr>
      </w:pPr>
      <w:r>
        <w:rPr>
          <w:rFonts w:ascii="Arial" w:cs="Arial" w:eastAsia="Arial" w:hAnsi="Arial"/>
          <w:sz w:val="16"/>
          <w:szCs w:val="16"/>
          <w:color w:val="auto"/>
        </w:rPr>
        <w:t>The Company also agrees to provide Executive with one or more of the following: access to Confidential Information; specialized training regarding the Company’s and/or WMI’s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50" w:lineRule="exact"/>
        <w:rPr>
          <w:sz w:val="20"/>
          <w:szCs w:val="20"/>
          <w:color w:val="auto"/>
        </w:rPr>
      </w:pPr>
    </w:p>
    <w:p>
      <w:pPr>
        <w:ind w:right="360" w:firstLine="270"/>
        <w:spacing w:after="0" w:line="279" w:lineRule="auto"/>
        <w:rPr>
          <w:sz w:val="20"/>
          <w:szCs w:val="20"/>
          <w:color w:val="auto"/>
        </w:rPr>
      </w:pPr>
      <w:r>
        <w:rPr>
          <w:rFonts w:ascii="Arial" w:cs="Arial" w:eastAsia="Arial" w:hAnsi="Arial"/>
          <w:sz w:val="17"/>
          <w:szCs w:val="17"/>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59" w:lineRule="exact"/>
        <w:rPr>
          <w:sz w:val="20"/>
          <w:szCs w:val="20"/>
          <w:color w:val="auto"/>
        </w:rPr>
      </w:pPr>
    </w:p>
    <w:p>
      <w:pPr>
        <w:ind w:right="100" w:firstLine="278"/>
        <w:spacing w:after="0" w:line="255" w:lineRule="auto"/>
        <w:tabs>
          <w:tab w:leader="none" w:pos="51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Unfair Competition Restrictions. </w:t>
      </w:r>
      <w:r>
        <w:rPr>
          <w:rFonts w:ascii="Arial" w:cs="Arial" w:eastAsia="Arial" w:hAnsi="Arial"/>
          <w:sz w:val="18"/>
          <w:szCs w:val="18"/>
          <w:color w:val="auto"/>
        </w:rPr>
        <w:t>The Company and WMI agree to and shall provide Executive with immediate access to Confidential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Ancillary to the rights provided to Executive following employment termination, the Company’s and WMI“s provision of Confidential Information, specialized training, and/or goodwill support to Executive, and Executive’s agreements, regarding the use of same, and in order to protect the value of the above-referenced stock options, any restricted stock,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w:t>
      </w:r>
    </w:p>
    <w:p>
      <w:pPr>
        <w:spacing w:after="0" w:line="81" w:lineRule="exact"/>
        <w:rPr>
          <w:sz w:val="20"/>
          <w:szCs w:val="20"/>
          <w:color w:val="auto"/>
        </w:rPr>
      </w:pPr>
    </w:p>
    <w:p>
      <w:pPr>
        <w:ind w:left="360" w:right="560"/>
        <w:spacing w:after="0" w:line="277" w:lineRule="auto"/>
        <w:rPr>
          <w:sz w:val="20"/>
          <w:szCs w:val="20"/>
          <w:color w:val="auto"/>
        </w:rPr>
      </w:pPr>
      <w:r>
        <w:rPr>
          <w:rFonts w:ascii="Arial" w:cs="Arial" w:eastAsia="Arial" w:hAnsi="Arial"/>
          <w:sz w:val="18"/>
          <w:szCs w:val="18"/>
          <w:color w:val="auto"/>
        </w:rPr>
        <w:t>Engage in, or assist any person, entity, or business engaged in, the selling or providing of products or services that would displace the products or services that (i) the Company and/or WMI is currently 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 w:name="page17"/>
    <w:bookmarkEnd w:id="16"/>
    <w:p>
      <w:pPr>
        <w:jc w:val="both"/>
        <w:ind w:left="360" w:right="120"/>
        <w:spacing w:after="0" w:line="259" w:lineRule="auto"/>
        <w:rPr>
          <w:sz w:val="20"/>
          <w:szCs w:val="20"/>
          <w:color w:val="auto"/>
        </w:rPr>
      </w:pPr>
      <w:r>
        <w:rPr>
          <w:rFonts w:ascii="Arial" w:cs="Arial" w:eastAsia="Arial" w:hAnsi="Arial"/>
          <w:sz w:val="18"/>
          <w:szCs w:val="18"/>
          <w:color w:val="auto"/>
        </w:rPr>
        <w:t>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87" w:lineRule="exact"/>
        <w:rPr>
          <w:sz w:val="20"/>
          <w:szCs w:val="20"/>
          <w:color w:val="auto"/>
        </w:rPr>
      </w:pPr>
    </w:p>
    <w:p>
      <w:pPr>
        <w:ind w:right="400" w:firstLine="270"/>
        <w:spacing w:after="0" w:line="279" w:lineRule="auto"/>
        <w:rPr>
          <w:sz w:val="20"/>
          <w:szCs w:val="20"/>
          <w:color w:val="auto"/>
        </w:rPr>
      </w:pPr>
      <w:r>
        <w:rPr>
          <w:rFonts w:ascii="Arial" w:cs="Arial" w:eastAsia="Arial" w:hAnsi="Arial"/>
          <w:sz w:val="17"/>
          <w:szCs w:val="17"/>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that WMI and the Company have provided to Executive.</w:t>
      </w:r>
    </w:p>
    <w:p>
      <w:pPr>
        <w:spacing w:after="0" w:line="63" w:lineRule="exact"/>
        <w:rPr>
          <w:sz w:val="20"/>
          <w:szCs w:val="20"/>
          <w:color w:val="auto"/>
        </w:rPr>
      </w:pPr>
    </w:p>
    <w:p>
      <w:pPr>
        <w:ind w:right="160" w:firstLine="260"/>
        <w:spacing w:after="0" w:line="255" w:lineRule="auto"/>
        <w:rPr>
          <w:sz w:val="20"/>
          <w:szCs w:val="20"/>
          <w:color w:val="auto"/>
        </w:rPr>
      </w:pPr>
      <w:r>
        <w:rPr>
          <w:rFonts w:ascii="Arial" w:cs="Arial" w:eastAsia="Arial" w:hAnsi="Arial"/>
          <w:sz w:val="18"/>
          <w:szCs w:val="18"/>
          <w:color w:val="auto"/>
        </w:rPr>
        <w:t>A failure to comply with the foregoing restrictions will create a presumption that Executive is engaging in unfair competition. Executive agrees that this Section defining unfair competition with the Company and/or WMI does not prevent Executive from using and offering the skills that Executive possessed prior to receiving access to Confidential Information, confidential training, and knowledge from the Company and/or WMI.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to be no material threat to the legitimate business interests of the Company and/or WMI.</w:t>
      </w:r>
    </w:p>
    <w:p>
      <w:pPr>
        <w:spacing w:after="0" w:line="77" w:lineRule="exact"/>
        <w:rPr>
          <w:sz w:val="20"/>
          <w:szCs w:val="20"/>
          <w:color w:val="auto"/>
        </w:rPr>
      </w:pPr>
    </w:p>
    <w:p>
      <w:pPr>
        <w:ind w:right="300" w:firstLine="278"/>
        <w:spacing w:after="0" w:line="293" w:lineRule="auto"/>
        <w:tabs>
          <w:tab w:leader="none" w:pos="535" w:val="left"/>
        </w:tabs>
        <w:numPr>
          <w:ilvl w:val="1"/>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Non-Solicitation of Customers. </w:t>
      </w:r>
      <w:r>
        <w:rPr>
          <w:rFonts w:ascii="Arial" w:cs="Arial" w:eastAsia="Arial" w:hAnsi="Arial"/>
          <w:sz w:val="16"/>
          <w:szCs w:val="16"/>
          <w:color w:val="auto"/>
        </w:rPr>
        <w:t>For a period of two (2) years following the termination of employment for any reason, Executive will not call on,</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or solicit competing business from customers of WMI, the Company and their respective affiliates whom Executive, within the previous twelve</w:t>
      </w:r>
    </w:p>
    <w:p>
      <w:pPr>
        <w:spacing w:after="0" w:line="1" w:lineRule="exact"/>
        <w:rPr>
          <w:rFonts w:ascii="Arial" w:cs="Arial" w:eastAsia="Arial" w:hAnsi="Arial"/>
          <w:sz w:val="16"/>
          <w:szCs w:val="16"/>
          <w:b w:val="1"/>
          <w:bCs w:val="1"/>
          <w:color w:val="auto"/>
        </w:rPr>
      </w:pPr>
    </w:p>
    <w:p>
      <w:pPr>
        <w:ind w:right="440" w:firstLine="8"/>
        <w:spacing w:after="0" w:line="261" w:lineRule="auto"/>
        <w:tabs>
          <w:tab w:leader="none" w:pos="3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months, (i) had or made contact with, or (ii) had access to information and files about, or induce or encourage any such customer or other source of ongoing business to stop doing business with WMI or the Company.</w:t>
      </w:r>
    </w:p>
    <w:p>
      <w:pPr>
        <w:spacing w:after="0" w:line="71" w:lineRule="exact"/>
        <w:rPr>
          <w:rFonts w:ascii="Arial" w:cs="Arial" w:eastAsia="Arial" w:hAnsi="Arial"/>
          <w:sz w:val="18"/>
          <w:szCs w:val="18"/>
          <w:color w:val="auto"/>
        </w:rPr>
      </w:pPr>
    </w:p>
    <w:p>
      <w:pPr>
        <w:ind w:right="120" w:firstLine="278"/>
        <w:spacing w:after="0" w:line="261" w:lineRule="auto"/>
        <w:tabs>
          <w:tab w:leader="none" w:pos="515"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Non-Solicitation of Employees. </w:t>
      </w:r>
      <w:r>
        <w:rPr>
          <w:rFonts w:ascii="Arial" w:cs="Arial" w:eastAsia="Arial" w:hAnsi="Arial"/>
          <w:sz w:val="18"/>
          <w:szCs w:val="18"/>
          <w:color w:val="auto"/>
        </w:rPr>
        <w:t>During Executive’s employment, and for a period of two (2) years following the termination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will not, either directly or indirectly, call on, solicit, encourage, or induce any other employee or officer of WMI, the Company or their respective affiliates whom Executive had contact with, knowledge of, or association within the course of employment with the Company to terminate his employment, and will not assist any other person or entity in such a solicitation.</w:t>
      </w:r>
    </w:p>
    <w:p>
      <w:pPr>
        <w:spacing w:after="0" w:line="71" w:lineRule="exact"/>
        <w:rPr>
          <w:rFonts w:ascii="Arial" w:cs="Arial" w:eastAsia="Arial" w:hAnsi="Arial"/>
          <w:sz w:val="18"/>
          <w:szCs w:val="18"/>
          <w:b w:val="1"/>
          <w:bCs w:val="1"/>
          <w:color w:val="auto"/>
        </w:rPr>
      </w:pPr>
    </w:p>
    <w:p>
      <w:pPr>
        <w:ind w:firstLine="278"/>
        <w:spacing w:after="0" w:line="261" w:lineRule="auto"/>
        <w:tabs>
          <w:tab w:leader="none" w:pos="495"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covenants and agrees that Executive shall not engage in any pattern of conduct that involves the making or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or WMI, their respective management, or of management of corporations affiliated with the Company or WMI.</w:t>
      </w:r>
    </w:p>
    <w:p>
      <w:pPr>
        <w:spacing w:after="0" w:line="180"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of Covenants.</w:t>
      </w:r>
    </w:p>
    <w:p>
      <w:pPr>
        <w:spacing w:after="0" w:line="117" w:lineRule="exact"/>
        <w:rPr>
          <w:rFonts w:ascii="Arial" w:cs="Arial" w:eastAsia="Arial" w:hAnsi="Arial"/>
          <w:sz w:val="18"/>
          <w:szCs w:val="18"/>
          <w:b w:val="1"/>
          <w:bCs w:val="1"/>
          <w:color w:val="auto"/>
        </w:rPr>
      </w:pPr>
    </w:p>
    <w:p>
      <w:pPr>
        <w:ind w:right="40" w:firstLine="278"/>
        <w:spacing w:after="0" w:line="289" w:lineRule="auto"/>
        <w:tabs>
          <w:tab w:leader="none" w:pos="522" w:val="left"/>
        </w:tabs>
        <w:numPr>
          <w:ilvl w:val="1"/>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and Forfeiture of Compensation. </w:t>
      </w:r>
      <w:r>
        <w:rPr>
          <w:rFonts w:ascii="Arial" w:cs="Arial" w:eastAsia="Arial" w:hAnsi="Arial"/>
          <w:sz w:val="17"/>
          <w:szCs w:val="17"/>
          <w:color w:val="auto"/>
        </w:rPr>
        <w:t>Executive agrees that any breach by Executive of any of the covenants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hereof during Executive’s employment by the Company, shall be grounds for immediate dismissal of Executive for Cause pursuant to Section 5(c) (i), which shall be in addition to and not exclusive of any and all other rights and remedies the Company may have against Executive.</w:t>
      </w:r>
    </w:p>
    <w:p>
      <w:pPr>
        <w:spacing w:after="0" w:line="50" w:lineRule="exact"/>
        <w:rPr>
          <w:rFonts w:ascii="Arial" w:cs="Arial" w:eastAsia="Arial" w:hAnsi="Arial"/>
          <w:sz w:val="17"/>
          <w:szCs w:val="17"/>
          <w:b w:val="1"/>
          <w:bCs w:val="1"/>
          <w:color w:val="auto"/>
        </w:rPr>
      </w:pPr>
    </w:p>
    <w:p>
      <w:pPr>
        <w:ind w:right="160" w:firstLine="278"/>
        <w:spacing w:after="0" w:line="289" w:lineRule="auto"/>
        <w:tabs>
          <w:tab w:leader="none" w:pos="535" w:val="left"/>
        </w:tabs>
        <w:numPr>
          <w:ilvl w:val="1"/>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 to Injunction. </w:t>
      </w:r>
      <w:r>
        <w:rPr>
          <w:rFonts w:ascii="Arial" w:cs="Arial" w:eastAsia="Arial" w:hAnsi="Arial"/>
          <w:sz w:val="17"/>
          <w:szCs w:val="17"/>
          <w:color w:val="auto"/>
        </w:rPr>
        <w:t>Executive acknowledges that a breach of the covenants set forth in Section 10 hereof will cause irreparable damage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and/or WMI with respect to which the Company’s and/or WMI’s remedy at law for damages will be inadequate. Therefore, in the event of breach or anticipatory breach of the covenants set forth in this section by Executive, Executive and the Company agree that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140"/>
        <w:spacing w:after="0" w:line="302" w:lineRule="auto"/>
        <w:rPr>
          <w:sz w:val="20"/>
          <w:szCs w:val="20"/>
          <w:color w:val="auto"/>
        </w:rPr>
      </w:pPr>
      <w:r>
        <w:rPr>
          <w:rFonts w:ascii="Arial" w:cs="Arial" w:eastAsia="Arial" w:hAnsi="Arial"/>
          <w:sz w:val="16"/>
          <w:szCs w:val="16"/>
          <w:color w:val="auto"/>
        </w:rPr>
        <w:t>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 (B) recovery of all reasonable sums as determined by a court of competent jurisdiction expended and costs, including reasonable attorney’s fees, incurred by the Company and/or WMI to enforce the covenants set forth in this section.</w:t>
      </w:r>
    </w:p>
    <w:p>
      <w:pPr>
        <w:spacing w:after="0" w:line="42" w:lineRule="exact"/>
        <w:rPr>
          <w:sz w:val="20"/>
          <w:szCs w:val="20"/>
          <w:color w:val="auto"/>
        </w:rPr>
      </w:pPr>
    </w:p>
    <w:p>
      <w:pPr>
        <w:ind w:firstLine="278"/>
        <w:spacing w:after="0" w:line="290" w:lineRule="auto"/>
        <w:tabs>
          <w:tab w:leader="none" w:pos="515" w:val="left"/>
        </w:tabs>
        <w:numPr>
          <w:ilvl w:val="1"/>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of Covenants. </w:t>
      </w:r>
      <w:r>
        <w:rPr>
          <w:rFonts w:ascii="Arial" w:cs="Arial" w:eastAsia="Arial" w:hAnsi="Arial"/>
          <w:sz w:val="16"/>
          <w:szCs w:val="16"/>
          <w:color w:val="auto"/>
        </w:rPr>
        <w:t>The covenants contained in Section 10 hereof constitute a series of separate but ancillary covenants, one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159" w:lineRule="exact"/>
        <w:rPr>
          <w:rFonts w:ascii="Arial" w:cs="Arial" w:eastAsia="Arial" w:hAnsi="Arial"/>
          <w:sz w:val="16"/>
          <w:szCs w:val="16"/>
          <w:b w:val="1"/>
          <w:bCs w:val="1"/>
          <w:color w:val="auto"/>
        </w:rPr>
      </w:pPr>
    </w:p>
    <w:p>
      <w:pPr>
        <w:ind w:left="580" w:hanging="572"/>
        <w:spacing w:after="0"/>
        <w:tabs>
          <w:tab w:leader="none" w:pos="5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100" w:firstLine="267"/>
        <w:spacing w:after="0" w:line="273" w:lineRule="auto"/>
        <w:rPr>
          <w:sz w:val="20"/>
          <w:szCs w:val="20"/>
          <w:color w:val="auto"/>
        </w:rPr>
      </w:pPr>
      <w:r>
        <w:rPr>
          <w:rFonts w:ascii="Arial" w:cs="Arial" w:eastAsia="Arial" w:hAnsi="Arial"/>
          <w:sz w:val="17"/>
          <w:szCs w:val="17"/>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174"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121"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left="580" w:hanging="572"/>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Disputes and Payment of Attorney’s Fees.</w:t>
      </w:r>
    </w:p>
    <w:p>
      <w:pPr>
        <w:spacing w:after="0" w:line="121" w:lineRule="exact"/>
        <w:rPr>
          <w:sz w:val="20"/>
          <w:szCs w:val="20"/>
          <w:color w:val="auto"/>
        </w:rPr>
      </w:pPr>
    </w:p>
    <w:p>
      <w:pPr>
        <w:ind w:right="100" w:firstLine="270"/>
        <w:spacing w:after="0" w:line="271" w:lineRule="auto"/>
        <w:rPr>
          <w:sz w:val="20"/>
          <w:szCs w:val="20"/>
          <w:color w:val="auto"/>
        </w:rPr>
      </w:pPr>
      <w:r>
        <w:rPr>
          <w:rFonts w:ascii="Arial" w:cs="Arial" w:eastAsia="Arial" w:hAnsi="Arial"/>
          <w:sz w:val="17"/>
          <w:szCs w:val="17"/>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75"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 of Timely Payments.</w:t>
      </w:r>
    </w:p>
    <w:p>
      <w:pPr>
        <w:spacing w:after="0" w:line="121" w:lineRule="exact"/>
        <w:rPr>
          <w:sz w:val="20"/>
          <w:szCs w:val="20"/>
          <w:color w:val="auto"/>
        </w:rPr>
      </w:pPr>
    </w:p>
    <w:p>
      <w:pPr>
        <w:ind w:right="180" w:firstLine="270"/>
        <w:spacing w:after="0" w:line="297" w:lineRule="auto"/>
        <w:rPr>
          <w:sz w:val="20"/>
          <w:szCs w:val="20"/>
          <w:color w:val="auto"/>
        </w:rPr>
      </w:pPr>
      <w:r>
        <w:rPr>
          <w:rFonts w:ascii="Arial" w:cs="Arial" w:eastAsia="Arial" w:hAnsi="Arial"/>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54"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233"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Payments.</w:t>
      </w:r>
    </w:p>
    <w:p>
      <w:pPr>
        <w:spacing w:after="0" w:line="121" w:lineRule="exact"/>
        <w:rPr>
          <w:sz w:val="20"/>
          <w:szCs w:val="20"/>
          <w:color w:val="auto"/>
        </w:rPr>
      </w:pPr>
    </w:p>
    <w:p>
      <w:pPr>
        <w:ind w:firstLine="260"/>
        <w:spacing w:after="0" w:line="257"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4"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ind w:left="580" w:hanging="572"/>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Amendment.</w:t>
      </w:r>
    </w:p>
    <w:p>
      <w:pPr>
        <w:spacing w:after="0" w:line="121" w:lineRule="exact"/>
        <w:rPr>
          <w:sz w:val="20"/>
          <w:szCs w:val="20"/>
          <w:color w:val="auto"/>
        </w:rPr>
      </w:pPr>
    </w:p>
    <w:p>
      <w:pPr>
        <w:jc w:val="both"/>
        <w:ind w:right="100" w:firstLine="267"/>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the Company, WMI or any their respective subsidiaries or affiliated entities relating to the terms of Executive’s employment. It may not be amended except by a written agreement signed by both Executive and the Company.</w:t>
      </w:r>
    </w:p>
    <w:p>
      <w:pPr>
        <w:spacing w:after="0" w:line="177"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166"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40" w:firstLine="260"/>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 the Company: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Waste Management , Inc.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1001 Fannin, Suite 4000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Corporate Secretary</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 Executive: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the address for Executive set forth below.</w:t>
      </w:r>
    </w:p>
    <w:p>
      <w:pPr>
        <w:spacing w:after="0" w:line="221"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firstLine="278"/>
        <w:spacing w:after="0" w:line="282" w:lineRule="auto"/>
        <w:tabs>
          <w:tab w:leader="none" w:pos="522"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53" w:lineRule="exact"/>
        <w:rPr>
          <w:rFonts w:ascii="Arial" w:cs="Arial" w:eastAsia="Arial" w:hAnsi="Arial"/>
          <w:sz w:val="18"/>
          <w:szCs w:val="18"/>
          <w:b w:val="1"/>
          <w:bCs w:val="1"/>
          <w:color w:val="auto"/>
        </w:rPr>
      </w:pPr>
    </w:p>
    <w:p>
      <w:pPr>
        <w:ind w:right="160" w:firstLine="278"/>
        <w:spacing w:after="0" w:line="266" w:lineRule="auto"/>
        <w:tabs>
          <w:tab w:leader="none" w:pos="535"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68" w:lineRule="exact"/>
        <w:rPr>
          <w:rFonts w:ascii="Arial" w:cs="Arial" w:eastAsia="Arial" w:hAnsi="Arial"/>
          <w:sz w:val="18"/>
          <w:szCs w:val="18"/>
          <w:b w:val="1"/>
          <w:bCs w:val="1"/>
          <w:color w:val="auto"/>
        </w:rPr>
      </w:pPr>
    </w:p>
    <w:p>
      <w:pPr>
        <w:ind w:left="520" w:hanging="242"/>
        <w:spacing w:after="0"/>
        <w:tabs>
          <w:tab w:leader="none" w:pos="520"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40" w:lineRule="exact"/>
        <w:rPr>
          <w:rFonts w:ascii="Arial" w:cs="Arial" w:eastAsia="Arial" w:hAnsi="Arial"/>
          <w:sz w:val="16"/>
          <w:szCs w:val="16"/>
          <w:b w:val="1"/>
          <w:bCs w:val="1"/>
          <w:color w:val="auto"/>
        </w:rPr>
      </w:pPr>
    </w:p>
    <w:p>
      <w:pPr>
        <w:ind w:left="540" w:hanging="262"/>
        <w:spacing w:after="0"/>
        <w:tabs>
          <w:tab w:leader="none" w:pos="540"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117" w:lineRule="exact"/>
        <w:rPr>
          <w:rFonts w:ascii="Arial" w:cs="Arial" w:eastAsia="Arial" w:hAnsi="Arial"/>
          <w:sz w:val="18"/>
          <w:szCs w:val="18"/>
          <w:b w:val="1"/>
          <w:bCs w:val="1"/>
          <w:color w:val="auto"/>
        </w:rPr>
      </w:pPr>
    </w:p>
    <w:p>
      <w:pPr>
        <w:ind w:right="360" w:firstLine="278"/>
        <w:spacing w:after="0" w:line="282" w:lineRule="auto"/>
        <w:tabs>
          <w:tab w:leader="none" w:pos="515"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counterparts will together constitute but one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0" w:name="page21"/>
    <w:bookmarkEnd w:id="20"/>
    <w:p>
      <w:pPr>
        <w:ind w:left="280"/>
        <w:spacing w:after="0"/>
        <w:rPr>
          <w:sz w:val="20"/>
          <w:szCs w:val="20"/>
          <w:color w:val="auto"/>
        </w:rPr>
      </w:pPr>
      <w:r>
        <w:rPr>
          <w:rFonts w:ascii="Arial" w:cs="Arial" w:eastAsia="Arial" w:hAnsi="Arial"/>
          <w:sz w:val="16"/>
          <w:szCs w:val="16"/>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26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RECYCLE AMERICA ALLIANCE, L.L.C.</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Larry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Larry O’Donnell</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On behalf of the Board of Managers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Patrick DeRueda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36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Patrick DeRueda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sectPr>
      <w:pgSz w:w="11900" w:h="16838" w:orient="portrait"/>
      <w:cols w:equalWidth="0" w:num="1">
        <w:col w:w="10219"/>
      </w:cols>
      <w:pgMar w:left="2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3"/>
    </w:lvl>
    <w:lvl w:ilvl="1">
      <w:lvlJc w:val="left"/>
      <w:lvlText w:val="(%2)"/>
      <w:numFmt w:val="lowerLetter"/>
      <w:start w:val="1"/>
    </w:lvl>
  </w:abstractNum>
  <w:abstractNum w:abstractNumId="4">
    <w:nsid w:val="75A2A8D4"/>
    <w:multiLevelType w:val="hybridMultilevel"/>
    <w:lvl w:ilvl="0">
      <w:lvlJc w:val="left"/>
      <w:lvlText w:val="(%1)"/>
      <w:numFmt w:val="lowerLetter"/>
      <w:start w:val="3"/>
    </w:lvl>
  </w:abstractNum>
  <w:abstractNum w:abstractNumId="5">
    <w:nsid w:val="8EDBDAB"/>
    <w:multiLevelType w:val="hybridMultilevel"/>
    <w:lvl w:ilvl="0">
      <w:lvlJc w:val="left"/>
      <w:lvlText w:val="(%1)"/>
      <w:numFmt w:val="lowerLetter"/>
      <w:start w:val="4"/>
    </w:lvl>
    <w:lvl w:ilvl="1">
      <w:lvlJc w:val="left"/>
      <w:lvlText w:val="(%2)"/>
      <w:numFmt w:val="lowerRoman"/>
      <w:start w:val="1"/>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9">
    <w:nsid w:val="189A769B"/>
    <w:multiLevelType w:val="hybridMultilevel"/>
    <w:lvl w:ilvl="0">
      <w:lvlJc w:val="left"/>
      <w:lvlText w:val="%1"/>
      <w:numFmt w:val="lowerLetter"/>
      <w:start w:val="1"/>
    </w:lvl>
    <w:lvl w:ilvl="1">
      <w:lvlJc w:val="left"/>
      <w:lvlText w:val="(%2)"/>
      <w:numFmt w:val="upperLetter"/>
      <w:start w:val="4"/>
    </w:lvl>
    <w:lvl w:ilvl="2">
      <w:lvlJc w:val="left"/>
      <w:lvlText w:val="%3"/>
      <w:numFmt w:val="lowerRoman"/>
      <w:start w:val="1"/>
    </w:lvl>
  </w:abstractNum>
  <w:abstractNum w:abstractNumId="10">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
    <w:nsid w:val="71F3245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2">
    <w:nsid w:val="2CA8861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3">
    <w:nsid w:val="836C40E"/>
    <w:multiLevelType w:val="hybridMultilevel"/>
    <w:lvl w:ilvl="0">
      <w:lvlJc w:val="left"/>
      <w:lvlText w:val="(%1)"/>
      <w:numFmt w:val="lowerLetter"/>
      <w:start w:val="1"/>
    </w:lvl>
    <w:lvl w:ilvl="1">
      <w:lvlJc w:val="left"/>
      <w:lvlText w:val="(%2)"/>
      <w:numFmt w:val="lowerRoman"/>
      <w:start w:val="1"/>
    </w:lvl>
  </w:abstractNum>
  <w:abstractNum w:abstractNumId="14">
    <w:nsid w:val="2901D82"/>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abstractNum>
  <w:abstractNum w:abstractNumId="15">
    <w:nsid w:val="3A95F87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16">
    <w:nsid w:val="813864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7">
    <w:nsid w:val="1E7FF52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
    <w:nsid w:val="7C3DBD3D"/>
    <w:multiLevelType w:val="hybridMultilevel"/>
    <w:lvl w:ilvl="0">
      <w:lvlJc w:val="left"/>
      <w:lvlText w:val="(%1)"/>
      <w:numFmt w:val="lowerRoman"/>
      <w:start w:val="3"/>
    </w:lvl>
  </w:abstractNum>
  <w:abstractNum w:abstractNumId="19">
    <w:nsid w:val="737B8DDC"/>
    <w:multiLevelType w:val="hybridMultilevel"/>
    <w:lvl w:ilvl="0">
      <w:lvlJc w:val="left"/>
      <w:lvlText w:val="(%1)"/>
      <w:numFmt w:val="lowerRoman"/>
      <w:start w:val="4"/>
    </w:lvl>
  </w:abstractNum>
  <w:abstractNum w:abstractNumId="20">
    <w:nsid w:val="6CEAF087"/>
    <w:multiLevelType w:val="hybridMultilevel"/>
    <w:lvl w:ilvl="0">
      <w:lvlJc w:val="left"/>
      <w:lvlText w:val="(%1)"/>
      <w:numFmt w:val="lowerRoman"/>
      <w:start w:val="6"/>
    </w:lvl>
  </w:abstractNum>
  <w:abstractNum w:abstractNumId="21">
    <w:nsid w:val="22221A70"/>
    <w:multiLevelType w:val="hybridMultilevel"/>
    <w:lvl w:ilvl="0">
      <w:lvlJc w:val="left"/>
      <w:lvlText w:val="(%1)"/>
      <w:numFmt w:val="lowerLetter"/>
      <w:start w:val="9"/>
    </w:lvl>
    <w:lvl w:ilvl="1">
      <w:lvlJc w:val="left"/>
      <w:lvlText w:val="(%2)"/>
      <w:numFmt w:val="lowerLetter"/>
      <w:start w:val="1"/>
    </w:lvl>
  </w:abstractNum>
  <w:abstractNum w:abstractNumId="22">
    <w:nsid w:val="4516DDE9"/>
    <w:multiLevelType w:val="hybridMultilevel"/>
    <w:lvl w:ilvl="0">
      <w:lvlJc w:val="left"/>
      <w:lvlText w:val="(%1)"/>
      <w:numFmt w:val="lowerRoman"/>
      <w:start w:val="2"/>
    </w:lvl>
  </w:abstractNum>
  <w:abstractNum w:abstractNumId="23">
    <w:nsid w:val="3006C83E"/>
    <w:multiLevelType w:val="hybridMultilevel"/>
    <w:lvl w:ilvl="0">
      <w:lvlJc w:val="left"/>
      <w:lvlText w:val="(%1)"/>
      <w:numFmt w:val="lowerRoman"/>
      <w:start w:val="4"/>
    </w:lvl>
  </w:abstractNum>
  <w:abstractNum w:abstractNumId="24">
    <w:nsid w:val="614FD4A1"/>
    <w:multiLevelType w:val="hybridMultilevel"/>
    <w:lvl w:ilvl="0">
      <w:lvlJc w:val="left"/>
      <w:lvlText w:val="%1"/>
      <w:numFmt w:val="decimal"/>
      <w:start w:val="1"/>
    </w:lvl>
    <w:lvl w:ilvl="1">
      <w:lvlJc w:val="left"/>
      <w:lvlText w:val="%2."/>
      <w:numFmt w:val="decimal"/>
      <w:start w:val="8"/>
    </w:lvl>
  </w:abstractNum>
  <w:abstractNum w:abstractNumId="25">
    <w:nsid w:val="419AC241"/>
    <w:multiLevelType w:val="hybridMultilevel"/>
    <w:lvl w:ilvl="0">
      <w:lvlJc w:val="left"/>
      <w:lvlText w:val="%1."/>
      <w:numFmt w:val="decimal"/>
      <w:start w:val="10"/>
    </w:lvl>
    <w:lvl w:ilvl="1">
      <w:lvlJc w:val="left"/>
      <w:lvlText w:val="%2"/>
      <w:numFmt w:val="decimal"/>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3"/>
    </w:lvl>
  </w:abstractNum>
  <w:abstractNum w:abstractNumId="28">
    <w:nsid w:val="5072367"/>
    <w:multiLevelType w:val="hybridMultilevel"/>
    <w:lvl w:ilvl="0">
      <w:lvlJc w:val="left"/>
      <w:lvlText w:val="%1"/>
      <w:numFmt w:val="decimal"/>
      <w:start w:val="1"/>
    </w:lvl>
    <w:lvl w:ilvl="1">
      <w:lvlJc w:val="left"/>
      <w:lvlText w:val="(%2)"/>
      <w:numFmt w:val="lowerLetter"/>
      <w:start w:val="4"/>
    </w:lvl>
  </w:abstractNum>
  <w:abstractNum w:abstractNumId="29">
    <w:nsid w:val="3804823E"/>
    <w:multiLevelType w:val="hybridMultilevel"/>
    <w:lvl w:ilvl="0">
      <w:lvlJc w:val="left"/>
      <w:lvlText w:val="(%1)"/>
      <w:numFmt w:val="decimal"/>
      <w:start w:val="12"/>
    </w:lvl>
    <w:lvl w:ilvl="1">
      <w:lvlJc w:val="left"/>
      <w:lvlText w:val="(%2)"/>
      <w:numFmt w:val="lowerLetter"/>
      <w:start w:val="5"/>
    </w:lvl>
  </w:abstractNum>
  <w:abstractNum w:abstractNumId="30">
    <w:nsid w:val="77465F01"/>
    <w:multiLevelType w:val="hybridMultilevel"/>
    <w:lvl w:ilvl="0">
      <w:lvlJc w:val="left"/>
      <w:lvlText w:val="%1."/>
      <w:numFmt w:val="decimal"/>
      <w:start w:val="11"/>
    </w:lvl>
    <w:lvl w:ilvl="1">
      <w:lvlJc w:val="left"/>
      <w:lvlText w:val="(%2)"/>
      <w:numFmt w:val="lowerLetter"/>
      <w:start w:val="1"/>
    </w:lvl>
  </w:abstractNum>
  <w:abstractNum w:abstractNumId="31">
    <w:nsid w:val="7724C67E"/>
    <w:multiLevelType w:val="hybridMultilevel"/>
    <w:lvl w:ilvl="0">
      <w:lvlJc w:val="left"/>
      <w:lvlText w:val="%1"/>
      <w:numFmt w:val="decimal"/>
      <w:start w:val="1"/>
    </w:lvl>
    <w:lvl w:ilvl="1">
      <w:lvlJc w:val="left"/>
      <w:lvlText w:val="(%2)"/>
      <w:numFmt w:val="lowerLetter"/>
      <w:start w:val="3"/>
    </w:lvl>
  </w:abstractNum>
  <w:abstractNum w:abstractNumId="32">
    <w:nsid w:val="5C482A97"/>
    <w:multiLevelType w:val="hybridMultilevel"/>
    <w:lvl w:ilvl="0">
      <w:lvlJc w:val="left"/>
      <w:lvlText w:val="%1."/>
      <w:numFmt w:val="decimal"/>
      <w:start w:val="12"/>
    </w:lvl>
    <w:lvl w:ilvl="1">
      <w:lvlJc w:val="left"/>
      <w:lvlText w:val="%2"/>
      <w:numFmt w:val="lowerLetter"/>
      <w:start w:val="1"/>
    </w:lvl>
  </w:abstractNum>
  <w:abstractNum w:abstractNumId="33">
    <w:nsid w:val="2463B9EA"/>
    <w:multiLevelType w:val="hybridMultilevel"/>
    <w:lvl w:ilvl="0">
      <w:lvlJc w:val="left"/>
      <w:lvlText w:val="%1."/>
      <w:numFmt w:val="decimal"/>
      <w:start w:val="13"/>
    </w:lvl>
  </w:abstractNum>
  <w:abstractNum w:abstractNumId="34">
    <w:nsid w:val="5E884ADC"/>
    <w:multiLevelType w:val="hybridMultilevel"/>
    <w:lvl w:ilvl="0">
      <w:lvlJc w:val="left"/>
      <w:lvlText w:val="%1."/>
      <w:numFmt w:val="decimal"/>
      <w:start w:val="14"/>
    </w:lvl>
  </w:abstractNum>
  <w:abstractNum w:abstractNumId="35">
    <w:nsid w:val="51EAD36B"/>
    <w:multiLevelType w:val="hybridMultilevel"/>
    <w:lvl w:ilvl="0">
      <w:lvlJc w:val="left"/>
      <w:lvlText w:val="%1."/>
      <w:numFmt w:val="decimal"/>
      <w:start w:val="15"/>
    </w:lvl>
  </w:abstractNum>
  <w:abstractNum w:abstractNumId="36">
    <w:nsid w:val="2D517796"/>
    <w:multiLevelType w:val="hybridMultilevel"/>
    <w:lvl w:ilvl="0">
      <w:lvlJc w:val="left"/>
      <w:lvlText w:val="%1."/>
      <w:numFmt w:val="decimal"/>
      <w:start w:val="16"/>
    </w:lvl>
  </w:abstractNum>
  <w:abstractNum w:abstractNumId="37">
    <w:nsid w:val="580BD78F"/>
    <w:multiLevelType w:val="hybridMultilevel"/>
    <w:lvl w:ilvl="0">
      <w:lvlJc w:val="left"/>
      <w:lvlText w:val="%1."/>
      <w:numFmt w:val="decimal"/>
      <w:start w:val="17"/>
    </w:lvl>
  </w:abstractNum>
  <w:abstractNum w:abstractNumId="38">
    <w:nsid w:val="153EA438"/>
    <w:multiLevelType w:val="hybridMultilevel"/>
    <w:lvl w:ilvl="0">
      <w:lvlJc w:val="left"/>
      <w:lvlText w:val="%1."/>
      <w:numFmt w:val="decimal"/>
      <w:start w:val="18"/>
    </w:lvl>
  </w:abstractNum>
  <w:abstractNum w:abstractNumId="39">
    <w:nsid w:val="3855585C"/>
    <w:multiLevelType w:val="hybridMultilevel"/>
    <w:lvl w:ilvl="0">
      <w:lvlJc w:val="left"/>
      <w:lvlText w:val="%1."/>
      <w:numFmt w:val="decimal"/>
      <w:start w:val="19"/>
    </w:lvl>
  </w:abstractNum>
  <w:abstractNum w:abstractNumId="40">
    <w:nsid w:val="70A64E2A"/>
    <w:multiLevelType w:val="hybridMultilevel"/>
    <w:lvl w:ilvl="0">
      <w:lvlJc w:val="left"/>
      <w:lvlText w:val="%1."/>
      <w:numFmt w:val="decimal"/>
      <w:start w:val="20"/>
    </w:lvl>
  </w:abstractNum>
  <w:abstractNum w:abstractNumId="41">
    <w:nsid w:val="6A2342EC"/>
    <w:multiLevelType w:val="hybridMultilevel"/>
    <w:lvl w:ilvl="0">
      <w:lvlJc w:val="left"/>
      <w:lvlText w:val="%1."/>
      <w:numFmt w:val="decimal"/>
      <w:start w:val="21"/>
    </w:lvl>
  </w:abstractNum>
  <w:abstractNum w:abstractNumId="42">
    <w:nsid w:val="2A487CB0"/>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2019-12-20T04:01:09Z</dcterms:created>
  <dcterms:modified xsi:type="dcterms:W3CDTF">2019-12-20T04:01:09Z</dcterms:modified>
</cp:coreProperties>
</file>