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6,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Waste Management,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40" w:space="720"/>
            <w:col w:w="3300" w:space="720"/>
            <w:col w:w="2460"/>
          </w:cols>
          <w:pgMar w:left="320" w:top="760" w:right="339" w:bottom="1440" w:gutter="0" w:footer="0" w:header="0"/>
          <w:type w:val="continuous"/>
        </w:sectPr>
      </w:pPr>
    </w:p>
    <w:p>
      <w:pPr>
        <w:spacing w:after="0" w:line="7" w:lineRule="exact"/>
        <w:rPr>
          <w:sz w:val="24"/>
          <w:szCs w:val="24"/>
          <w:color w:val="auto"/>
        </w:rPr>
      </w:pPr>
    </w:p>
    <w:p>
      <w:pPr>
        <w:jc w:val="center"/>
        <w:ind w:right="174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1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83"/>
        </w:trPr>
        <w:tc>
          <w:tcPr>
            <w:tcW w:w="3960" w:type="dxa"/>
            <w:vAlign w:val="bottom"/>
            <w:tcBorders>
              <w:top w:val="single" w:sz="8" w:color="auto"/>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0"/>
              </w:rPr>
              <w:t>Title of each class</w:t>
            </w:r>
          </w:p>
        </w:tc>
        <w:tc>
          <w:tcPr>
            <w:tcW w:w="3700" w:type="dxa"/>
            <w:vAlign w:val="bottom"/>
            <w:tcBorders>
              <w:top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92"/>
              </w:rPr>
              <w:t>Trading Symbol(s)</w:t>
            </w:r>
          </w:p>
        </w:tc>
        <w:tc>
          <w:tcPr>
            <w:tcW w:w="3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r>
        <w:trPr>
          <w:trHeight w:val="263"/>
        </w:trPr>
        <w:tc>
          <w:tcPr>
            <w:tcW w:w="3960" w:type="dxa"/>
            <w:vAlign w:val="bottom"/>
            <w:tcBorders>
              <w:left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w w:val="90"/>
              </w:rPr>
              <w:t>Common Stock, $0.01 par value</w:t>
            </w:r>
          </w:p>
        </w:tc>
        <w:tc>
          <w:tcPr>
            <w:tcW w:w="370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9"/>
              </w:rPr>
              <w:t>WM</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Waste Management, Inc. (the “Company”) issued a press release this morning announcing its financial results for the first quarter of 2020, a copy of which is attached hereto as Exhibit 99.1. The Company is holding a conference call to discuss these results beginning at 9:00 a.m. Central Time this morning. The call will be webcast live and may be heard by accessing the Investors section of the Company’s website at www.wm.com. The call may also be heard by dialing (877) 710-6139 and entering access code 4950049. A replay of the call will be available on the Company’s website and by telephone until May 20, 2020. To access a replay telephonically, please dial (855) 859-2056 and use the replay conference ID number 4950049.</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the call,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(d) Exhibits</w:t>
            </w:r>
          </w:p>
        </w:tc>
        <w:tc>
          <w:tcPr>
            <w:tcW w:w="1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391"/>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20" w:type="dxa"/>
            <w:vAlign w:val="bottom"/>
            <w:gridSpan w:val="3"/>
          </w:tcPr>
          <w:p>
            <w:pPr>
              <w:ind w:left="3680"/>
              <w:spacing w:after="0"/>
              <w:rPr>
                <w:sz w:val="20"/>
                <w:szCs w:val="20"/>
                <w:color w:val="auto"/>
              </w:rPr>
            </w:pPr>
            <w:r>
              <w:rPr>
                <w:rFonts w:ascii="Arial" w:cs="Arial" w:eastAsia="Arial" w:hAnsi="Arial"/>
                <w:sz w:val="18"/>
                <w:szCs w:val="18"/>
                <w:b w:val="1"/>
                <w:bCs w:val="1"/>
                <w:color w:val="auto"/>
              </w:rPr>
              <w:t>Exhibit Index</w:t>
            </w:r>
          </w:p>
        </w:tc>
      </w:tr>
      <w:tr>
        <w:trPr>
          <w:trHeight w:val="461"/>
        </w:trPr>
        <w:tc>
          <w:tcPr>
            <w:tcW w:w="13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r>
      <w:tr>
        <w:trPr>
          <w:trHeight w:val="234"/>
        </w:trPr>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c>
          <w:tcPr>
            <w:tcW w:w="6140" w:type="dxa"/>
            <w:vAlign w:val="bottom"/>
            <w:tcBorders>
              <w:bottom w:val="single" w:sz="8" w:color="auto"/>
            </w:tcBorders>
            <w:gridSpan w:val="2"/>
          </w:tcPr>
          <w:p>
            <w:pPr>
              <w:ind w:left="78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30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120" w:type="dxa"/>
            <w:vAlign w:val="bottom"/>
          </w:tcPr>
          <w:p>
            <w:pPr>
              <w:spacing w:after="0"/>
              <w:rPr>
                <w:sz w:val="19"/>
                <w:szCs w:val="19"/>
                <w:color w:val="auto"/>
              </w:rPr>
            </w:pPr>
          </w:p>
        </w:tc>
        <w:tc>
          <w:tcPr>
            <w:tcW w:w="9820" w:type="dxa"/>
            <w:vAlign w:val="bottom"/>
            <w:gridSpan w:val="3"/>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May 6, 2020</w:t>
              </w:r>
            </w:hyperlink>
          </w:p>
        </w:tc>
      </w:tr>
    </w:tbl>
    <w:p>
      <w:pPr>
        <w:spacing w:after="0" w:line="187" w:lineRule="exact"/>
        <w:rPr>
          <w:sz w:val="20"/>
          <w:szCs w:val="20"/>
          <w:color w:val="auto"/>
        </w:rPr>
      </w:pPr>
    </w:p>
    <w:p>
      <w:pPr>
        <w:ind w:left="5580" w:right="4040" w:hanging="5572"/>
        <w:spacing w:after="0" w:line="778" w:lineRule="auto"/>
        <w:tabs>
          <w:tab w:leader="none" w:pos="1426"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Arial" w:cs="Arial" w:eastAsia="Arial" w:hAnsi="Arial"/>
                <w:sz w:val="18"/>
                <w:szCs w:val="18"/>
                <w:color w:val="auto"/>
              </w:rPr>
              <w:t>WASTE MANAGEMENT, INC.</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6, 2020</w:t>
            </w:r>
          </w:p>
        </w:tc>
        <w:tc>
          <w:tcPr>
            <w:tcW w:w="7740" w:type="dxa"/>
            <w:vAlign w:val="bottom"/>
            <w:gridSpan w:val="2"/>
          </w:tcPr>
          <w:p>
            <w:pPr>
              <w:ind w:left="21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r>
      <w:tr>
        <w:trPr>
          <w:trHeight w:val="195"/>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r>
      <w:tr>
        <w:trPr>
          <w:trHeight w:val="216"/>
        </w:trPr>
        <w:tc>
          <w:tcPr>
            <w:tcW w:w="3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w w:val="99"/>
              </w:rPr>
              <w:t>Executive Vice President, Corporate Development and Chief Legal</w:t>
            </w:r>
          </w:p>
        </w:tc>
      </w:tr>
      <w:tr>
        <w:trPr>
          <w:trHeight w:val="230"/>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Officer</w:t>
            </w:r>
          </w:p>
        </w:tc>
      </w:tr>
      <w:tr>
        <w:trPr>
          <w:trHeight w:val="675"/>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10040" w:val="left"/>
        </w:tabs>
        <w:rPr>
          <w:sz w:val="20"/>
          <w:szCs w:val="20"/>
          <w:color w:val="auto"/>
        </w:rPr>
      </w:pPr>
      <w:r>
        <w:rPr>
          <w:rFonts w:ascii="Arial" w:cs="Arial" w:eastAsia="Arial" w:hAnsi="Arial"/>
          <w:sz w:val="16"/>
          <w:szCs w:val="16"/>
          <w:b w:val="1"/>
          <w:bCs w:val="1"/>
          <w:color w:val="00693C"/>
        </w:rPr>
        <w:t>FOR IMMEDIATE RELEASE</w:t>
      </w:r>
      <w:r>
        <w:rPr>
          <w:sz w:val="20"/>
          <w:szCs w:val="20"/>
          <w:color w:val="auto"/>
        </w:rPr>
        <w:tab/>
      </w:r>
      <w:r>
        <w:rPr>
          <w:rFonts w:ascii="Arial" w:cs="Arial" w:eastAsia="Arial" w:hAnsi="Arial"/>
          <w:sz w:val="18"/>
          <w:szCs w:val="18"/>
          <w:b w:val="1"/>
          <w:bCs w:val="1"/>
          <w:color w:val="auto"/>
        </w:rPr>
        <w:t>EXHIBIT 99.1</w:t>
      </w:r>
    </w:p>
    <w:p>
      <w:pPr>
        <w:sectPr>
          <w:pgSz w:w="11900" w:h="16838" w:orient="portrait"/>
          <w:cols w:equalWidth="0" w:num="1">
            <w:col w:w="11180"/>
          </w:cols>
          <w:pgMar w:left="320" w:top="364" w:right="399" w:bottom="1440" w:gutter="0" w:footer="0" w:header="0"/>
        </w:sectPr>
      </w:pPr>
    </w:p>
    <w:p>
      <w:pPr>
        <w:spacing w:after="0" w:line="235" w:lineRule="exact"/>
        <w:rPr>
          <w:sz w:val="20"/>
          <w:szCs w:val="20"/>
          <w:color w:val="auto"/>
        </w:rPr>
      </w:pPr>
    </w:p>
    <w:p>
      <w:pPr>
        <w:jc w:val="center"/>
        <w:ind w:right="2400"/>
        <w:spacing w:after="0"/>
        <w:rPr>
          <w:sz w:val="20"/>
          <w:szCs w:val="20"/>
          <w:color w:val="auto"/>
        </w:rPr>
      </w:pPr>
      <w:r>
        <w:rPr>
          <w:rFonts w:ascii="Arial" w:cs="Arial" w:eastAsia="Arial" w:hAnsi="Arial"/>
          <w:sz w:val="35"/>
          <w:szCs w:val="35"/>
          <w:color w:val="7AB800"/>
        </w:rPr>
        <w:t>Waste Management Announces</w:t>
      </w:r>
    </w:p>
    <w:p>
      <w:pPr>
        <w:spacing w:after="0" w:line="200" w:lineRule="exact"/>
        <w:rPr>
          <w:sz w:val="20"/>
          <w:szCs w:val="20"/>
          <w:color w:val="auto"/>
        </w:rPr>
      </w:pPr>
    </w:p>
    <w:p>
      <w:pPr>
        <w:spacing w:after="0" w:line="289" w:lineRule="exact"/>
        <w:rPr>
          <w:sz w:val="20"/>
          <w:szCs w:val="20"/>
          <w:color w:val="auto"/>
        </w:rPr>
      </w:pPr>
    </w:p>
    <w:p>
      <w:pPr>
        <w:ind w:left="2620"/>
        <w:spacing w:after="0"/>
        <w:rPr>
          <w:sz w:val="20"/>
          <w:szCs w:val="20"/>
          <w:color w:val="auto"/>
        </w:rPr>
      </w:pPr>
      <w:r>
        <w:rPr>
          <w:rFonts w:ascii="Arial" w:cs="Arial" w:eastAsia="Arial" w:hAnsi="Arial"/>
          <w:sz w:val="40"/>
          <w:szCs w:val="40"/>
          <w:color w:val="7AB800"/>
        </w:rPr>
        <w:t>First Quarter Earnings</w:t>
      </w:r>
    </w:p>
    <w:p>
      <w:pPr>
        <w:sectPr>
          <w:pgSz w:w="11900" w:h="16838" w:orient="portrait"/>
          <w:cols w:equalWidth="0" w:num="1">
            <w:col w:w="11180"/>
          </w:cols>
          <w:pgMar w:left="320" w:top="364"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120" w:right="20"/>
        <w:spacing w:after="0"/>
        <w:rPr>
          <w:sz w:val="20"/>
          <w:szCs w:val="20"/>
          <w:color w:val="auto"/>
        </w:rPr>
      </w:pPr>
      <w:r>
        <w:rPr>
          <w:rFonts w:ascii="Arial" w:cs="Arial" w:eastAsia="Arial" w:hAnsi="Arial"/>
          <w:sz w:val="22"/>
          <w:szCs w:val="22"/>
          <w:color w:val="auto"/>
        </w:rPr>
        <w:t>2020 Guidance Suspended Due to COVID-19 Uncertainty Resilient Business Model and Strong Balance Sheet Position the Company Well in Challenging Environment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120"/>
        <w:spacing w:after="0" w:line="289" w:lineRule="auto"/>
        <w:rPr>
          <w:sz w:val="20"/>
          <w:szCs w:val="20"/>
          <w:color w:val="auto"/>
        </w:rPr>
      </w:pPr>
      <w:r>
        <w:rPr>
          <w:rFonts w:ascii="Arial" w:cs="Arial" w:eastAsia="Arial" w:hAnsi="Arial"/>
          <w:sz w:val="15"/>
          <w:szCs w:val="15"/>
          <w:b w:val="1"/>
          <w:bCs w:val="1"/>
          <w:color w:val="auto"/>
        </w:rPr>
        <w:t xml:space="preserve">HOUSTON </w:t>
      </w:r>
      <w:r>
        <w:rPr>
          <w:rFonts w:ascii="Arial" w:cs="Arial" w:eastAsia="Arial" w:hAnsi="Arial"/>
          <w:sz w:val="16"/>
          <w:szCs w:val="16"/>
          <w:b w:val="1"/>
          <w:bCs w:val="1"/>
          <w:color w:val="auto"/>
        </w:rPr>
        <w:t>— May 6</w:t>
      </w:r>
      <w:r>
        <w:rPr>
          <w:rFonts w:ascii="Arial" w:cs="Arial" w:eastAsia="Arial" w:hAnsi="Arial"/>
          <w:sz w:val="15"/>
          <w:szCs w:val="15"/>
          <w:b w:val="1"/>
          <w:bCs w:val="1"/>
          <w:color w:val="auto"/>
        </w:rPr>
        <w:t xml:space="preserve">, 2020 </w:t>
      </w:r>
      <w:r>
        <w:rPr>
          <w:rFonts w:ascii="Arial" w:cs="Arial" w:eastAsia="Arial" w:hAnsi="Arial"/>
          <w:sz w:val="16"/>
          <w:szCs w:val="16"/>
          <w:color w:val="auto"/>
        </w:rPr>
        <w:t>— Waste Management, Inc. (NYSE: WM) today announced financial results for the</w:t>
      </w:r>
      <w:r>
        <w:rPr>
          <w:rFonts w:ascii="Arial" w:cs="Arial" w:eastAsia="Arial" w:hAnsi="Arial"/>
          <w:sz w:val="15"/>
          <w:szCs w:val="15"/>
          <w:b w:val="1"/>
          <w:bCs w:val="1"/>
          <w:color w:val="auto"/>
        </w:rPr>
        <w:t xml:space="preserve"> </w:t>
      </w:r>
      <w:r>
        <w:rPr>
          <w:rFonts w:ascii="Arial" w:cs="Arial" w:eastAsia="Arial" w:hAnsi="Arial"/>
          <w:sz w:val="16"/>
          <w:szCs w:val="16"/>
          <w:color w:val="auto"/>
        </w:rPr>
        <w:t>quarter ended March 31, 2020. Revenues for the first quarter of 2020 were $3.73 billion compared with $3.70 billion for the same 2019 period. Net income for the quarter was $361 million, or $0.85 per diluted share, compared with $347</w:t>
      </w:r>
    </w:p>
    <w:p>
      <w:pPr>
        <w:spacing w:after="0" w:line="2" w:lineRule="exact"/>
        <w:rPr>
          <w:sz w:val="20"/>
          <w:szCs w:val="20"/>
          <w:color w:val="auto"/>
        </w:rPr>
      </w:pPr>
    </w:p>
    <w:p>
      <w:pPr>
        <w:jc w:val="both"/>
        <w:ind w:left="120"/>
        <w:spacing w:after="0" w:line="233" w:lineRule="auto"/>
        <w:rPr>
          <w:sz w:val="20"/>
          <w:szCs w:val="20"/>
          <w:color w:val="auto"/>
        </w:rPr>
      </w:pPr>
      <w:r>
        <w:rPr>
          <w:rFonts w:ascii="Arial" w:cs="Arial" w:eastAsia="Arial" w:hAnsi="Arial"/>
          <w:sz w:val="18"/>
          <w:szCs w:val="18"/>
          <w:color w:val="auto"/>
        </w:rPr>
        <w:t>million, or $0.81 per diluted share, for the first quarter of 2019.</w:t>
      </w:r>
      <w:r>
        <w:rPr>
          <w:rFonts w:ascii="Arial" w:cs="Arial" w:eastAsia="Arial" w:hAnsi="Arial"/>
          <w:sz w:val="29"/>
          <w:szCs w:val="29"/>
          <w:color w:val="auto"/>
          <w:vertAlign w:val="superscript"/>
        </w:rPr>
        <w:t>(a)</w:t>
      </w:r>
      <w:r>
        <w:rPr>
          <w:rFonts w:ascii="Arial" w:cs="Arial" w:eastAsia="Arial" w:hAnsi="Arial"/>
          <w:sz w:val="18"/>
          <w:szCs w:val="18"/>
          <w:color w:val="auto"/>
        </w:rPr>
        <w:t xml:space="preserve"> On an adjusted basis, net income was $395 million, or $0.93 per diluted share, in the first quarter of 2020, compared with $402 million, or $0.94 per diluted share, in the first quarter of 2019.</w:t>
      </w:r>
      <w:r>
        <w:rPr>
          <w:rFonts w:ascii="Arial" w:cs="Arial" w:eastAsia="Arial" w:hAnsi="Arial"/>
          <w:sz w:val="29"/>
          <w:szCs w:val="29"/>
          <w:color w:val="auto"/>
          <w:vertAlign w:val="superscript"/>
        </w:rPr>
        <w:t>(b)</w:t>
      </w:r>
    </w:p>
    <w:p>
      <w:pPr>
        <w:spacing w:after="0" w:line="82"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The Company’s adjusted first quarter 2020 results exclude a $0.05 per diluted share negative impact from advisory costs incurred in connection with the pending acquisition of Advanced Disposal Services, Inc., $0.02 per diluted share primarily from the non-cash impairment of an unconsolidated investment, and $0.01 per diluted share from costs incurred to support its plan to implement a new enterprise resource planning system.</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COVID-19 UPDATE</w:t>
      </w:r>
    </w:p>
    <w:p>
      <w:pPr>
        <w:spacing w:after="0" w:line="23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COVID-19 disruptions escalated in the United States and Canada during March, Waste Management took steps to protect its workforce and continue to provide reliable service to its customers.</w:t>
      </w:r>
    </w:p>
    <w:p>
      <w:pPr>
        <w:spacing w:after="0" w:line="170"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“I am extremely proud of how our team has worked together to proactively address the challenges we’ve faced as a result of the coronavirus pandemic,” said Jim Fish, President and Chief Executive Officer of Waste Management. “Our top priority as a leadership team has been the health, safety and financial wellbeing of our 45,000 team members. In turn, our team members have continued to provide essential services to customers and communities across North America.</w:t>
      </w:r>
    </w:p>
    <w:p>
      <w:pPr>
        <w:spacing w:after="0" w:line="188"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“As a leader in the industry, we also have a responsibility to work with our customers as they defend the health of their businesses,” Fish continued. “This is particularly true for small businesses, the lifeblood of our economy.”</w:t>
      </w:r>
    </w:p>
    <w:p>
      <w:pPr>
        <w:spacing w:after="0" w:line="142" w:lineRule="exact"/>
        <w:rPr>
          <w:sz w:val="20"/>
          <w:szCs w:val="20"/>
          <w:color w:val="auto"/>
        </w:rPr>
      </w:pPr>
    </w:p>
    <w:p>
      <w:pPr>
        <w:ind w:left="400"/>
        <w:spacing w:after="0"/>
        <w:rPr>
          <w:sz w:val="20"/>
          <w:szCs w:val="20"/>
          <w:color w:val="auto"/>
        </w:rPr>
      </w:pPr>
      <w:r>
        <w:rPr>
          <w:rFonts w:ascii="Arial" w:cs="Arial" w:eastAsia="Arial" w:hAnsi="Arial"/>
          <w:sz w:val="18"/>
          <w:szCs w:val="18"/>
          <w:b w:val="1"/>
          <w:bCs w:val="1"/>
          <w:u w:val="single" w:color="auto"/>
          <w:color w:val="auto"/>
        </w:rPr>
        <w:t>COVID-19 Response and Impacts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Waste Management has responded to the COVID-19 pandemic by:</w:t>
      </w:r>
    </w:p>
    <w:p>
      <w:pPr>
        <w:spacing w:after="0" w:line="225" w:lineRule="exact"/>
        <w:rPr>
          <w:sz w:val="20"/>
          <w:szCs w:val="20"/>
          <w:color w:val="auto"/>
        </w:rPr>
      </w:pPr>
    </w:p>
    <w:p>
      <w:pPr>
        <w:ind w:left="760" w:right="20" w:hanging="325"/>
        <w:spacing w:after="0" w:line="277" w:lineRule="auto"/>
        <w:tabs>
          <w:tab w:leader="none" w:pos="926"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Protecting frontline employees by supplementing customary practices and daily operational routines with social distancing and personal protective equipment enhancements.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MORE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 Management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Web site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rPr>
        <w:t>www.wm.com</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57584F"/>
        </w:rPr>
        <w:t>Ed Egl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57584F"/>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eegl@wm.com</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26" w:lineRule="exact"/>
        <w:rPr>
          <w:sz w:val="20"/>
          <w:szCs w:val="20"/>
          <w:color w:val="auto"/>
        </w:rPr>
      </w:pPr>
    </w:p>
    <w:p>
      <w:pPr>
        <w:ind w:right="760"/>
        <w:spacing w:after="0" w:line="306" w:lineRule="auto"/>
        <w:rPr>
          <w:sz w:val="20"/>
          <w:szCs w:val="20"/>
          <w:color w:val="auto"/>
        </w:rPr>
      </w:pPr>
      <w:r>
        <w:rPr>
          <w:rFonts w:ascii="Arial" w:cs="Arial" w:eastAsia="Arial" w:hAnsi="Arial"/>
          <w:sz w:val="16"/>
          <w:szCs w:val="16"/>
          <w:color w:val="57584F"/>
        </w:rPr>
        <w:t xml:space="preserve">Andy Izquierdo 832.710.5287 </w:t>
      </w:r>
      <w:r>
        <w:rPr>
          <w:rFonts w:ascii="Arial" w:cs="Arial" w:eastAsia="Arial" w:hAnsi="Arial"/>
          <w:sz w:val="16"/>
          <w:szCs w:val="16"/>
          <w:u w:val="single" w:color="auto"/>
          <w:color w:val="0000FF"/>
        </w:rPr>
        <w:t>aizquierdo@wm.com</w:t>
      </w:r>
    </w:p>
    <w:p>
      <w:pPr>
        <w:sectPr>
          <w:pgSz w:w="11900" w:h="16838" w:orient="portrait"/>
          <w:cols w:equalWidth="0" w:num="2">
            <w:col w:w="8720" w:space="140"/>
            <w:col w:w="2320"/>
          </w:cols>
          <w:pgMar w:left="320" w:top="364" w:right="399" w:bottom="1440" w:gutter="0" w:footer="0" w:header="0"/>
          <w:type w:val="continuous"/>
        </w:sectPr>
      </w:pPr>
    </w:p>
    <w:bookmarkStart w:id="4" w:name="page5"/>
    <w:bookmarkEnd w:id="4"/>
    <w:p>
      <w:pPr>
        <w:ind w:left="640" w:right="1419" w:hanging="325"/>
        <w:spacing w:after="0" w:line="274" w:lineRule="auto"/>
        <w:tabs>
          <w:tab w:leader="none" w:pos="662"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Promoting the health and financial wellbeing of its employees by excusing COVID-19 related absences and providing a guarantee of 40 hours of weekly pay to all full-time employees during the pandemic.</w:t>
      </w:r>
    </w:p>
    <w:p>
      <w:pPr>
        <w:ind w:left="640" w:hanging="325"/>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Leveraging technology to quickly transition approximately 20,000 back-office employees to work from home</w:t>
      </w:r>
    </w:p>
    <w:p>
      <w:pPr>
        <w:spacing w:after="0" w:line="3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 enabling these team members to serve customers and support frontline employees remotely.</w:t>
      </w:r>
    </w:p>
    <w:p>
      <w:pPr>
        <w:spacing w:after="0" w:line="9" w:lineRule="exact"/>
        <w:rPr>
          <w:rFonts w:ascii="Arial" w:cs="Arial" w:eastAsia="Arial" w:hAnsi="Arial"/>
          <w:sz w:val="16"/>
          <w:szCs w:val="16"/>
          <w:color w:val="auto"/>
        </w:rPr>
      </w:pPr>
    </w:p>
    <w:p>
      <w:pPr>
        <w:ind w:left="620" w:hanging="30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Partnering with its customers to adjust service levels and extend payment terms.</w:t>
      </w:r>
    </w:p>
    <w:p>
      <w:pPr>
        <w:spacing w:after="0" w:line="9" w:lineRule="exact"/>
        <w:rPr>
          <w:rFonts w:ascii="Arial" w:cs="Arial" w:eastAsia="Arial" w:hAnsi="Arial"/>
          <w:sz w:val="18"/>
          <w:szCs w:val="18"/>
          <w:color w:val="auto"/>
        </w:rPr>
      </w:pPr>
    </w:p>
    <w:p>
      <w:pPr>
        <w:ind w:left="640" w:right="1419" w:hanging="325"/>
        <w:spacing w:after="0" w:line="260" w:lineRule="auto"/>
        <w:tabs>
          <w:tab w:leader="none" w:pos="608"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Working with municipalities to address increased residential volumes and recycling challenges in areas where there have been processing disruptions.</w:t>
      </w:r>
    </w:p>
    <w:p>
      <w:pPr>
        <w:spacing w:after="0" w:line="185" w:lineRule="exact"/>
        <w:rPr>
          <w:sz w:val="20"/>
          <w:szCs w:val="20"/>
          <w:color w:val="auto"/>
        </w:rPr>
      </w:pPr>
    </w:p>
    <w:p>
      <w:pPr>
        <w:ind w:left="320" w:right="1419"/>
        <w:spacing w:after="0" w:line="277" w:lineRule="auto"/>
        <w:rPr>
          <w:sz w:val="20"/>
          <w:szCs w:val="20"/>
          <w:color w:val="auto"/>
        </w:rPr>
      </w:pPr>
      <w:r>
        <w:rPr>
          <w:rFonts w:ascii="Arial" w:cs="Arial" w:eastAsia="Arial" w:hAnsi="Arial"/>
          <w:sz w:val="18"/>
          <w:szCs w:val="18"/>
          <w:color w:val="auto"/>
        </w:rPr>
        <w:t>The Company had the following COVID-19-related business impacts in the first quarter, beginning in March 2020:</w:t>
      </w:r>
    </w:p>
    <w:p>
      <w:pPr>
        <w:spacing w:after="0" w:line="170" w:lineRule="exact"/>
        <w:rPr>
          <w:sz w:val="20"/>
          <w:szCs w:val="20"/>
          <w:color w:val="auto"/>
        </w:rPr>
      </w:pPr>
    </w:p>
    <w:p>
      <w:pPr>
        <w:jc w:val="both"/>
        <w:ind w:left="640" w:right="1419" w:hanging="325"/>
        <w:spacing w:after="0" w:line="255" w:lineRule="auto"/>
        <w:tabs>
          <w:tab w:leader="none" w:pos="703"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reduction in landfill and industrial collection volumes. While volume-driven revenue in the commercial collection business held up relatively well in March, service decreases accelerated late in the month and into the second quarter.</w:t>
      </w:r>
    </w:p>
    <w:p>
      <w:pPr>
        <w:spacing w:after="0" w:line="2" w:lineRule="exact"/>
        <w:rPr>
          <w:rFonts w:ascii="Arial" w:cs="Arial" w:eastAsia="Arial" w:hAnsi="Arial"/>
          <w:sz w:val="18"/>
          <w:szCs w:val="18"/>
          <w:color w:val="auto"/>
        </w:rPr>
      </w:pPr>
    </w:p>
    <w:p>
      <w:pPr>
        <w:ind w:left="640" w:right="1419" w:hanging="325"/>
        <w:spacing w:after="0" w:line="250" w:lineRule="auto"/>
        <w:tabs>
          <w:tab w:leader="none" w:pos="667"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in container weights in the residential line of business, which increased our cost to service these customers.</w:t>
      </w:r>
    </w:p>
    <w:p>
      <w:pPr>
        <w:ind w:left="620" w:hanging="305"/>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negative revenue impact of approximately $40 million.</w:t>
      </w:r>
    </w:p>
    <w:p>
      <w:pPr>
        <w:spacing w:after="0" w:line="9" w:lineRule="exact"/>
        <w:rPr>
          <w:rFonts w:ascii="Arial" w:cs="Arial" w:eastAsia="Arial" w:hAnsi="Arial"/>
          <w:sz w:val="18"/>
          <w:szCs w:val="18"/>
          <w:color w:val="auto"/>
        </w:rPr>
      </w:pPr>
    </w:p>
    <w:p>
      <w:pPr>
        <w:ind w:left="640" w:right="1419" w:hanging="325"/>
        <w:spacing w:after="0" w:line="250" w:lineRule="auto"/>
        <w:tabs>
          <w:tab w:leader="none" w:pos="622" w:val="left"/>
        </w:tabs>
        <w:numPr>
          <w:ilvl w:val="0"/>
          <w:numId w:val="5"/>
        </w:numPr>
        <w:rPr>
          <w:rFonts w:ascii="Arial" w:cs="Arial" w:eastAsia="Arial" w:hAnsi="Arial"/>
          <w:sz w:val="18"/>
          <w:szCs w:val="18"/>
          <w:color w:val="auto"/>
        </w:rPr>
      </w:pPr>
      <w:r>
        <w:rPr>
          <w:rFonts w:ascii="Arial" w:cs="Arial" w:eastAsia="Arial" w:hAnsi="Arial"/>
          <w:sz w:val="18"/>
          <w:szCs w:val="18"/>
          <w:color w:val="auto"/>
        </w:rPr>
        <w:t>A $6 million increase in SG&amp;A expenses, driven by technology costs incurred to accelerate work-from-home capabilities.</w:t>
      </w:r>
    </w:p>
    <w:p>
      <w:pPr>
        <w:ind w:left="700" w:hanging="385"/>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decline in operating EBITDA margin of approximately 40 basis points, which the Company attributes to</w:t>
      </w:r>
    </w:p>
    <w:p>
      <w:pPr>
        <w:spacing w:after="0" w:line="21" w:lineRule="exact"/>
        <w:rPr>
          <w:sz w:val="20"/>
          <w:szCs w:val="20"/>
          <w:color w:val="auto"/>
        </w:rPr>
      </w:pPr>
    </w:p>
    <w:p>
      <w:pPr>
        <w:jc w:val="both"/>
        <w:ind w:left="640" w:right="1439"/>
        <w:spacing w:after="0" w:line="221" w:lineRule="auto"/>
        <w:rPr>
          <w:sz w:val="20"/>
          <w:szCs w:val="20"/>
          <w:color w:val="auto"/>
        </w:rPr>
      </w:pPr>
      <w:r>
        <w:rPr>
          <w:rFonts w:ascii="Arial" w:cs="Arial" w:eastAsia="Arial" w:hAnsi="Arial"/>
          <w:sz w:val="18"/>
          <w:szCs w:val="18"/>
          <w:color w:val="auto"/>
        </w:rPr>
        <w:t>volume declines in our higher-margin lines of business and cost pressures in the residential line of business.</w:t>
      </w:r>
      <w:r>
        <w:rPr>
          <w:rFonts w:ascii="Arial" w:cs="Arial" w:eastAsia="Arial" w:hAnsi="Arial"/>
          <w:sz w:val="29"/>
          <w:szCs w:val="29"/>
          <w:color w:val="auto"/>
          <w:vertAlign w:val="superscript"/>
        </w:rPr>
        <w:t>(c)</w:t>
      </w:r>
      <w:r>
        <w:rPr>
          <w:rFonts w:ascii="Arial" w:cs="Arial" w:eastAsia="Arial" w:hAnsi="Arial"/>
          <w:sz w:val="18"/>
          <w:szCs w:val="18"/>
          <w:color w:val="auto"/>
        </w:rPr>
        <w:t xml:space="preserve"> In its higher-margin lines of business, the Company effectively flexed operating costs with volume changes, particularly labor and fleet costs, mitigating margin pressure.</w:t>
      </w:r>
    </w:p>
    <w:p>
      <w:pPr>
        <w:spacing w:after="0" w:line="184" w:lineRule="exact"/>
        <w:rPr>
          <w:sz w:val="20"/>
          <w:szCs w:val="20"/>
          <w:color w:val="auto"/>
        </w:rPr>
      </w:pPr>
    </w:p>
    <w:p>
      <w:pPr>
        <w:ind w:left="280"/>
        <w:spacing w:after="0"/>
        <w:rPr>
          <w:sz w:val="20"/>
          <w:szCs w:val="20"/>
          <w:color w:val="auto"/>
        </w:rPr>
      </w:pPr>
      <w:r>
        <w:rPr>
          <w:rFonts w:ascii="Arial" w:cs="Arial" w:eastAsia="Arial" w:hAnsi="Arial"/>
          <w:sz w:val="18"/>
          <w:szCs w:val="18"/>
          <w:b w:val="1"/>
          <w:bCs w:val="1"/>
          <w:u w:val="single" w:color="auto"/>
          <w:color w:val="auto"/>
        </w:rPr>
        <w:t>Balance Sheet and Cash Flow Considerations</w:t>
      </w:r>
    </w:p>
    <w:p>
      <w:pPr>
        <w:spacing w:after="0" w:line="229" w:lineRule="exact"/>
        <w:rPr>
          <w:sz w:val="20"/>
          <w:szCs w:val="20"/>
          <w:color w:val="auto"/>
        </w:rPr>
      </w:pPr>
    </w:p>
    <w:p>
      <w:pPr>
        <w:jc w:val="both"/>
        <w:ind w:left="640" w:right="1419" w:hanging="325"/>
        <w:spacing w:after="0" w:line="255" w:lineRule="auto"/>
        <w:tabs>
          <w:tab w:leader="none" w:pos="84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continues to maintain a strong balance sheet and liquidity position, with its current and forecasted leverage ratio well within its revolving credit facility financial covenant and more than $3 billion of available capacity under that credit facility.</w:t>
      </w:r>
    </w:p>
    <w:p>
      <w:pPr>
        <w:spacing w:after="0" w:line="2" w:lineRule="exact"/>
        <w:rPr>
          <w:rFonts w:ascii="Arial" w:cs="Arial" w:eastAsia="Arial" w:hAnsi="Arial"/>
          <w:sz w:val="18"/>
          <w:szCs w:val="18"/>
          <w:color w:val="auto"/>
        </w:rPr>
      </w:pPr>
    </w:p>
    <w:p>
      <w:pPr>
        <w:ind w:left="620" w:hanging="305"/>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expects to generate strong free cash flow and remains committed to its dividend program.</w:t>
      </w:r>
    </w:p>
    <w:p>
      <w:pPr>
        <w:spacing w:after="0" w:line="20" w:lineRule="exact"/>
        <w:rPr>
          <w:rFonts w:ascii="Arial" w:cs="Arial" w:eastAsia="Arial" w:hAnsi="Arial"/>
          <w:sz w:val="17"/>
          <w:szCs w:val="17"/>
          <w:color w:val="auto"/>
        </w:rPr>
      </w:pPr>
    </w:p>
    <w:p>
      <w:pPr>
        <w:ind w:left="640" w:right="1439" w:hanging="325"/>
        <w:spacing w:after="0" w:line="260" w:lineRule="auto"/>
        <w:tabs>
          <w:tab w:leader="none" w:pos="734"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prudent step to preserve cash in this uncertain environment, the Company has temporarily suspended share repurchases for the foreseeable future.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UPDATE ON 2020 OUTLOOK</w:t>
      </w:r>
    </w:p>
    <w:p>
      <w:pPr>
        <w:spacing w:after="0" w:line="234" w:lineRule="exact"/>
        <w:rPr>
          <w:sz w:val="20"/>
          <w:szCs w:val="20"/>
          <w:color w:val="auto"/>
        </w:rPr>
      </w:pPr>
    </w:p>
    <w:p>
      <w:pPr>
        <w:jc w:val="both"/>
        <w:ind w:right="1439"/>
        <w:spacing w:after="0" w:line="277" w:lineRule="auto"/>
        <w:rPr>
          <w:sz w:val="20"/>
          <w:szCs w:val="20"/>
          <w:color w:val="auto"/>
        </w:rPr>
      </w:pPr>
      <w:r>
        <w:rPr>
          <w:rFonts w:ascii="Arial" w:cs="Arial" w:eastAsia="Arial" w:hAnsi="Arial"/>
          <w:sz w:val="18"/>
          <w:szCs w:val="18"/>
          <w:color w:val="auto"/>
        </w:rPr>
        <w:t>The Company is suspending its 2020 financial guidance due to the unprecedented impact of, and uncertainty created by, the COVID-19 pandemic.</w:t>
      </w:r>
    </w:p>
    <w:p>
      <w:pPr>
        <w:spacing w:after="0" w:line="170" w:lineRule="exact"/>
        <w:rPr>
          <w:sz w:val="20"/>
          <w:szCs w:val="20"/>
          <w:color w:val="auto"/>
        </w:rPr>
      </w:pPr>
    </w:p>
    <w:p>
      <w:pPr>
        <w:jc w:val="both"/>
        <w:ind w:right="1419"/>
        <w:spacing w:after="0" w:line="293" w:lineRule="auto"/>
        <w:rPr>
          <w:sz w:val="20"/>
          <w:szCs w:val="20"/>
          <w:color w:val="auto"/>
        </w:rPr>
      </w:pPr>
      <w:r>
        <w:rPr>
          <w:rFonts w:ascii="Arial" w:cs="Arial" w:eastAsia="Arial" w:hAnsi="Arial"/>
          <w:sz w:val="16"/>
          <w:szCs w:val="16"/>
          <w:color w:val="auto"/>
        </w:rPr>
        <w:t>“Our business model generates strong cash flow and is resilient in any economic cycle. In past downturns, we have demonstrated the ability to flex spending and manage capital expenditures to generate strong free cash flow and return excess cash to our shareholders. We expect to deliver on these priorities as we continue to provide essential services to our customers during this unprecedented pandemic,” Fish said. “At this time, we cannot forecast with reasonable accuracy the duration of the coronavirus disruptions, particularly for small businesses, or the pace of an eventual recovery. We expect to resume providing financial guidance when we have greater clarity.”</w:t>
      </w:r>
    </w:p>
    <w:p>
      <w:pPr>
        <w:spacing w:after="0" w:line="164" w:lineRule="exact"/>
        <w:rPr>
          <w:sz w:val="20"/>
          <w:szCs w:val="20"/>
          <w:color w:val="auto"/>
        </w:rPr>
      </w:pPr>
    </w:p>
    <w:p>
      <w:pPr>
        <w:jc w:val="both"/>
        <w:ind w:right="1419"/>
        <w:spacing w:after="0" w:line="259" w:lineRule="auto"/>
        <w:rPr>
          <w:sz w:val="20"/>
          <w:szCs w:val="20"/>
          <w:color w:val="auto"/>
        </w:rPr>
      </w:pPr>
      <w:r>
        <w:rPr>
          <w:rFonts w:ascii="Arial" w:cs="Arial" w:eastAsia="Arial" w:hAnsi="Arial"/>
          <w:sz w:val="18"/>
          <w:szCs w:val="18"/>
          <w:color w:val="auto"/>
        </w:rPr>
        <w:t>We anticipate a significant decrease in 2020 revenue from planned levels as a result of COVID-19, driven by volume declines in our landfill and industrial and commercial collection businesses. To partially offset the impact of this significant revenue decline, the Company is taking the following steps to manage costs and capital spending without compromising long-term strategic priorities or growth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436245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19"/>
          </w:cols>
          <w:pgMar w:left="440" w:top="1151" w:right="1440" w:bottom="1440" w:gutter="0" w:footer="0" w:header="0"/>
        </w:sectPr>
      </w:pPr>
    </w:p>
    <w:bookmarkStart w:id="5" w:name="page6"/>
    <w:bookmarkEnd w:id="5"/>
    <w:p>
      <w:pPr>
        <w:ind w:left="700" w:hanging="331"/>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Leveraging technology to enable swift route optimization,</w:t>
      </w:r>
    </w:p>
    <w:p>
      <w:pPr>
        <w:spacing w:after="0" w:line="23" w:lineRule="exact"/>
        <w:rPr>
          <w:rFonts w:ascii="Arial" w:cs="Arial" w:eastAsia="Arial" w:hAnsi="Arial"/>
          <w:sz w:val="18"/>
          <w:szCs w:val="18"/>
          <w:color w:val="auto"/>
        </w:rPr>
      </w:pPr>
    </w:p>
    <w:p>
      <w:pPr>
        <w:ind w:left="700" w:hanging="331"/>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Dramatically reducing overtime hours,</w:t>
      </w:r>
    </w:p>
    <w:p>
      <w:pPr>
        <w:spacing w:after="0" w:line="9" w:lineRule="exact"/>
        <w:rPr>
          <w:rFonts w:ascii="Arial" w:cs="Arial" w:eastAsia="Arial" w:hAnsi="Arial"/>
          <w:sz w:val="18"/>
          <w:szCs w:val="18"/>
          <w:color w:val="auto"/>
        </w:rPr>
      </w:pPr>
    </w:p>
    <w:p>
      <w:pPr>
        <w:ind w:left="700" w:right="1419" w:hanging="331"/>
        <w:spacing w:after="0" w:line="250"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hiring and optimizing the existing workforce through greatly improved retention and reduced turnover,</w:t>
      </w:r>
    </w:p>
    <w:p>
      <w:pPr>
        <w:ind w:left="700" w:right="1439" w:hanging="331"/>
        <w:spacing w:after="0" w:line="250" w:lineRule="auto"/>
        <w:tabs>
          <w:tab w:leader="none" w:pos="70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Reducing or eliminating certain non-essential costs and expenses like travel and entertainment and consulting costs,</w:t>
      </w:r>
    </w:p>
    <w:p>
      <w:pPr>
        <w:ind w:left="700" w:hanging="331"/>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Reducing incentive compensation accruals, and</w:t>
      </w:r>
    </w:p>
    <w:p>
      <w:pPr>
        <w:spacing w:after="0" w:line="9" w:lineRule="exact"/>
        <w:rPr>
          <w:rFonts w:ascii="Arial" w:cs="Arial" w:eastAsia="Arial" w:hAnsi="Arial"/>
          <w:sz w:val="18"/>
          <w:szCs w:val="18"/>
          <w:color w:val="auto"/>
        </w:rPr>
      </w:pPr>
    </w:p>
    <w:p>
      <w:pPr>
        <w:ind w:left="700" w:hanging="331"/>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Flexing capital expenditures to a level that is consistent with volume changes.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HIGHLIGHTS FOR THE FIRST QUARTER OF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Financial results for the first quarter were in line with the Company’s expectations.</w:t>
      </w:r>
    </w:p>
    <w:p>
      <w:pPr>
        <w:spacing w:after="0" w:line="225" w:lineRule="exact"/>
        <w:rPr>
          <w:sz w:val="20"/>
          <w:szCs w:val="20"/>
          <w:color w:val="auto"/>
        </w:rPr>
      </w:pPr>
    </w:p>
    <w:p>
      <w:pPr>
        <w:ind w:left="700" w:right="1439" w:hanging="331"/>
        <w:spacing w:after="0" w:line="258" w:lineRule="auto"/>
        <w:tabs>
          <w:tab w:leader="none" w:pos="893"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first quarter of 2020, revenue growth was driven by yield and volume growth in the Company’s collection and disposal business, which contributed $74 million of incremental revenue.</w:t>
      </w:r>
    </w:p>
    <w:p>
      <w:pPr>
        <w:spacing w:after="0" w:line="1" w:lineRule="exact"/>
        <w:rPr>
          <w:rFonts w:ascii="Arial" w:cs="Arial" w:eastAsia="Arial" w:hAnsi="Arial"/>
          <w:sz w:val="18"/>
          <w:szCs w:val="18"/>
          <w:color w:val="auto"/>
        </w:rPr>
      </w:pPr>
    </w:p>
    <w:p>
      <w:pPr>
        <w:ind w:left="700" w:hanging="331"/>
        <w:spacing w:after="0" w:line="185"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Core price for the first quarter of 2020 was 5.5%.</w:t>
      </w:r>
      <w:r>
        <w:rPr>
          <w:rFonts w:ascii="Arial" w:cs="Arial" w:eastAsia="Arial" w:hAnsi="Arial"/>
          <w:sz w:val="29"/>
          <w:szCs w:val="29"/>
          <w:color w:val="auto"/>
          <w:vertAlign w:val="superscript"/>
        </w:rPr>
        <w:t>(d)</w:t>
      </w:r>
    </w:p>
    <w:p>
      <w:pPr>
        <w:spacing w:after="0" w:line="1" w:lineRule="exact"/>
        <w:rPr>
          <w:rFonts w:ascii="Arial" w:cs="Arial" w:eastAsia="Arial" w:hAnsi="Arial"/>
          <w:sz w:val="18"/>
          <w:szCs w:val="18"/>
          <w:color w:val="auto"/>
        </w:rPr>
      </w:pPr>
    </w:p>
    <w:p>
      <w:pPr>
        <w:ind w:left="700" w:right="1439" w:hanging="331"/>
        <w:spacing w:after="0" w:line="209"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Company operating EBITDA was $975 million for the first quarter of 2020. On an adjusted basis, total Company operating EBITDA was $1.01 billion for the first quarter of 2020.</w:t>
      </w:r>
      <w:r>
        <w:rPr>
          <w:rFonts w:ascii="Arial" w:cs="Arial" w:eastAsia="Arial" w:hAnsi="Arial"/>
          <w:sz w:val="29"/>
          <w:szCs w:val="29"/>
          <w:color w:val="auto"/>
          <w:vertAlign w:val="superscript"/>
        </w:rPr>
        <w:t>(b)</w:t>
      </w:r>
    </w:p>
    <w:p>
      <w:pPr>
        <w:spacing w:after="0" w:line="1" w:lineRule="exact"/>
        <w:rPr>
          <w:rFonts w:ascii="Arial" w:cs="Arial" w:eastAsia="Arial" w:hAnsi="Arial"/>
          <w:sz w:val="18"/>
          <w:szCs w:val="18"/>
          <w:color w:val="auto"/>
        </w:rPr>
      </w:pPr>
    </w:p>
    <w:p>
      <w:pPr>
        <w:jc w:val="both"/>
        <w:ind w:left="700" w:right="1419" w:hanging="331"/>
        <w:spacing w:after="0" w:line="249" w:lineRule="auto"/>
        <w:tabs>
          <w:tab w:leader="none" w:pos="907"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spite of a 30% decline in recycled commodity prices, the Company grew operating EBITDA for its recycling business by almost $3 million when compared to the first quarter of 2019 by reducing costs and improving its fee-for-service model.</w:t>
      </w:r>
    </w:p>
    <w:p>
      <w:pPr>
        <w:spacing w:after="0" w:line="2" w:lineRule="exact"/>
        <w:rPr>
          <w:rFonts w:ascii="Arial" w:cs="Arial" w:eastAsia="Arial" w:hAnsi="Arial"/>
          <w:sz w:val="18"/>
          <w:szCs w:val="18"/>
          <w:color w:val="auto"/>
        </w:rPr>
      </w:pPr>
    </w:p>
    <w:p>
      <w:pPr>
        <w:ind w:left="700" w:right="1419" w:hanging="331"/>
        <w:spacing w:after="0" w:line="210" w:lineRule="auto"/>
        <w:tabs>
          <w:tab w:leader="none" w:pos="70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first quarter of 2020, net cash provided by operating activities was $765 million and free cash flow was $318 million.</w:t>
      </w:r>
      <w:r>
        <w:rPr>
          <w:rFonts w:ascii="Arial" w:cs="Arial" w:eastAsia="Arial" w:hAnsi="Arial"/>
          <w:sz w:val="29"/>
          <w:szCs w:val="29"/>
          <w:color w:val="auto"/>
          <w:vertAlign w:val="superscript"/>
        </w:rPr>
        <w:t>(b)</w:t>
      </w:r>
    </w:p>
    <w:p>
      <w:pPr>
        <w:spacing w:after="0" w:line="1" w:lineRule="exact"/>
        <w:rPr>
          <w:rFonts w:ascii="Arial" w:cs="Arial" w:eastAsia="Arial" w:hAnsi="Arial"/>
          <w:sz w:val="18"/>
          <w:szCs w:val="18"/>
          <w:color w:val="auto"/>
        </w:rPr>
      </w:pPr>
    </w:p>
    <w:p>
      <w:pPr>
        <w:ind w:left="700" w:right="1439" w:hanging="331"/>
        <w:spacing w:after="0" w:line="258"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paid $236 million of dividends to shareholders and repurchased $402 million of its shares in the first quarter of 2020.</w:t>
      </w:r>
    </w:p>
    <w:p>
      <w:pPr>
        <w:spacing w:after="0" w:line="187" w:lineRule="exact"/>
        <w:rPr>
          <w:sz w:val="20"/>
          <w:szCs w:val="20"/>
          <w:color w:val="auto"/>
        </w:rPr>
      </w:pPr>
    </w:p>
    <w:p>
      <w:pPr>
        <w:jc w:val="both"/>
        <w:ind w:right="1419"/>
        <w:spacing w:after="0" w:line="255" w:lineRule="auto"/>
        <w:rPr>
          <w:sz w:val="20"/>
          <w:szCs w:val="20"/>
          <w:color w:val="auto"/>
        </w:rPr>
      </w:pPr>
      <w:r>
        <w:rPr>
          <w:rFonts w:ascii="Arial" w:cs="Arial" w:eastAsia="Arial" w:hAnsi="Arial"/>
          <w:sz w:val="18"/>
          <w:szCs w:val="18"/>
          <w:color w:val="auto"/>
        </w:rPr>
        <w:t>Fish concluded, “Through this unprecedented pandemic, we have managed the impact of the shutdown on our own people, our customers, and our business extremely well. We are now turning our focus to managing equally well through the coming re-start and to using this as an opportunity to further differentiate ourselves through permanent enhancements in our business processes and our service offering to our customers. The strength and resiliency of both our people and our business model give us confidence that we can continue to deliver on our commitments to our customers and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54603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spacing w:after="0" w:line="398" w:lineRule="exact"/>
        <w:rPr>
          <w:sz w:val="20"/>
          <w:szCs w:val="20"/>
          <w:color w:val="auto"/>
        </w:rPr>
      </w:pPr>
    </w:p>
    <w:p>
      <w:pPr>
        <w:ind w:left="640" w:right="1419" w:hanging="325"/>
        <w:spacing w:after="0" w:line="253" w:lineRule="auto"/>
        <w:tabs>
          <w:tab w:leader="none" w:pos="687"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purposes of this press release, all references to “Net income” refer to the financial statement line item “Net income attributable to Waste Management, Inc.”</w:t>
      </w:r>
    </w:p>
    <w:p>
      <w:pPr>
        <w:spacing w:after="0" w:line="119" w:lineRule="exact"/>
        <w:rPr>
          <w:rFonts w:ascii="Arial" w:cs="Arial" w:eastAsia="Arial" w:hAnsi="Arial"/>
          <w:sz w:val="14"/>
          <w:szCs w:val="14"/>
          <w:color w:val="auto"/>
        </w:rPr>
      </w:pPr>
    </w:p>
    <w:p>
      <w:pPr>
        <w:ind w:left="640" w:right="1419" w:hanging="325"/>
        <w:spacing w:after="0" w:line="290" w:lineRule="auto"/>
        <w:tabs>
          <w:tab w:leader="none" w:pos="722" w:val="left"/>
        </w:tabs>
        <w:numPr>
          <w:ilvl w:val="0"/>
          <w:numId w:val="9"/>
        </w:numPr>
        <w:rPr>
          <w:rFonts w:ascii="Arial" w:cs="Arial" w:eastAsia="Arial" w:hAnsi="Arial"/>
          <w:sz w:val="13"/>
          <w:szCs w:val="13"/>
          <w:color w:val="auto"/>
        </w:rPr>
      </w:pPr>
      <w:r>
        <w:rPr>
          <w:rFonts w:ascii="Arial" w:cs="Arial" w:eastAsia="Arial" w:hAnsi="Arial"/>
          <w:sz w:val="13"/>
          <w:szCs w:val="13"/>
          <w:color w:val="auto"/>
        </w:rPr>
        <w:t>Adjusted earnings per diluted share, adjusted net income, adjusted operating EBITDA and free cash flow are non-GAAP measures. Please see “Non-GAAP Financial Measures” below and the reconciliations in the accompanying schedules for more information.</w:t>
      </w:r>
    </w:p>
    <w:p>
      <w:pPr>
        <w:spacing w:after="0" w:line="97" w:lineRule="exact"/>
        <w:rPr>
          <w:rFonts w:ascii="Arial" w:cs="Arial" w:eastAsia="Arial" w:hAnsi="Arial"/>
          <w:sz w:val="13"/>
          <w:szCs w:val="13"/>
          <w:color w:val="auto"/>
        </w:rPr>
      </w:pPr>
    </w:p>
    <w:p>
      <w:pPr>
        <w:ind w:left="640" w:right="1419" w:hanging="325"/>
        <w:spacing w:after="0" w:line="253"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Management defines operating EBITDA as GAAP income from operations before depreciation and amortization; this measure may not be comparable to similarly-titled measures reported by other companies.</w:t>
      </w:r>
    </w:p>
    <w:p>
      <w:pPr>
        <w:spacing w:after="0" w:line="106" w:lineRule="exact"/>
        <w:rPr>
          <w:rFonts w:ascii="Arial" w:cs="Arial" w:eastAsia="Arial" w:hAnsi="Arial"/>
          <w:sz w:val="14"/>
          <w:szCs w:val="14"/>
          <w:color w:val="auto"/>
        </w:rPr>
      </w:pPr>
    </w:p>
    <w:p>
      <w:pPr>
        <w:jc w:val="both"/>
        <w:ind w:left="640" w:right="1419" w:hanging="325"/>
        <w:spacing w:after="0" w:line="228" w:lineRule="auto"/>
        <w:tabs>
          <w:tab w:leader="none" w:pos="655" w:val="left"/>
        </w:tabs>
        <w:numPr>
          <w:ilvl w:val="0"/>
          <w:numId w:val="9"/>
        </w:numPr>
        <w:rPr>
          <w:rFonts w:ascii="Arial" w:cs="Arial" w:eastAsia="Arial" w:hAnsi="Arial"/>
          <w:sz w:val="14"/>
          <w:szCs w:val="14"/>
          <w:color w:val="auto"/>
        </w:rPr>
      </w:pPr>
      <w:r>
        <w:rPr>
          <w:rFonts w:ascii="Arial" w:cs="Arial" w:eastAsia="Arial" w:hAnsi="Arial"/>
          <w:sz w:val="14"/>
          <w:szCs w:val="14"/>
          <w:color w:val="auto"/>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 Beginning with the fourth quarter 2019, the Company has updated its core price calculation. With advancements in technology, the Company began collecting additional transactional customer level data, which provides improved clarity of the impact of the Company’s pricing activities. While this does not change the year-over-year core price performance result, the new measure reflects a more precise calculation in the evaluation of revenue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592455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19"/>
          </w:cols>
          <w:pgMar w:left="440" w:top="1151" w:right="1440" w:bottom="1440" w:gutter="0" w:footer="0" w:header="0"/>
        </w:sectPr>
      </w:pPr>
    </w:p>
    <w:bookmarkStart w:id="6" w:name="page7"/>
    <w:bookmarkEnd w:id="6"/>
    <w:p>
      <w:pPr>
        <w:jc w:val="both"/>
        <w:ind w:right="1439"/>
        <w:spacing w:after="0" w:line="308" w:lineRule="auto"/>
        <w:rPr>
          <w:sz w:val="20"/>
          <w:szCs w:val="20"/>
          <w:color w:val="auto"/>
        </w:rPr>
      </w:pPr>
      <w:r>
        <w:rPr>
          <w:rFonts w:ascii="Arial" w:cs="Arial" w:eastAsia="Arial" w:hAnsi="Arial"/>
          <w:sz w:val="17"/>
          <w:szCs w:val="17"/>
          <w:color w:val="auto"/>
        </w:rPr>
        <w:t>The Company will host a conference call at 10 a.m. (Eastern) today to discuss the first quarter results. Information contained within this press release will be referenced and should be considered in conjunction with the call.</w:t>
      </w:r>
    </w:p>
    <w:p>
      <w:pPr>
        <w:spacing w:after="0" w:line="146" w:lineRule="exact"/>
        <w:rPr>
          <w:sz w:val="20"/>
          <w:szCs w:val="20"/>
          <w:color w:val="auto"/>
        </w:rPr>
      </w:pPr>
    </w:p>
    <w:p>
      <w:pPr>
        <w:jc w:val="both"/>
        <w:ind w:right="1419"/>
        <w:spacing w:after="0" w:line="279" w:lineRule="auto"/>
        <w:rPr>
          <w:sz w:val="20"/>
          <w:szCs w:val="20"/>
          <w:color w:val="auto"/>
        </w:rPr>
      </w:pPr>
      <w:r>
        <w:rPr>
          <w:rFonts w:ascii="Arial" w:cs="Arial" w:eastAsia="Arial" w:hAnsi="Arial"/>
          <w:sz w:val="17"/>
          <w:szCs w:val="17"/>
          <w:color w:val="auto"/>
        </w:rPr>
        <w:t xml:space="preserve">The conference call will be webcast live from the Investors section of Waste Management’s website </w:t>
      </w:r>
      <w:r>
        <w:rPr>
          <w:rFonts w:ascii="Arial" w:cs="Arial" w:eastAsia="Arial" w:hAnsi="Arial"/>
          <w:sz w:val="17"/>
          <w:szCs w:val="17"/>
          <w:u w:val="single" w:color="auto"/>
          <w:color w:val="auto"/>
        </w:rPr>
        <w:t>www.wm.com</w:t>
      </w:r>
      <w:r>
        <w:rPr>
          <w:rFonts w:ascii="Arial" w:cs="Arial" w:eastAsia="Arial" w:hAnsi="Arial"/>
          <w:sz w:val="17"/>
          <w:szCs w:val="17"/>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4950049 when prompted by the conference call operator.</w:t>
      </w:r>
    </w:p>
    <w:p>
      <w:pPr>
        <w:spacing w:after="0" w:line="171" w:lineRule="exact"/>
        <w:rPr>
          <w:sz w:val="20"/>
          <w:szCs w:val="20"/>
          <w:color w:val="auto"/>
        </w:rPr>
      </w:pPr>
    </w:p>
    <w:p>
      <w:pPr>
        <w:jc w:val="both"/>
        <w:ind w:right="1419"/>
        <w:spacing w:after="0" w:line="259" w:lineRule="auto"/>
        <w:rPr>
          <w:sz w:val="20"/>
          <w:szCs w:val="20"/>
          <w:color w:val="auto"/>
        </w:rPr>
      </w:pPr>
      <w:r>
        <w:rPr>
          <w:rFonts w:ascii="Arial" w:cs="Arial" w:eastAsia="Arial" w:hAnsi="Arial"/>
          <w:sz w:val="18"/>
          <w:szCs w:val="18"/>
          <w:color w:val="auto"/>
        </w:rPr>
        <w:t xml:space="preserve">A replay of the conference call will be available on the Company’s website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and by telephone from approximately 1:00 PM (Eastern) today through 5:00 PM (Eastern) on Wednesday, May 20, 2020. To access the replay telephonically, please dial (855) 859-2056, or from outside of the United States or Canada dial (404) 537-3406 and use the replay conference ID number 4950049.</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WASTE MANAGEMENT</w:t>
      </w:r>
    </w:p>
    <w:p>
      <w:pPr>
        <w:spacing w:after="0" w:line="26" w:lineRule="exact"/>
        <w:rPr>
          <w:sz w:val="20"/>
          <w:szCs w:val="20"/>
          <w:color w:val="auto"/>
        </w:rPr>
      </w:pPr>
    </w:p>
    <w:p>
      <w:pPr>
        <w:jc w:val="both"/>
        <w:ind w:right="1419"/>
        <w:spacing w:after="0" w:line="253" w:lineRule="auto"/>
        <w:rPr>
          <w:sz w:val="20"/>
          <w:szCs w:val="20"/>
          <w:color w:val="auto"/>
        </w:rPr>
      </w:pPr>
      <w:r>
        <w:rPr>
          <w:rFonts w:ascii="Arial" w:cs="Arial" w:eastAsia="Arial" w:hAnsi="Arial"/>
          <w:sz w:val="18"/>
          <w:szCs w:val="18"/>
          <w:color w:val="auto"/>
        </w:rPr>
        <w:t xml:space="preserve">Waste Management, based in Houston, Texas, is the leading provider of comprehensive waste management environmental services in North America. Through its subsidiaries, the Company provides collection, transfer, disposal services, and recycling and resource recovery.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www.thinkgreen.com</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6" w:lineRule="exact"/>
        <w:rPr>
          <w:sz w:val="20"/>
          <w:szCs w:val="20"/>
          <w:color w:val="auto"/>
        </w:rPr>
      </w:pPr>
    </w:p>
    <w:p>
      <w:pPr>
        <w:jc w:val="both"/>
        <w:ind w:right="1419"/>
        <w:spacing w:after="0" w:line="284" w:lineRule="auto"/>
        <w:rPr>
          <w:sz w:val="20"/>
          <w:szCs w:val="20"/>
          <w:color w:val="auto"/>
        </w:rPr>
      </w:pPr>
      <w:r>
        <w:rPr>
          <w:rFonts w:ascii="Arial" w:cs="Arial" w:eastAsia="Arial" w:hAnsi="Arial"/>
          <w:sz w:val="16"/>
          <w:szCs w:val="16"/>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all statements regarding future performance or financial results of our business; responses and impacts of COVID-19; future liquidity, dividends and balance sheet strength; future free cash flow; share repurchases; and discussion of the 2020 outlook.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failure to identify acquisition targets and negotiate attractive terms; failure to consummate or integrate the acquisition of Advanced Disposal Services, Inc. or other acquisitions; failure to obtain the results anticipated from the acquisition of Advanced Disposal Services, Inc. or other acquisitions; environmental and other regulations, including developments related to emerging contaminants and renewable fuel; commodity price fluctuations; international trade restrictions; weakness in general economic conditions and capital markets; public health risk and other impacts of COVID-19 or similar pandemic conditions, including increased costs, social and commercial disruption, service reductions and other adverse effects on our business, financial condition, results of operations and cash flows; failure to obtain and maintain necessary permits; disposal alternatives and waste diversion; declining waste volumes; failure to develop and protect new technology; failure of technology to perform as expected, including implementation of a new enterprise resource planning system; failure to prevent, detect and address cybersecurity incidents or comply with privacy regulations; significant environmental or other incidents resulting in liabilities and brand damage; significant storms and destructive events influenced by climate change; labor disruptions; impairment charges; and negative outcomes of litigation or governmental proceedings. Please also see the Company’s filings with the SEC, including Part I, Item 1A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562610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19"/>
          </w:cols>
          <w:pgMar w:left="440" w:top="1151" w:right="1440" w:bottom="1440" w:gutter="0" w:footer="0" w:header="0"/>
        </w:sectPr>
      </w:pPr>
    </w:p>
    <w:bookmarkStart w:id="7" w:name="page8"/>
    <w:bookmarkEnd w:id="7"/>
    <w:p>
      <w:pPr>
        <w:jc w:val="both"/>
        <w:ind w:right="1419"/>
        <w:spacing w:after="0" w:line="279" w:lineRule="auto"/>
        <w:rPr>
          <w:sz w:val="20"/>
          <w:szCs w:val="20"/>
          <w:color w:val="auto"/>
        </w:rPr>
      </w:pPr>
      <w:r>
        <w:rPr>
          <w:rFonts w:ascii="Arial" w:cs="Arial" w:eastAsia="Arial" w:hAnsi="Arial"/>
          <w:sz w:val="17"/>
          <w:szCs w:val="17"/>
          <w:color w:val="auto"/>
        </w:rPr>
        <w:t>the Company’s most recently filed Annual Report on Form 10-K as updated by our subsequent quarterly reports on Form 10-Q, for additional information regarding these and other risks and uncertainties applicable to its business. The Company assumes no obligation to update any forward-looking statement, including financial estimates and forecasts, whether as a result of future events, circumstances or developments or otherwise.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6" w:lineRule="exact"/>
        <w:rPr>
          <w:sz w:val="20"/>
          <w:szCs w:val="20"/>
          <w:color w:val="auto"/>
        </w:rPr>
      </w:pPr>
    </w:p>
    <w:p>
      <w:pPr>
        <w:jc w:val="both"/>
        <w:ind w:right="1419"/>
        <w:spacing w:after="0" w:line="287" w:lineRule="auto"/>
        <w:rPr>
          <w:sz w:val="20"/>
          <w:szCs w:val="20"/>
          <w:color w:val="auto"/>
        </w:rPr>
      </w:pPr>
      <w:r>
        <w:rPr>
          <w:rFonts w:ascii="Arial" w:cs="Arial" w:eastAsia="Arial" w:hAnsi="Arial"/>
          <w:sz w:val="16"/>
          <w:szCs w:val="16"/>
          <w:color w:val="auto"/>
        </w:rPr>
        <w:t>To supplement its financial information, the Company has presented, and/or may discuss on the conference call, adjusted earnings per diluted share, adjusted net income, adjusted operating EBITDA, adjusted SG&amp;A expenses and free cash flow. These are non-GAAP financial measures, as defined in Regulation G of the Securities Exchange Act of 1934, as amended. The Company reports its financial results in compliance with GAAP but believes that also discussing non-GAAP measures provides investors with (i) financial measures the Company uses in the management of its business and (ii) additional, meaningful comparisons of current results to prior periods’ results by excluding items that the Company does not believe reflect its fundamental business performance and are not representative or indicative of its results of operations. The Company’s non-GAAP results exclude the impact of costs incurred in connection with the pending acquisition of Advanced Disposal Services, Inc.</w:t>
      </w:r>
    </w:p>
    <w:p>
      <w:pPr>
        <w:spacing w:after="0" w:line="172" w:lineRule="exact"/>
        <w:rPr>
          <w:sz w:val="20"/>
          <w:szCs w:val="20"/>
          <w:color w:val="auto"/>
        </w:rPr>
      </w:pPr>
    </w:p>
    <w:p>
      <w:pPr>
        <w:jc w:val="both"/>
        <w:ind w:right="1419"/>
        <w:spacing w:after="0" w:line="289" w:lineRule="auto"/>
        <w:rPr>
          <w:sz w:val="20"/>
          <w:szCs w:val="20"/>
          <w:color w:val="auto"/>
        </w:rPr>
      </w:pPr>
      <w:r>
        <w:rPr>
          <w:rFonts w:ascii="Arial" w:cs="Arial" w:eastAsia="Arial" w:hAnsi="Arial"/>
          <w:sz w:val="16"/>
          <w:szCs w:val="16"/>
          <w:color w:val="auto"/>
        </w:rPr>
        <w:t>The Company discusses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GAAP measure.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spacing w:after="0" w:line="166" w:lineRule="exact"/>
        <w:rPr>
          <w:sz w:val="20"/>
          <w:szCs w:val="20"/>
          <w:color w:val="auto"/>
        </w:rPr>
      </w:pPr>
    </w:p>
    <w:p>
      <w:pPr>
        <w:jc w:val="both"/>
        <w:ind w:right="1419"/>
        <w:spacing w:after="0" w:line="263" w:lineRule="auto"/>
        <w:rPr>
          <w:sz w:val="20"/>
          <w:szCs w:val="20"/>
          <w:color w:val="auto"/>
        </w:rPr>
      </w:pPr>
      <w:r>
        <w:rPr>
          <w:rFonts w:ascii="Arial" w:cs="Arial" w:eastAsia="Arial" w:hAnsi="Arial"/>
          <w:sz w:val="18"/>
          <w:szCs w:val="18"/>
          <w:color w:val="auto"/>
        </w:rPr>
        <w:t>The quantitative reconciliations of non-GAAP measures to the most comparable GAAP measures are included in the accompanying schedules. Non-GAAP measures should not be considered a substitute for financial measures presented in accordance with GAAP.</w:t>
      </w:r>
    </w:p>
    <w:p>
      <w:pPr>
        <w:spacing w:after="0" w:line="184"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443230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19"/>
          </w:cols>
          <w:pgMar w:left="440" w:top="935"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62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2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8"/>
                <w:szCs w:val="18"/>
                <w:color w:val="auto"/>
              </w:rPr>
              <w:t>Costs and expenses:</w:t>
            </w: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w:t>
            </w:r>
          </w:p>
        </w:tc>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2,329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9"/>
        </w:trPr>
        <w:tc>
          <w:tcPr>
            <w:tcW w:w="622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from operations</w:t>
            </w:r>
          </w:p>
        </w:tc>
        <w:tc>
          <w:tcPr>
            <w:tcW w:w="2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net losses of unconsolidated entities</w:t>
            </w:r>
          </w:p>
        </w:tc>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62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622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2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loss attributable to noncontrolling interests</w:t>
            </w:r>
          </w:p>
        </w:tc>
        <w:tc>
          <w:tcPr>
            <w:tcW w:w="2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Waste Management, Inc.</w:t>
            </w:r>
          </w:p>
        </w:tc>
        <w:tc>
          <w:tcPr>
            <w:tcW w:w="2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2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earnings per common share</w:t>
            </w:r>
          </w:p>
        </w:tc>
        <w:tc>
          <w:tcPr>
            <w:tcW w:w="2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0.85</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22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20" w:type="dxa"/>
            <w:vAlign w:val="bottom"/>
            <w:tcBorders>
              <w:bottom w:val="single" w:sz="8" w:color="CCEEFF"/>
            </w:tcBorders>
            <w:vMerge w:val="continue"/>
          </w:tcPr>
          <w:p>
            <w:pPr>
              <w:spacing w:after="0"/>
              <w:rPr>
                <w:sz w:val="20"/>
                <w:szCs w:val="20"/>
                <w:color w:val="auto"/>
              </w:rPr>
            </w:pPr>
          </w:p>
        </w:tc>
        <w:tc>
          <w:tcPr>
            <w:tcW w:w="22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0.85</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2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basic common shares outstanding</w:t>
            </w:r>
          </w:p>
        </w:tc>
        <w:tc>
          <w:tcPr>
            <w:tcW w:w="2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424.2</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424.5</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color w:val="auto"/>
              </w:rPr>
              <w:t>Weighted average diluted common shares outstanding</w:t>
            </w:r>
          </w:p>
        </w:tc>
        <w:tc>
          <w:tcPr>
            <w:tcW w:w="2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20" w:type="dxa"/>
            <w:vAlign w:val="bottom"/>
            <w:vMerge w:val="continue"/>
          </w:tcPr>
          <w:p>
            <w:pPr>
              <w:spacing w:after="0"/>
              <w:rPr>
                <w:sz w:val="17"/>
                <w:szCs w:val="17"/>
                <w:color w:val="auto"/>
              </w:rPr>
            </w:pPr>
          </w:p>
        </w:tc>
        <w:tc>
          <w:tcPr>
            <w:tcW w:w="2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426.4</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426.9</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62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80" w:right="240"/>
        <w:spacing w:after="0" w:line="255" w:lineRule="auto"/>
        <w:rPr>
          <w:sz w:val="20"/>
          <w:szCs w:val="20"/>
          <w:color w:val="auto"/>
        </w:rPr>
      </w:pPr>
      <w:r>
        <w:rPr>
          <w:rFonts w:ascii="Arial" w:cs="Arial" w:eastAsia="Arial" w:hAnsi="Arial"/>
          <w:sz w:val="18"/>
          <w:szCs w:val="18"/>
          <w:color w:val="auto"/>
        </w:rPr>
        <w:t>Cash and cash equivalents Receivables, net Other</w:t>
      </w:r>
    </w:p>
    <w:p>
      <w:pPr>
        <w:spacing w:after="0" w:line="1"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Total current assets Property and equipment, net Goodwill</w:t>
      </w:r>
    </w:p>
    <w:p>
      <w:pPr>
        <w:spacing w:after="0" w:line="3"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Other intangible assets, net Other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60" w:type="dxa"/>
        <w:tblCellMar>
          <w:top w:w="0" w:type="dxa"/>
          <w:left w:w="0" w:type="dxa"/>
          <w:bottom w:w="0" w:type="dxa"/>
          <w:right w:w="0" w:type="dxa"/>
        </w:tblCellMar>
      </w:tblPr>
      <w:tr>
        <w:trPr>
          <w:trHeight w:val="234"/>
        </w:trPr>
        <w:tc>
          <w:tcPr>
            <w:tcW w:w="5120" w:type="dxa"/>
            <w:vAlign w:val="bottom"/>
            <w:gridSpan w:val="2"/>
          </w:tcPr>
          <w:p>
            <w:pPr>
              <w:jc w:val="center"/>
              <w:ind w:right="750"/>
              <w:spacing w:after="0"/>
              <w:rPr>
                <w:sz w:val="20"/>
                <w:szCs w:val="20"/>
                <w:color w:val="auto"/>
              </w:rPr>
            </w:pPr>
            <w:r>
              <w:rPr>
                <w:rFonts w:ascii="Arial" w:cs="Arial" w:eastAsia="Arial" w:hAnsi="Arial"/>
                <w:sz w:val="18"/>
                <w:szCs w:val="18"/>
                <w:b w:val="1"/>
                <w:bCs w:val="1"/>
                <w:color w:val="auto"/>
              </w:rPr>
              <w:t>WASTE MANAGEMENT, INC.</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120" w:type="dxa"/>
            <w:vAlign w:val="bottom"/>
            <w:gridSpan w:val="2"/>
          </w:tcPr>
          <w:p>
            <w:pPr>
              <w:jc w:val="center"/>
              <w:ind w:right="75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jc w:val="center"/>
              <w:ind w:right="750"/>
              <w:spacing w:after="0"/>
              <w:rPr>
                <w:sz w:val="20"/>
                <w:szCs w:val="20"/>
                <w:color w:val="auto"/>
              </w:rPr>
            </w:pPr>
            <w:r>
              <w:rPr>
                <w:rFonts w:ascii="Arial" w:cs="Arial" w:eastAsia="Arial" w:hAnsi="Arial"/>
                <w:sz w:val="18"/>
                <w:szCs w:val="18"/>
                <w:b w:val="1"/>
                <w:bCs w:val="1"/>
                <w:color w:val="auto"/>
                <w:w w:val="95"/>
              </w:rPr>
              <w:t>(In Millions)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gridSpan w:val="2"/>
          </w:tcPr>
          <w:p>
            <w:pPr>
              <w:jc w:val="center"/>
              <w:ind w:right="750"/>
              <w:spacing w:after="0"/>
              <w:rPr>
                <w:sz w:val="20"/>
                <w:szCs w:val="20"/>
                <w:color w:val="auto"/>
              </w:rPr>
            </w:pPr>
            <w:r>
              <w:rPr>
                <w:rFonts w:ascii="Arial" w:cs="Arial" w:eastAsia="Arial" w:hAnsi="Arial"/>
                <w:sz w:val="18"/>
                <w:szCs w:val="18"/>
                <w:b w:val="1"/>
                <w:bCs w:val="1"/>
                <w:color w:val="auto"/>
                <w:w w:val="91"/>
              </w:rPr>
              <w:t>(Unaudited)</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49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5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3,125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2,168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195"/>
        </w:trPr>
        <w:tc>
          <w:tcPr>
            <w:tcW w:w="49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5,635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6,209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12,900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12,893</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6,498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9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-1560195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-1276985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-1002665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-711200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-436880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-154305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3444875</wp:posOffset>
            </wp:positionH>
            <wp:positionV relativeFrom="paragraph">
              <wp:posOffset>-127635</wp:posOffset>
            </wp:positionV>
            <wp:extent cx="17056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2300" w:space="720"/>
            <w:col w:w="8220"/>
          </w:cols>
          <w:pgMar w:left="320" w:top="904"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Accounts payable, accrued liabilities and deferred revenues</w:t>
            </w:r>
          </w:p>
        </w:tc>
        <w:tc>
          <w:tcPr>
            <w:tcW w:w="24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2,683</w:t>
            </w:r>
          </w:p>
        </w:tc>
        <w:tc>
          <w:tcPr>
            <w:tcW w:w="420" w:type="dxa"/>
            <w:vAlign w:val="bottom"/>
            <w:gridSpan w:val="2"/>
          </w:tcPr>
          <w:p>
            <w:pPr>
              <w:jc w:val="right"/>
              <w:ind w:right="247"/>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2,926</w:t>
            </w:r>
          </w:p>
        </w:tc>
        <w:tc>
          <w:tcPr>
            <w:tcW w:w="80" w:type="dxa"/>
            <w:vAlign w:val="bottom"/>
          </w:tcPr>
          <w:p>
            <w:pPr>
              <w:spacing w:after="0"/>
              <w:rPr>
                <w:sz w:val="18"/>
                <w:szCs w:val="18"/>
                <w:color w:val="auto"/>
              </w:rPr>
            </w:pPr>
          </w:p>
        </w:tc>
      </w:tr>
      <w:tr>
        <w:trPr>
          <w:trHeight w:val="229"/>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9"/>
                <w:szCs w:val="19"/>
                <w:color w:val="auto"/>
              </w:rPr>
            </w:pPr>
          </w:p>
        </w:tc>
      </w:tr>
      <w:tr>
        <w:trPr>
          <w:trHeight w:val="210"/>
        </w:trPr>
        <w:tc>
          <w:tcPr>
            <w:tcW w:w="644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0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13,065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13,280</w:t>
            </w:r>
          </w:p>
        </w:tc>
        <w:tc>
          <w:tcPr>
            <w:tcW w:w="80" w:type="dxa"/>
            <w:vAlign w:val="bottom"/>
            <w:shd w:val="clear" w:color="auto" w:fill="CCEEFF"/>
          </w:tcPr>
          <w:p>
            <w:pPr>
              <w:spacing w:after="0"/>
              <w:rPr>
                <w:sz w:val="18"/>
                <w:szCs w:val="18"/>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Other</w:t>
            </w:r>
          </w:p>
        </w:tc>
        <w:tc>
          <w:tcPr>
            <w:tcW w:w="2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4,298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4,249</w:t>
            </w:r>
          </w:p>
        </w:tc>
        <w:tc>
          <w:tcPr>
            <w:tcW w:w="80" w:type="dxa"/>
            <w:vAlign w:val="bottom"/>
          </w:tcPr>
          <w:p>
            <w:pPr>
              <w:spacing w:after="0"/>
              <w:rPr>
                <w:sz w:val="19"/>
                <w:szCs w:val="19"/>
                <w:color w:val="auto"/>
              </w:rPr>
            </w:pPr>
          </w:p>
        </w:tc>
      </w:tr>
      <w:tr>
        <w:trPr>
          <w:trHeight w:val="210"/>
        </w:trPr>
        <w:tc>
          <w:tcPr>
            <w:tcW w:w="6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0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6440" w:type="dxa"/>
            <w:vAlign w:val="bottom"/>
          </w:tcPr>
          <w:p>
            <w:pPr>
              <w:spacing w:after="0"/>
              <w:rPr>
                <w:sz w:val="20"/>
                <w:szCs w:val="20"/>
                <w:color w:val="auto"/>
              </w:rPr>
            </w:pPr>
            <w:r>
              <w:rPr>
                <w:rFonts w:ascii="Arial" w:cs="Arial" w:eastAsia="Arial" w:hAnsi="Arial"/>
                <w:sz w:val="18"/>
                <w:szCs w:val="18"/>
                <w:color w:val="auto"/>
              </w:rPr>
              <w:t>Equity:</w:t>
            </w:r>
          </w:p>
        </w:tc>
        <w:tc>
          <w:tcPr>
            <w:tcW w:w="2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Waste Management, Inc. stockholders’ equity</w:t>
            </w:r>
          </w:p>
        </w:tc>
        <w:tc>
          <w:tcPr>
            <w:tcW w:w="2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6,743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7,068</w:t>
            </w:r>
          </w:p>
        </w:tc>
        <w:tc>
          <w:tcPr>
            <w:tcW w:w="80" w:type="dxa"/>
            <w:vAlign w:val="bottom"/>
            <w:shd w:val="clear" w:color="auto" w:fill="CCEEFF"/>
          </w:tcPr>
          <w:p>
            <w:pPr>
              <w:spacing w:after="0"/>
              <w:rPr>
                <w:sz w:val="18"/>
                <w:szCs w:val="18"/>
                <w:color w:val="auto"/>
              </w:rPr>
            </w:pPr>
          </w:p>
        </w:tc>
      </w:tr>
      <w:tr>
        <w:trPr>
          <w:trHeight w:val="229"/>
        </w:trPr>
        <w:tc>
          <w:tcPr>
            <w:tcW w:w="644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r>
      <w:tr>
        <w:trPr>
          <w:trHeight w:val="210"/>
        </w:trPr>
        <w:tc>
          <w:tcPr>
            <w:tcW w:w="6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20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440" w:type="dxa"/>
            <w:vAlign w:val="bottom"/>
          </w:tcPr>
          <w:p>
            <w:pPr>
              <w:ind w:left="340"/>
              <w:spacing w:after="0"/>
              <w:rPr>
                <w:sz w:val="20"/>
                <w:szCs w:val="20"/>
                <w:color w:val="auto"/>
              </w:rPr>
            </w:pPr>
            <w:r>
              <w:rPr>
                <w:rFonts w:ascii="Arial" w:cs="Arial" w:eastAsia="Arial" w:hAnsi="Arial"/>
                <w:sz w:val="18"/>
                <w:szCs w:val="18"/>
                <w:color w:val="auto"/>
              </w:rPr>
              <w:t>Total liabilities and equity</w:t>
            </w:r>
          </w:p>
        </w:tc>
        <w:tc>
          <w:tcPr>
            <w:tcW w:w="20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64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2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March 31,</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15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1"/>
              <w:spacing w:after="0"/>
              <w:rPr>
                <w:sz w:val="20"/>
                <w:szCs w:val="20"/>
                <w:color w:val="auto"/>
              </w:rPr>
            </w:pPr>
            <w:r>
              <w:rPr>
                <w:rFonts w:ascii="Arial" w:cs="Arial" w:eastAsia="Arial" w:hAnsi="Arial"/>
                <w:sz w:val="18"/>
                <w:szCs w:val="18"/>
                <w:color w:val="auto"/>
              </w:rPr>
              <w:t>361</w:t>
            </w:r>
          </w:p>
        </w:tc>
        <w:tc>
          <w:tcPr>
            <w:tcW w:w="94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1"/>
              <w:spacing w:after="0"/>
              <w:rPr>
                <w:sz w:val="20"/>
                <w:szCs w:val="20"/>
                <w:color w:val="auto"/>
              </w:rPr>
            </w:pPr>
            <w:r>
              <w:rPr>
                <w:rFonts w:ascii="Arial" w:cs="Arial" w:eastAsia="Arial" w:hAnsi="Arial"/>
                <w:sz w:val="18"/>
                <w:szCs w:val="18"/>
                <w:color w:val="auto"/>
              </w:rPr>
              <w:t>347</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61"/>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1"/>
              <w:spacing w:after="0"/>
              <w:rPr>
                <w:sz w:val="20"/>
                <w:szCs w:val="20"/>
                <w:color w:val="auto"/>
              </w:rPr>
            </w:pPr>
            <w:r>
              <w:rPr>
                <w:rFonts w:ascii="Arial" w:cs="Arial" w:eastAsia="Arial" w:hAnsi="Arial"/>
                <w:sz w:val="18"/>
                <w:szCs w:val="18"/>
                <w:color w:val="auto"/>
              </w:rPr>
              <w:t>366</w:t>
            </w: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123</w:t>
            </w:r>
          </w:p>
        </w:tc>
      </w:tr>
      <w:tr>
        <w:trPr>
          <w:trHeight w:val="230"/>
        </w:trPr>
        <w:tc>
          <w:tcPr>
            <w:tcW w:w="7760" w:type="dxa"/>
            <w:vAlign w:val="bottom"/>
          </w:tcPr>
          <w:p>
            <w:pPr>
              <w:ind w:left="18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gridSpan w:val="2"/>
          </w:tcPr>
          <w:p>
            <w:pPr>
              <w:jc w:val="right"/>
              <w:ind w:right="1"/>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gridSpan w:val="2"/>
          </w:tcPr>
          <w:p>
            <w:pPr>
              <w:jc w:val="right"/>
              <w:ind w:right="21"/>
              <w:spacing w:after="0"/>
              <w:rPr>
                <w:sz w:val="20"/>
                <w:szCs w:val="20"/>
                <w:color w:val="auto"/>
              </w:rPr>
            </w:pPr>
            <w:r>
              <w:rPr>
                <w:rFonts w:ascii="Arial" w:cs="Arial" w:eastAsia="Arial" w:hAnsi="Arial"/>
                <w:sz w:val="18"/>
                <w:szCs w:val="18"/>
                <w:color w:val="auto"/>
              </w:rPr>
              <w:t>54</w:t>
            </w:r>
          </w:p>
        </w:tc>
      </w:tr>
      <w:tr>
        <w:trPr>
          <w:trHeight w:val="209"/>
        </w:trPr>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7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Acquisitions of businesses, net of cash acquired</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(394)</w:t>
            </w: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1"/>
              <w:spacing w:after="0"/>
              <w:rPr>
                <w:sz w:val="20"/>
                <w:szCs w:val="20"/>
                <w:color w:val="auto"/>
              </w:rPr>
            </w:pPr>
            <w:r>
              <w:rPr>
                <w:rFonts w:ascii="Arial" w:cs="Arial" w:eastAsia="Arial" w:hAnsi="Arial"/>
                <w:sz w:val="18"/>
                <w:szCs w:val="18"/>
                <w:color w:val="auto"/>
              </w:rPr>
              <w:t>(459)</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9"/>
              </w:rPr>
              <w:t>(471)</w:t>
            </w: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w:t>
            </w:r>
          </w:p>
        </w:tc>
      </w:tr>
      <w:tr>
        <w:trPr>
          <w:trHeight w:val="229"/>
        </w:trPr>
        <w:tc>
          <w:tcPr>
            <w:tcW w:w="776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gridSpan w:val="2"/>
          </w:tcPr>
          <w:p>
            <w:pPr>
              <w:jc w:val="right"/>
              <w:ind w:right="1"/>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gridSpan w:val="2"/>
          </w:tcPr>
          <w:p>
            <w:pPr>
              <w:jc w:val="right"/>
              <w:ind w:right="21"/>
              <w:spacing w:after="0"/>
              <w:rPr>
                <w:sz w:val="20"/>
                <w:szCs w:val="20"/>
                <w:color w:val="auto"/>
              </w:rPr>
            </w:pPr>
            <w:r>
              <w:rPr>
                <w:rFonts w:ascii="Arial" w:cs="Arial" w:eastAsia="Arial" w:hAnsi="Arial"/>
                <w:sz w:val="18"/>
                <w:szCs w:val="18"/>
                <w:color w:val="auto"/>
              </w:rPr>
              <w:t>53</w:t>
            </w:r>
          </w:p>
        </w:tc>
      </w:tr>
      <w:tr>
        <w:trPr>
          <w:trHeight w:val="210"/>
        </w:trPr>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(800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7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New borrowings</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Debt repayments</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1"/>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commercial paper borrowings</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357</w:t>
            </w: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Common stock repurchase program</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1"/>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(223)</w:t>
            </w: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Exercise of common stock options</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61"/>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1"/>
              <w:spacing w:after="0"/>
              <w:rPr>
                <w:sz w:val="20"/>
                <w:szCs w:val="20"/>
                <w:color w:val="auto"/>
              </w:rPr>
            </w:pPr>
            <w:r>
              <w:rPr>
                <w:rFonts w:ascii="Arial" w:cs="Arial" w:eastAsia="Arial" w:hAnsi="Arial"/>
                <w:sz w:val="18"/>
                <w:szCs w:val="18"/>
                <w:color w:val="auto"/>
              </w:rPr>
              <w:t>25</w:t>
            </w: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payments associated with equity-based compensation transactions</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776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gridSpan w:val="2"/>
          </w:tcPr>
          <w:p>
            <w:pPr>
              <w:jc w:val="right"/>
              <w:ind w:right="1"/>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gridSpan w:val="2"/>
          </w:tcPr>
          <w:p>
            <w:pPr>
              <w:jc w:val="right"/>
              <w:ind w:right="21"/>
              <w:spacing w:after="0"/>
              <w:rPr>
                <w:sz w:val="20"/>
                <w:szCs w:val="20"/>
                <w:color w:val="auto"/>
              </w:rPr>
            </w:pPr>
            <w:r>
              <w:rPr>
                <w:rFonts w:ascii="Arial" w:cs="Arial" w:eastAsia="Arial" w:hAnsi="Arial"/>
                <w:sz w:val="18"/>
                <w:szCs w:val="18"/>
                <w:color w:val="auto"/>
              </w:rPr>
              <w:t>37</w:t>
            </w:r>
          </w:p>
        </w:tc>
      </w:tr>
      <w:tr>
        <w:trPr>
          <w:trHeight w:val="210"/>
        </w:trPr>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6"/>
              </w:rPr>
              <w:t>Effect of exchange rate changes on cash, cash equivalents and restricted cash and cash equivalents</w:t>
            </w:r>
          </w:p>
        </w:tc>
        <w:tc>
          <w:tcPr>
            <w:tcW w:w="6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cash equivalents and restricted cash and cash equivalents</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Cash, cash equivalents and restricted cash and cash equivalents at beginning of period</w:t>
            </w: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gridSpan w:val="2"/>
          </w:tcPr>
          <w:p>
            <w:pPr>
              <w:jc w:val="right"/>
              <w:ind w:right="61"/>
              <w:spacing w:after="0"/>
              <w:rPr>
                <w:sz w:val="20"/>
                <w:szCs w:val="20"/>
                <w:color w:val="auto"/>
              </w:rPr>
            </w:pPr>
            <w:r>
              <w:rPr>
                <w:rFonts w:ascii="Arial" w:cs="Arial" w:eastAsia="Arial" w:hAnsi="Arial"/>
                <w:sz w:val="18"/>
                <w:szCs w:val="18"/>
                <w:color w:val="auto"/>
                <w:w w:val="88"/>
              </w:rPr>
              <w:t>3,647</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gridSpan w:val="2"/>
          </w:tcPr>
          <w:p>
            <w:pPr>
              <w:jc w:val="right"/>
              <w:ind w:right="21"/>
              <w:spacing w:after="0"/>
              <w:rPr>
                <w:sz w:val="20"/>
                <w:szCs w:val="20"/>
                <w:color w:val="auto"/>
              </w:rPr>
            </w:pPr>
            <w:r>
              <w:rPr>
                <w:rFonts w:ascii="Arial" w:cs="Arial" w:eastAsia="Arial" w:hAnsi="Arial"/>
                <w:sz w:val="18"/>
                <w:szCs w:val="18"/>
                <w:color w:val="auto"/>
              </w:rPr>
              <w:t>183</w:t>
            </w:r>
          </w:p>
        </w:tc>
      </w:tr>
      <w:tr>
        <w:trPr>
          <w:trHeight w:val="223"/>
        </w:trPr>
        <w:tc>
          <w:tcPr>
            <w:tcW w:w="7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and cash equivalents at end of period</w:t>
            </w: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3,237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6"/>
        </w:trPr>
        <w:tc>
          <w:tcPr>
            <w:tcW w:w="77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rPr>
              <w:t>WASTE MANAGEMENT, INC.</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9"/>
              </w:rPr>
              <w:t>SUMMARY DATA SHEET</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0" w:type="dxa"/>
            <w:vAlign w:val="bottom"/>
            <w:gridSpan w:val="2"/>
          </w:tcPr>
          <w:p>
            <w:pPr>
              <w:jc w:val="center"/>
              <w:ind w:left="1270"/>
              <w:spacing w:after="0"/>
              <w:rPr>
                <w:sz w:val="20"/>
                <w:szCs w:val="20"/>
                <w:color w:val="auto"/>
              </w:rPr>
            </w:pPr>
            <w:r>
              <w:rPr>
                <w:rFonts w:ascii="Arial" w:cs="Arial" w:eastAsia="Arial" w:hAnsi="Arial"/>
                <w:sz w:val="18"/>
                <w:szCs w:val="18"/>
                <w:b w:val="1"/>
                <w:bCs w:val="1"/>
                <w:color w:val="auto"/>
                <w:w w:val="95"/>
              </w:rPr>
              <w:t>(In Millions)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0" w:type="dxa"/>
            <w:vAlign w:val="bottom"/>
            <w:gridSpan w:val="2"/>
          </w:tcPr>
          <w:p>
            <w:pPr>
              <w:jc w:val="center"/>
              <w:ind w:left="1270"/>
              <w:spacing w:after="0"/>
              <w:rPr>
                <w:sz w:val="20"/>
                <w:szCs w:val="20"/>
                <w:color w:val="auto"/>
              </w:rPr>
            </w:pPr>
            <w:r>
              <w:rPr>
                <w:rFonts w:ascii="Arial" w:cs="Arial" w:eastAsia="Arial" w:hAnsi="Arial"/>
                <w:sz w:val="18"/>
                <w:szCs w:val="18"/>
                <w:b w:val="1"/>
                <w:bCs w:val="1"/>
                <w:color w:val="auto"/>
                <w:w w:val="91"/>
              </w:rPr>
              <w:t>(Unaudited)</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Operating Revenues by Line of Business</w:t>
            </w:r>
          </w:p>
        </w:tc>
        <w:tc>
          <w:tcPr>
            <w:tcW w:w="2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10"/>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10"/>
          </w:tcPr>
          <w:p>
            <w:pPr>
              <w:ind w:left="54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28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1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w:t>
            </w: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Other collection</w:t>
            </w: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collection</w:t>
            </w:r>
          </w:p>
        </w:tc>
        <w:tc>
          <w:tcPr>
            <w:tcW w:w="2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Landfill</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w:t>
            </w: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Recycling</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9"/>
        </w:trPr>
        <w:tc>
          <w:tcPr>
            <w:tcW w:w="3740" w:type="dxa"/>
            <w:vAlign w:val="bottom"/>
            <w:gridSpan w:val="2"/>
          </w:tcPr>
          <w:p>
            <w:pPr>
              <w:spacing w:after="0"/>
              <w:rPr>
                <w:sz w:val="20"/>
                <w:szCs w:val="20"/>
                <w:color w:val="auto"/>
              </w:rPr>
            </w:pPr>
            <w:r>
              <w:rPr>
                <w:rFonts w:ascii="Arial" w:cs="Arial" w:eastAsia="Arial" w:hAnsi="Arial"/>
                <w:sz w:val="18"/>
                <w:szCs w:val="18"/>
                <w:color w:val="auto"/>
              </w:rPr>
              <w:t>Intercompany (a)</w:t>
            </w: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4"/>
          </w:tcPr>
          <w:p>
            <w:pPr>
              <w:jc w:val="right"/>
              <w:ind w:right="4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Internal Revenue Growth</w:t>
            </w: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40" w:type="dxa"/>
            <w:vAlign w:val="bottom"/>
            <w:gridSpan w:val="2"/>
            <w:vMerge w:val="continue"/>
          </w:tcPr>
          <w:p>
            <w:pPr>
              <w:spacing w:after="0"/>
              <w:rPr>
                <w:sz w:val="24"/>
                <w:szCs w:val="24"/>
                <w:color w:val="auto"/>
              </w:rPr>
            </w:pPr>
          </w:p>
        </w:tc>
        <w:tc>
          <w:tcPr>
            <w:tcW w:w="2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9"/>
          </w:tcPr>
          <w:p>
            <w:pPr>
              <w:jc w:val="right"/>
              <w:ind w:right="20"/>
              <w:spacing w:after="0"/>
              <w:rPr>
                <w:sz w:val="20"/>
                <w:szCs w:val="20"/>
                <w:color w:val="auto"/>
              </w:rPr>
            </w:pPr>
            <w:r>
              <w:rPr>
                <w:rFonts w:ascii="Arial" w:cs="Arial" w:eastAsia="Arial" w:hAnsi="Arial"/>
                <w:sz w:val="18"/>
                <w:szCs w:val="18"/>
                <w:b w:val="1"/>
                <w:bCs w:val="1"/>
                <w:color w:val="auto"/>
                <w:w w:val="92"/>
              </w:rPr>
              <w:t>Period-to-Period Change for the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8"/>
          </w:tcPr>
          <w:p>
            <w:pPr>
              <w:jc w:val="right"/>
              <w:ind w:right="44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18"/>
                <w:szCs w:val="18"/>
                <w:b w:val="1"/>
                <w:bCs w:val="1"/>
                <w:color w:val="auto"/>
              </w:rPr>
              <w:t>March 31, 2020 vs. 2019</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5"/>
          </w:tcPr>
          <w:p>
            <w:pPr>
              <w:jc w:val="center"/>
              <w:ind w:right="358"/>
              <w:spacing w:after="0" w:line="191" w:lineRule="exact"/>
              <w:rPr>
                <w:sz w:val="20"/>
                <w:szCs w:val="20"/>
                <w:color w:val="auto"/>
              </w:rPr>
            </w:pPr>
            <w:r>
              <w:rPr>
                <w:rFonts w:ascii="Arial" w:cs="Arial" w:eastAsia="Arial" w:hAnsi="Arial"/>
                <w:sz w:val="18"/>
                <w:szCs w:val="18"/>
                <w:b w:val="1"/>
                <w:bCs w:val="1"/>
                <w:color w:val="auto"/>
                <w:w w:val="93"/>
              </w:rPr>
              <w:t>As a % of</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As a % of</w:t>
            </w:r>
          </w:p>
        </w:tc>
        <w:tc>
          <w:tcPr>
            <w:tcW w:w="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5"/>
          </w:tcPr>
          <w:p>
            <w:pPr>
              <w:jc w:val="center"/>
              <w:ind w:right="358"/>
              <w:spacing w:after="0"/>
              <w:rPr>
                <w:sz w:val="20"/>
                <w:szCs w:val="20"/>
                <w:color w:val="auto"/>
              </w:rPr>
            </w:pPr>
            <w:r>
              <w:rPr>
                <w:rFonts w:ascii="Arial" w:cs="Arial" w:eastAsia="Arial" w:hAnsi="Arial"/>
                <w:sz w:val="18"/>
                <w:szCs w:val="18"/>
                <w:b w:val="1"/>
                <w:bCs w:val="1"/>
                <w:color w:val="auto"/>
                <w:w w:val="92"/>
              </w:rPr>
              <w:t>Related</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600" w:type="dxa"/>
            <w:vAlign w:val="bottom"/>
            <w:gridSpan w:val="5"/>
          </w:tcPr>
          <w:p>
            <w:pPr>
              <w:jc w:val="center"/>
              <w:ind w:right="358"/>
              <w:spacing w:after="0"/>
              <w:rPr>
                <w:sz w:val="20"/>
                <w:szCs w:val="20"/>
                <w:color w:val="auto"/>
              </w:rPr>
            </w:pPr>
            <w:r>
              <w:rPr>
                <w:rFonts w:ascii="Arial" w:cs="Arial" w:eastAsia="Arial" w:hAnsi="Arial"/>
                <w:sz w:val="18"/>
                <w:szCs w:val="18"/>
                <w:b w:val="1"/>
                <w:bCs w:val="1"/>
                <w:color w:val="auto"/>
                <w:w w:val="85"/>
              </w:rPr>
              <w:t>Business(b)</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Company(c)</w:t>
            </w: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Collection and disposal</w:t>
            </w:r>
          </w:p>
        </w:tc>
        <w:tc>
          <w:tcPr>
            <w:tcW w:w="2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Recycling commodities (d)</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1620" w:type="dxa"/>
            <w:vAlign w:val="bottom"/>
            <w:gridSpan w:val="5"/>
          </w:tcPr>
          <w:p>
            <w:pPr>
              <w:jc w:val="right"/>
              <w:ind w:right="37"/>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surcharges and mandated fees</w:t>
            </w:r>
          </w:p>
        </w:tc>
        <w:tc>
          <w:tcPr>
            <w:tcW w:w="2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1620" w:type="dxa"/>
            <w:vAlign w:val="bottom"/>
            <w:gridSpan w:val="5"/>
            <w:shd w:val="clear" w:color="auto" w:fill="CCEEFF"/>
          </w:tcPr>
          <w:p>
            <w:pPr>
              <w:jc w:val="right"/>
              <w:ind w:right="177"/>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Total average yield (e)</w:t>
            </w:r>
          </w:p>
        </w:tc>
        <w:tc>
          <w:tcPr>
            <w:tcW w:w="2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Volume</w:t>
            </w:r>
          </w:p>
        </w:tc>
        <w:tc>
          <w:tcPr>
            <w:tcW w:w="2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89"/>
              </w:rPr>
              <w:t>10</w:t>
            </w:r>
          </w:p>
        </w:tc>
        <w:tc>
          <w:tcPr>
            <w:tcW w:w="11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Internal revenue growth</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Acquisitions</w:t>
            </w: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89"/>
              </w:rPr>
              <w:t>29</w:t>
            </w:r>
          </w:p>
        </w:tc>
        <w:tc>
          <w:tcPr>
            <w:tcW w:w="11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Divestitures</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2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33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40" w:type="dxa"/>
            <w:vAlign w:val="bottom"/>
            <w:gridSpan w:val="14"/>
          </w:tcPr>
          <w:p>
            <w:pPr>
              <w:jc w:val="center"/>
              <w:ind w:right="220"/>
              <w:spacing w:after="0"/>
              <w:rPr>
                <w:sz w:val="20"/>
                <w:szCs w:val="20"/>
                <w:color w:val="auto"/>
              </w:rPr>
            </w:pPr>
            <w:r>
              <w:rPr>
                <w:rFonts w:ascii="Arial" w:cs="Arial" w:eastAsia="Arial" w:hAnsi="Arial"/>
                <w:sz w:val="18"/>
                <w:szCs w:val="18"/>
                <w:b w:val="1"/>
                <w:bCs w:val="1"/>
                <w:color w:val="auto"/>
                <w:w w:val="90"/>
              </w:rPr>
              <w:t>Period-to-Period Change for the</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80" w:type="dxa"/>
            <w:vAlign w:val="bottom"/>
            <w:gridSpan w:val="11"/>
          </w:tcPr>
          <w:p>
            <w:pPr>
              <w:jc w:val="center"/>
              <w:ind w:right="68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12"/>
          </w:tcPr>
          <w:p>
            <w:pPr>
              <w:jc w:val="center"/>
              <w:ind w:right="380"/>
              <w:spacing w:after="0"/>
              <w:rPr>
                <w:sz w:val="20"/>
                <w:szCs w:val="20"/>
                <w:color w:val="auto"/>
              </w:rPr>
            </w:pPr>
            <w:r>
              <w:rPr>
                <w:rFonts w:ascii="Arial" w:cs="Arial" w:eastAsia="Arial" w:hAnsi="Arial"/>
                <w:sz w:val="18"/>
                <w:szCs w:val="18"/>
                <w:b w:val="1"/>
                <w:bCs w:val="1"/>
                <w:color w:val="auto"/>
                <w:w w:val="90"/>
              </w:rPr>
              <w:t>March 31, 2020 vs. 2019</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560" w:type="dxa"/>
            <w:vAlign w:val="bottom"/>
            <w:tcBorders>
              <w:top w:val="single" w:sz="8" w:color="auto"/>
              <w:bottom w:val="single" w:sz="8" w:color="auto"/>
            </w:tcBorders>
            <w:gridSpan w:val="10"/>
          </w:tcPr>
          <w:p>
            <w:pPr>
              <w:jc w:val="center"/>
              <w:ind w:right="70"/>
              <w:spacing w:after="0"/>
              <w:rPr>
                <w:sz w:val="20"/>
                <w:szCs w:val="20"/>
                <w:color w:val="auto"/>
              </w:rPr>
            </w:pPr>
            <w:r>
              <w:rPr>
                <w:rFonts w:ascii="Arial" w:cs="Arial" w:eastAsia="Arial" w:hAnsi="Arial"/>
                <w:sz w:val="18"/>
                <w:szCs w:val="18"/>
                <w:b w:val="1"/>
                <w:bCs w:val="1"/>
                <w:color w:val="auto"/>
                <w:w w:val="89"/>
              </w:rPr>
              <w:t>As a % of Related Business(b)</w:t>
            </w:r>
          </w:p>
        </w:tc>
        <w:tc>
          <w:tcPr>
            <w:tcW w:w="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1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Yield</w:t>
            </w:r>
          </w:p>
        </w:tc>
        <w:tc>
          <w:tcPr>
            <w:tcW w:w="180" w:type="dxa"/>
            <w:vAlign w:val="bottom"/>
            <w:tcBorders>
              <w:bottom w:val="single" w:sz="8" w:color="CCEEFF"/>
            </w:tcBorders>
            <w:gridSpan w:val="2"/>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1"/>
              </w:rPr>
              <w:t>Volume(f)</w:t>
            </w:r>
          </w:p>
        </w:tc>
        <w:tc>
          <w:tcPr>
            <w:tcW w:w="220" w:type="dxa"/>
            <w:vAlign w:val="bottom"/>
            <w:tcBorders>
              <w:bottom w:val="single" w:sz="8" w:color="CCEEFF"/>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87"/>
              </w:rPr>
              <w:t>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w:t>
            </w: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120"/>
              <w:spacing w:after="0"/>
              <w:rPr>
                <w:sz w:val="20"/>
                <w:szCs w:val="20"/>
                <w:color w:val="auto"/>
              </w:rPr>
            </w:pPr>
            <w:r>
              <w:rPr>
                <w:rFonts w:ascii="Arial" w:cs="Arial" w:eastAsia="Arial" w:hAnsi="Arial"/>
                <w:sz w:val="18"/>
                <w:szCs w:val="18"/>
                <w:color w:val="auto"/>
              </w:rPr>
              <w:t>Total collection</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MSW</w:t>
            </w: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Transfer</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collection and disposal</w:t>
            </w: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87"/>
              </w:rPr>
              <w:t>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0"/>
        </w:trPr>
        <w:tc>
          <w:tcPr>
            <w:tcW w:w="2820" w:type="dxa"/>
            <w:vAlign w:val="bottom"/>
            <w:tcBorders>
              <w:bottom w:val="single" w:sz="8" w:color="auto"/>
            </w:tcBorders>
          </w:tcPr>
          <w:p>
            <w:pPr>
              <w:spacing w:after="0"/>
              <w:rPr>
                <w:sz w:val="23"/>
                <w:szCs w:val="23"/>
                <w:color w:val="auto"/>
              </w:rPr>
            </w:pPr>
          </w:p>
        </w:tc>
        <w:tc>
          <w:tcPr>
            <w:tcW w:w="9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herein.</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related business revenue adjusted to exclude the impacts of divestitures for the current year period.</w:t>
      </w:r>
    </w:p>
    <w:p>
      <w:pPr>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total Company revenue adjusted to exclude the impacts of divestitures for the current year period.</w:t>
      </w: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net impact of commodity price variability and changes in fees.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Workday adjusted volume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996"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 Analysis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700"/>
        <w:spacing w:after="0" w:line="258" w:lineRule="auto"/>
        <w:rPr>
          <w:sz w:val="20"/>
          <w:szCs w:val="20"/>
          <w:color w:val="auto"/>
        </w:rPr>
      </w:pPr>
      <w:r>
        <w:rPr>
          <w:rFonts w:ascii="Arial" w:cs="Arial" w:eastAsia="Arial" w:hAnsi="Arial"/>
          <w:sz w:val="18"/>
          <w:szCs w:val="18"/>
          <w:color w:val="auto"/>
        </w:rPr>
        <w:t>Net cash provided by operating activities Capital expenditures</w:t>
      </w:r>
    </w:p>
    <w:p>
      <w:pPr>
        <w:spacing w:after="0" w:line="1" w:lineRule="exact"/>
        <w:rPr>
          <w:sz w:val="20"/>
          <w:szCs w:val="20"/>
          <w:color w:val="auto"/>
        </w:rPr>
      </w:pPr>
    </w:p>
    <w:p>
      <w:pPr>
        <w:jc w:val="right"/>
        <w:ind w:right="740"/>
        <w:spacing w:after="0" w:line="281" w:lineRule="auto"/>
        <w:rPr>
          <w:sz w:val="20"/>
          <w:szCs w:val="20"/>
          <w:color w:val="auto"/>
        </w:rPr>
      </w:pPr>
      <w:r>
        <w:rPr>
          <w:rFonts w:ascii="Arial" w:cs="Arial" w:eastAsia="Arial" w:hAnsi="Arial"/>
          <w:sz w:val="16"/>
          <w:szCs w:val="16"/>
          <w:color w:val="auto"/>
        </w:rPr>
        <w:t>Proceeds from divestitures of businesses and other assets (net of cash divested)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Free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Data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Internalization of waste, based on disposal costs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Landfill amortizable tons (in millions)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Summary (b)</w:t>
      </w:r>
    </w:p>
    <w:p>
      <w:pPr>
        <w:spacing w:after="0" w:line="20" w:lineRule="exact"/>
        <w:rPr>
          <w:sz w:val="20"/>
          <w:szCs w:val="20"/>
          <w:color w:val="auto"/>
        </w:rPr>
      </w:pPr>
      <w:r>
        <w:rPr>
          <w:sz w:val="20"/>
          <w:szCs w:val="20"/>
          <w:color w:val="auto"/>
        </w:rPr>
        <w:br w:type="column"/>
      </w:r>
    </w:p>
    <w:p>
      <w:pPr>
        <w:jc w:val="center"/>
        <w:ind w:right="4380"/>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4380"/>
        <w:spacing w:after="0"/>
        <w:rPr>
          <w:sz w:val="20"/>
          <w:szCs w:val="20"/>
          <w:color w:val="auto"/>
        </w:rPr>
      </w:pPr>
      <w:r>
        <w:rPr>
          <w:rFonts w:ascii="Arial" w:cs="Arial" w:eastAsia="Arial" w:hAnsi="Arial"/>
          <w:sz w:val="18"/>
          <w:szCs w:val="18"/>
          <w:b w:val="1"/>
          <w:bCs w:val="1"/>
          <w:color w:val="auto"/>
        </w:rPr>
        <w:t>SUMMARY DATA SHEET</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3619"/>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3619"/>
        <w:spacing w:after="0"/>
        <w:rPr>
          <w:sz w:val="20"/>
          <w:szCs w:val="20"/>
          <w:color w:val="auto"/>
        </w:rPr>
      </w:pPr>
      <w:r>
        <w:rPr>
          <w:rFonts w:ascii="Arial" w:cs="Arial" w:eastAsia="Arial" w:hAnsi="Arial"/>
          <w:sz w:val="18"/>
          <w:szCs w:val="18"/>
          <w:b w:val="1"/>
          <w:bCs w:val="1"/>
          <w:color w:val="auto"/>
        </w:rPr>
        <w:t>March 31,</w:t>
      </w:r>
    </w:p>
    <w:p>
      <w:pPr>
        <w:spacing w:after="0" w:line="23" w:lineRule="exact"/>
        <w:rPr>
          <w:sz w:val="20"/>
          <w:szCs w:val="20"/>
          <w:color w:val="auto"/>
        </w:rPr>
      </w:pPr>
    </w:p>
    <w:tbl>
      <w:tblPr>
        <w:tblLayout w:type="fixed"/>
        <w:tblInd w:w="3940" w:type="dxa"/>
        <w:tblCellMar>
          <w:top w:w="0" w:type="dxa"/>
          <w:left w:w="0" w:type="dxa"/>
          <w:bottom w:w="0" w:type="dxa"/>
          <w:right w:w="0" w:type="dxa"/>
        </w:tblCellMar>
      </w:tblPr>
      <w:tr>
        <w:trPr>
          <w:trHeight w:val="223"/>
        </w:trPr>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5"/>
        </w:trPr>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765</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890</w:t>
            </w:r>
          </w:p>
        </w:tc>
        <w:tc>
          <w:tcPr>
            <w:tcW w:w="100" w:type="dxa"/>
            <w:vAlign w:val="bottom"/>
          </w:tcPr>
          <w:p>
            <w:pPr>
              <w:spacing w:after="0"/>
              <w:rPr>
                <w:sz w:val="16"/>
                <w:szCs w:val="16"/>
                <w:color w:val="auto"/>
              </w:rPr>
            </w:pPr>
          </w:p>
        </w:tc>
      </w:tr>
      <w:tr>
        <w:trPr>
          <w:trHeight w:val="230"/>
        </w:trPr>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(459)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(471)</w:t>
            </w:r>
          </w:p>
        </w:tc>
      </w:tr>
      <w:tr>
        <w:trPr>
          <w:trHeight w:val="216"/>
        </w:trPr>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23"/>
        </w:trPr>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318</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1"/>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9"/>
          </w:tcPr>
          <w:p>
            <w:pPr>
              <w:ind w:left="24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6"/>
          </w:tcPr>
          <w:p>
            <w:pPr>
              <w:ind w:left="660"/>
              <w:spacing w:after="0"/>
              <w:rPr>
                <w:sz w:val="20"/>
                <w:szCs w:val="20"/>
                <w:color w:val="auto"/>
              </w:rPr>
            </w:pPr>
            <w:r>
              <w:rPr>
                <w:rFonts w:ascii="Arial" w:cs="Arial" w:eastAsia="Arial" w:hAnsi="Arial"/>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642"/>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3"/>
          </w:tcPr>
          <w:p>
            <w:pPr>
              <w:ind w:left="600"/>
              <w:spacing w:after="0"/>
              <w:rPr>
                <w:sz w:val="20"/>
                <w:szCs w:val="20"/>
                <w:color w:val="auto"/>
              </w:rPr>
            </w:pPr>
            <w:r>
              <w:rPr>
                <w:rFonts w:ascii="Arial" w:cs="Arial" w:eastAsia="Arial" w:hAnsi="Arial"/>
                <w:sz w:val="18"/>
                <w:szCs w:val="18"/>
                <w:color w:val="auto"/>
              </w:rPr>
              <w:t>68.3%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3"/>
          </w:tcPr>
          <w:p>
            <w:pPr>
              <w:ind w:left="560"/>
              <w:spacing w:after="0"/>
              <w:rPr>
                <w:sz w:val="20"/>
                <w:szCs w:val="20"/>
                <w:color w:val="auto"/>
              </w:rPr>
            </w:pPr>
            <w:r>
              <w:rPr>
                <w:rFonts w:ascii="Arial" w:cs="Arial" w:eastAsia="Arial" w:hAnsi="Arial"/>
                <w:sz w:val="18"/>
                <w:szCs w:val="18"/>
                <w:color w:val="auto"/>
                <w:w w:val="90"/>
              </w:rPr>
              <w:t>66.2%</w:t>
            </w:r>
          </w:p>
        </w:tc>
      </w:tr>
      <w:tr>
        <w:trPr>
          <w:trHeight w:val="432"/>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-2014220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-1731010</wp:posOffset>
            </wp:positionV>
            <wp:extent cx="7132320" cy="282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-693420</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-410845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-136525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137160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3660" w:space="720"/>
            <w:col w:w="6860"/>
          </w:cols>
          <w:pgMar w:left="320" w:top="931" w:right="339" w:bottom="1440" w:gutter="0" w:footer="0" w:header="0"/>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Gross annualized revenue acquired</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9"/>
              </w:rPr>
              <w:t>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 net of cash acquired</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9"/>
              </w:rPr>
              <w:t>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acquisitions consummated during the period, net of cash acquired</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9"/>
              </w:rPr>
              <w:t>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8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Cash paid for acquisitions including contingent consideration and other items from prior periods, net of cash</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acquired</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9"/>
              </w:rPr>
              <w:t>2</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454"/>
        </w:trPr>
        <w:tc>
          <w:tcPr>
            <w:tcW w:w="8120" w:type="dxa"/>
            <w:vAlign w:val="bottom"/>
          </w:tcPr>
          <w:p>
            <w:pPr>
              <w:spacing w:after="0"/>
              <w:rPr>
                <w:sz w:val="20"/>
                <w:szCs w:val="20"/>
                <w:color w:val="auto"/>
              </w:rPr>
            </w:pPr>
            <w:r>
              <w:rPr>
                <w:rFonts w:ascii="Arial" w:cs="Arial" w:eastAsia="Arial" w:hAnsi="Arial"/>
                <w:sz w:val="18"/>
                <w:szCs w:val="18"/>
                <w:b w:val="1"/>
                <w:bCs w:val="1"/>
                <w:color w:val="auto"/>
              </w:rPr>
              <w:t>Amortization, Accretion and Other Expenses for Landfills:</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7"/>
          </w:tcPr>
          <w:p>
            <w:pPr>
              <w:ind w:left="2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Landfill amortization expense</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Cost basis of landfill assets</w:t>
            </w:r>
          </w:p>
        </w:tc>
        <w:tc>
          <w:tcPr>
            <w:tcW w:w="6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360" w:type="dxa"/>
            <w:vAlign w:val="bottom"/>
            <w:gridSpan w:val="2"/>
          </w:tcPr>
          <w:p>
            <w:pPr>
              <w:jc w:val="right"/>
              <w:ind w:right="187"/>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r>
      <w:tr>
        <w:trPr>
          <w:trHeight w:val="229"/>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 retirement costs</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r>
      <w:tr>
        <w:trPr>
          <w:trHeight w:val="210"/>
        </w:trPr>
        <w:tc>
          <w:tcPr>
            <w:tcW w:w="8120" w:type="dxa"/>
            <w:vAlign w:val="bottom"/>
          </w:tcPr>
          <w:p>
            <w:pPr>
              <w:ind w:left="340"/>
              <w:spacing w:after="0"/>
              <w:rPr>
                <w:sz w:val="20"/>
                <w:szCs w:val="20"/>
                <w:color w:val="auto"/>
              </w:rPr>
            </w:pPr>
            <w:r>
              <w:rPr>
                <w:rFonts w:ascii="Arial" w:cs="Arial" w:eastAsia="Arial" w:hAnsi="Arial"/>
                <w:sz w:val="18"/>
                <w:szCs w:val="18"/>
                <w:color w:val="auto"/>
              </w:rPr>
              <w:t>Total landfill amortization expense</w:t>
            </w:r>
          </w:p>
        </w:tc>
        <w:tc>
          <w:tcPr>
            <w:tcW w:w="32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center"/>
              <w:ind w:left="610"/>
              <w:spacing w:after="0"/>
              <w:rPr>
                <w:sz w:val="20"/>
                <w:szCs w:val="20"/>
                <w:color w:val="auto"/>
              </w:rPr>
            </w:pPr>
            <w:r>
              <w:rPr>
                <w:rFonts w:ascii="Arial" w:cs="Arial" w:eastAsia="Arial" w:hAnsi="Arial"/>
                <w:sz w:val="18"/>
                <w:szCs w:val="18"/>
                <w:color w:val="auto"/>
                <w:w w:val="86"/>
              </w:rPr>
              <w:t>138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r>
      <w:tr>
        <w:trPr>
          <w:trHeight w:val="223"/>
        </w:trPr>
        <w:tc>
          <w:tcPr>
            <w:tcW w:w="8120" w:type="dxa"/>
            <w:vAlign w:val="bottom"/>
          </w:tcPr>
          <w:p>
            <w:pPr>
              <w:ind w:left="180"/>
              <w:spacing w:after="0"/>
              <w:rPr>
                <w:sz w:val="20"/>
                <w:szCs w:val="20"/>
                <w:color w:val="auto"/>
              </w:rPr>
            </w:pPr>
            <w:r>
              <w:rPr>
                <w:rFonts w:ascii="Arial" w:cs="Arial" w:eastAsia="Arial" w:hAnsi="Arial"/>
                <w:sz w:val="18"/>
                <w:szCs w:val="18"/>
                <w:color w:val="auto"/>
              </w:rPr>
              <w:t>Landfill amortization, accretion and other related expense</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center"/>
              <w:ind w:left="610"/>
              <w:spacing w:after="0"/>
              <w:rPr>
                <w:sz w:val="20"/>
                <w:szCs w:val="20"/>
                <w:color w:val="auto"/>
              </w:rPr>
            </w:pPr>
            <w:r>
              <w:rPr>
                <w:rFonts w:ascii="Arial" w:cs="Arial" w:eastAsia="Arial" w:hAnsi="Arial"/>
                <w:sz w:val="18"/>
                <w:szCs w:val="18"/>
                <w:color w:val="auto"/>
                <w:w w:val="86"/>
              </w:rPr>
              <w:t>163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100" w:hanging="332"/>
        <w:spacing w:after="0" w:line="255" w:lineRule="auto"/>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2" w:lineRule="exact"/>
        <w:rPr>
          <w:rFonts w:ascii="Arial" w:cs="Arial" w:eastAsia="Arial" w:hAnsi="Arial"/>
          <w:sz w:val="18"/>
          <w:szCs w:val="18"/>
          <w:b w:val="1"/>
          <w:bCs w:val="1"/>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Represents amounts associated with business acquisitions consummated during the applicable period except where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150"/>
              <w:spacing w:after="0"/>
              <w:rPr>
                <w:sz w:val="20"/>
                <w:szCs w:val="20"/>
                <w:color w:val="auto"/>
              </w:rPr>
            </w:pPr>
            <w:r>
              <w:rPr>
                <w:rFonts w:ascii="Arial" w:cs="Arial" w:eastAsia="Arial" w:hAnsi="Arial"/>
                <w:sz w:val="18"/>
                <w:szCs w:val="18"/>
                <w:b w:val="1"/>
                <w:bCs w:val="1"/>
                <w:color w:val="auto"/>
                <w:w w:val="93"/>
              </w:rPr>
              <w:t>March 31, 2020</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320"/>
              <w:spacing w:after="0" w:line="191" w:lineRule="exact"/>
              <w:rPr>
                <w:sz w:val="20"/>
                <w:szCs w:val="20"/>
                <w:color w:val="auto"/>
              </w:rPr>
            </w:pPr>
            <w:r>
              <w:rPr>
                <w:rFonts w:ascii="Arial" w:cs="Arial" w:eastAsia="Arial" w:hAnsi="Arial"/>
                <w:sz w:val="18"/>
                <w:szCs w:val="18"/>
                <w:b w:val="1"/>
                <w:bCs w:val="1"/>
                <w:color w:val="auto"/>
                <w:w w:val="90"/>
              </w:rPr>
              <w:t>Income from</w:t>
            </w:r>
          </w:p>
        </w:tc>
        <w:tc>
          <w:tcPr>
            <w:tcW w:w="200" w:type="dxa"/>
            <w:vAlign w:val="bottom"/>
          </w:tcPr>
          <w:p>
            <w:pPr>
              <w:spacing w:after="0"/>
              <w:rPr>
                <w:sz w:val="16"/>
                <w:szCs w:val="16"/>
                <w:color w:val="auto"/>
              </w:rPr>
            </w:pPr>
          </w:p>
        </w:tc>
        <w:tc>
          <w:tcPr>
            <w:tcW w:w="110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1"/>
              </w:rPr>
              <w:t>Pre-tax</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center"/>
              <w:ind w:right="310"/>
              <w:spacing w:after="0" w:line="191" w:lineRule="exact"/>
              <w:rPr>
                <w:sz w:val="20"/>
                <w:szCs w:val="20"/>
                <w:color w:val="auto"/>
              </w:rPr>
            </w:pPr>
            <w:r>
              <w:rPr>
                <w:rFonts w:ascii="Arial" w:cs="Arial" w:eastAsia="Arial" w:hAnsi="Arial"/>
                <w:sz w:val="18"/>
                <w:szCs w:val="18"/>
                <w:b w:val="1"/>
                <w:bCs w:val="1"/>
                <w:color w:val="auto"/>
                <w:w w:val="90"/>
              </w:rPr>
              <w:t>Tax</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Net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Operations</w:t>
            </w:r>
          </w:p>
        </w:tc>
        <w:tc>
          <w:tcPr>
            <w:tcW w:w="20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Income</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86"/>
              </w:rPr>
              <w:t>Expense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Income (a)</w:t>
            </w:r>
          </w:p>
        </w:tc>
        <w:tc>
          <w:tcPr>
            <w:tcW w:w="80" w:type="dxa"/>
            <w:vAlign w:val="bottom"/>
          </w:tcPr>
          <w:p>
            <w:pPr>
              <w:spacing w:after="0"/>
              <w:rPr>
                <w:sz w:val="20"/>
                <w:szCs w:val="20"/>
                <w:color w:val="auto"/>
              </w:rPr>
            </w:pPr>
          </w:p>
        </w:tc>
        <w:tc>
          <w:tcPr>
            <w:tcW w:w="1340" w:type="dxa"/>
            <w:vAlign w:val="bottom"/>
            <w:gridSpan w:val="4"/>
          </w:tcPr>
          <w:p>
            <w:pPr>
              <w:ind w:left="60"/>
              <w:spacing w:after="0"/>
              <w:rPr>
                <w:sz w:val="20"/>
                <w:szCs w:val="20"/>
                <w:color w:val="auto"/>
              </w:rPr>
            </w:pPr>
            <w:r>
              <w:rPr>
                <w:rFonts w:ascii="Arial" w:cs="Arial" w:eastAsia="Arial" w:hAnsi="Arial"/>
                <w:sz w:val="18"/>
                <w:szCs w:val="18"/>
                <w:b w:val="1"/>
                <w:bCs w:val="1"/>
                <w:color w:val="auto"/>
              </w:rPr>
              <w:t>Share Amount</w:t>
            </w: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435</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gridSpan w:val="2"/>
            <w:shd w:val="clear" w:color="auto" w:fill="CCEEFF"/>
          </w:tcPr>
          <w:p>
            <w:pPr>
              <w:jc w:val="center"/>
              <w:ind w:left="710"/>
              <w:spacing w:after="0"/>
              <w:rPr>
                <w:sz w:val="20"/>
                <w:szCs w:val="20"/>
                <w:color w:val="auto"/>
              </w:rPr>
            </w:pPr>
            <w:r>
              <w:rPr>
                <w:rFonts w:ascii="Arial" w:cs="Arial" w:eastAsia="Arial" w:hAnsi="Arial"/>
                <w:sz w:val="18"/>
                <w:szCs w:val="18"/>
                <w:b w:val="1"/>
                <w:bCs w:val="1"/>
                <w:color w:val="auto"/>
                <w:w w:val="91"/>
              </w:rPr>
              <w:t>0.85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Advanced Disposal acquisition-related costs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left="610"/>
              <w:spacing w:after="0"/>
              <w:rPr>
                <w:sz w:val="20"/>
                <w:szCs w:val="20"/>
                <w:color w:val="auto"/>
              </w:rPr>
            </w:pPr>
            <w:r>
              <w:rPr>
                <w:rFonts w:ascii="Arial" w:cs="Arial" w:eastAsia="Arial" w:hAnsi="Arial"/>
                <w:sz w:val="18"/>
                <w:szCs w:val="18"/>
                <w:color w:val="auto"/>
                <w:w w:val="91"/>
              </w:rPr>
              <w:t>0.05</w:t>
            </w: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w w:val="93"/>
              </w:rPr>
              <w:t>Enterprise resource planning system related costs</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21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left="610"/>
              <w:spacing w:after="0"/>
              <w:rPr>
                <w:sz w:val="20"/>
                <w:szCs w:val="20"/>
                <w:color w:val="auto"/>
              </w:rPr>
            </w:pPr>
            <w:r>
              <w:rPr>
                <w:rFonts w:ascii="Arial" w:cs="Arial" w:eastAsia="Arial" w:hAnsi="Arial"/>
                <w:sz w:val="18"/>
                <w:szCs w:val="18"/>
                <w:color w:val="auto"/>
                <w:w w:val="91"/>
              </w:rPr>
              <w:t>0.01</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an investment and other</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center"/>
              <w:ind w:left="610"/>
              <w:spacing w:after="0"/>
              <w:rPr>
                <w:sz w:val="20"/>
                <w:szCs w:val="20"/>
                <w:color w:val="auto"/>
              </w:rPr>
            </w:pPr>
            <w:r>
              <w:rPr>
                <w:rFonts w:ascii="Arial" w:cs="Arial" w:eastAsia="Arial" w:hAnsi="Arial"/>
                <w:sz w:val="18"/>
                <w:szCs w:val="18"/>
                <w:color w:val="auto"/>
                <w:w w:val="91"/>
              </w:rPr>
              <w:t>0.02</w:t>
            </w:r>
          </w:p>
        </w:tc>
        <w:tc>
          <w:tcPr>
            <w:tcW w:w="0" w:type="dxa"/>
            <w:vAlign w:val="bottom"/>
          </w:tcPr>
          <w:p>
            <w:pPr>
              <w:spacing w:after="0"/>
              <w:rPr>
                <w:sz w:val="1"/>
                <w:szCs w:val="1"/>
                <w:color w:val="auto"/>
              </w:rPr>
            </w:pPr>
          </w:p>
        </w:tc>
      </w:tr>
      <w:tr>
        <w:trPr>
          <w:trHeight w:val="209"/>
        </w:trPr>
        <w:tc>
          <w:tcPr>
            <w:tcW w:w="39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center"/>
              <w:ind w:left="710"/>
              <w:spacing w:after="0"/>
              <w:rPr>
                <w:sz w:val="20"/>
                <w:szCs w:val="20"/>
                <w:color w:val="auto"/>
              </w:rPr>
            </w:pPr>
            <w:r>
              <w:rPr>
                <w:rFonts w:ascii="Arial" w:cs="Arial" w:eastAsia="Arial" w:hAnsi="Arial"/>
                <w:sz w:val="18"/>
                <w:szCs w:val="18"/>
                <w:color w:val="auto"/>
                <w:w w:val="91"/>
              </w:rPr>
              <w:t>0.08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adjusted amounts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(b)</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gridSpan w:val="2"/>
            <w:shd w:val="clear" w:color="auto" w:fill="CCEEFF"/>
          </w:tcPr>
          <w:p>
            <w:pPr>
              <w:jc w:val="center"/>
              <w:ind w:left="710"/>
              <w:spacing w:after="0"/>
              <w:rPr>
                <w:sz w:val="20"/>
                <w:szCs w:val="20"/>
                <w:color w:val="auto"/>
              </w:rPr>
            </w:pPr>
            <w:r>
              <w:rPr>
                <w:rFonts w:ascii="Arial" w:cs="Arial" w:eastAsia="Arial" w:hAnsi="Arial"/>
                <w:sz w:val="18"/>
                <w:szCs w:val="18"/>
                <w:b w:val="1"/>
                <w:bCs w:val="1"/>
                <w:color w:val="auto"/>
                <w:w w:val="91"/>
              </w:rPr>
              <w:t>0.93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adjusted operating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150"/>
              <w:spacing w:after="0"/>
              <w:rPr>
                <w:sz w:val="20"/>
                <w:szCs w:val="20"/>
                <w:color w:val="auto"/>
              </w:rPr>
            </w:pPr>
            <w:r>
              <w:rPr>
                <w:rFonts w:ascii="Arial" w:cs="Arial" w:eastAsia="Arial" w:hAnsi="Arial"/>
                <w:sz w:val="18"/>
                <w:szCs w:val="18"/>
                <w:b w:val="1"/>
                <w:bCs w:val="1"/>
                <w:color w:val="auto"/>
                <w:w w:val="93"/>
              </w:rPr>
              <w:t>March 31, 2019</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320"/>
              <w:spacing w:after="0" w:line="191" w:lineRule="exact"/>
              <w:rPr>
                <w:sz w:val="20"/>
                <w:szCs w:val="20"/>
                <w:color w:val="auto"/>
              </w:rPr>
            </w:pPr>
            <w:r>
              <w:rPr>
                <w:rFonts w:ascii="Arial" w:cs="Arial" w:eastAsia="Arial" w:hAnsi="Arial"/>
                <w:sz w:val="18"/>
                <w:szCs w:val="18"/>
                <w:b w:val="1"/>
                <w:bCs w:val="1"/>
                <w:color w:val="auto"/>
                <w:w w:val="90"/>
              </w:rPr>
              <w:t>Income from</w:t>
            </w:r>
          </w:p>
        </w:tc>
        <w:tc>
          <w:tcPr>
            <w:tcW w:w="200" w:type="dxa"/>
            <w:vAlign w:val="bottom"/>
          </w:tcPr>
          <w:p>
            <w:pPr>
              <w:spacing w:after="0"/>
              <w:rPr>
                <w:sz w:val="16"/>
                <w:szCs w:val="16"/>
                <w:color w:val="auto"/>
              </w:rPr>
            </w:pPr>
          </w:p>
        </w:tc>
        <w:tc>
          <w:tcPr>
            <w:tcW w:w="110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1"/>
              </w:rPr>
              <w:t>Pre-tax</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center"/>
              <w:ind w:right="310"/>
              <w:spacing w:after="0" w:line="191" w:lineRule="exact"/>
              <w:rPr>
                <w:sz w:val="20"/>
                <w:szCs w:val="20"/>
                <w:color w:val="auto"/>
              </w:rPr>
            </w:pPr>
            <w:r>
              <w:rPr>
                <w:rFonts w:ascii="Arial" w:cs="Arial" w:eastAsia="Arial" w:hAnsi="Arial"/>
                <w:sz w:val="18"/>
                <w:szCs w:val="18"/>
                <w:b w:val="1"/>
                <w:bCs w:val="1"/>
                <w:color w:val="auto"/>
                <w:w w:val="90"/>
              </w:rPr>
              <w:t>Tax</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Operations</w:t>
            </w:r>
          </w:p>
        </w:tc>
        <w:tc>
          <w:tcPr>
            <w:tcW w:w="20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Income</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86"/>
              </w:rPr>
              <w:t>Expense</w:t>
            </w:r>
          </w:p>
        </w:tc>
        <w:tc>
          <w:tcPr>
            <w:tcW w:w="80" w:type="dxa"/>
            <w:vAlign w:val="bottom"/>
          </w:tcPr>
          <w:p>
            <w:pPr>
              <w:spacing w:after="0"/>
              <w:rPr>
                <w:sz w:val="20"/>
                <w:szCs w:val="20"/>
                <w:color w:val="auto"/>
              </w:rPr>
            </w:pPr>
          </w:p>
        </w:tc>
        <w:tc>
          <w:tcPr>
            <w:tcW w:w="13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1"/>
              </w:rPr>
              <w:t>Net Income (a)</w:t>
            </w:r>
          </w:p>
        </w:tc>
        <w:tc>
          <w:tcPr>
            <w:tcW w:w="80" w:type="dxa"/>
            <w:vAlign w:val="bottom"/>
          </w:tcPr>
          <w:p>
            <w:pPr>
              <w:spacing w:after="0"/>
              <w:rPr>
                <w:sz w:val="20"/>
                <w:szCs w:val="20"/>
                <w:color w:val="auto"/>
              </w:rPr>
            </w:pPr>
          </w:p>
        </w:tc>
        <w:tc>
          <w:tcPr>
            <w:tcW w:w="1340" w:type="dxa"/>
            <w:vAlign w:val="bottom"/>
            <w:gridSpan w:val="4"/>
          </w:tcPr>
          <w:p>
            <w:pPr>
              <w:ind w:left="60"/>
              <w:spacing w:after="0"/>
              <w:rPr>
                <w:sz w:val="20"/>
                <w:szCs w:val="20"/>
                <w:color w:val="auto"/>
              </w:rPr>
            </w:pPr>
            <w:r>
              <w:rPr>
                <w:rFonts w:ascii="Arial" w:cs="Arial" w:eastAsia="Arial" w:hAnsi="Arial"/>
                <w:sz w:val="18"/>
                <w:szCs w:val="18"/>
                <w:b w:val="1"/>
                <w:bCs w:val="1"/>
                <w:color w:val="auto"/>
              </w:rPr>
              <w:t>Share Amount</w:t>
            </w: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462</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gridSpan w:val="2"/>
            <w:shd w:val="clear" w:color="auto" w:fill="CCEEFF"/>
          </w:tcPr>
          <w:p>
            <w:pPr>
              <w:jc w:val="center"/>
              <w:ind w:left="710"/>
              <w:spacing w:after="0"/>
              <w:rPr>
                <w:sz w:val="20"/>
                <w:szCs w:val="20"/>
                <w:color w:val="auto"/>
              </w:rPr>
            </w:pPr>
            <w:r>
              <w:rPr>
                <w:rFonts w:ascii="Arial" w:cs="Arial" w:eastAsia="Arial" w:hAnsi="Arial"/>
                <w:sz w:val="18"/>
                <w:szCs w:val="18"/>
                <w:b w:val="1"/>
                <w:bCs w:val="1"/>
                <w:color w:val="auto"/>
                <w:w w:val="91"/>
              </w:rPr>
              <w:t>0.81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an investment and other</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center"/>
              <w:ind w:left="610"/>
              <w:spacing w:after="0"/>
              <w:rPr>
                <w:sz w:val="20"/>
                <w:szCs w:val="20"/>
                <w:color w:val="auto"/>
              </w:rPr>
            </w:pPr>
            <w:r>
              <w:rPr>
                <w:rFonts w:ascii="Arial" w:cs="Arial" w:eastAsia="Arial" w:hAnsi="Arial"/>
                <w:sz w:val="18"/>
                <w:szCs w:val="18"/>
                <w:color w:val="auto"/>
                <w:w w:val="91"/>
              </w:rPr>
              <w:t>0.13</w:t>
            </w:r>
          </w:p>
        </w:tc>
        <w:tc>
          <w:tcPr>
            <w:tcW w:w="0" w:type="dxa"/>
            <w:vAlign w:val="bottom"/>
          </w:tcPr>
          <w:p>
            <w:pPr>
              <w:spacing w:after="0"/>
              <w:rPr>
                <w:sz w:val="1"/>
                <w:szCs w:val="1"/>
                <w:color w:val="auto"/>
              </w:rPr>
            </w:pPr>
          </w:p>
        </w:tc>
      </w:tr>
      <w:tr>
        <w:trPr>
          <w:trHeight w:val="263"/>
        </w:trPr>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As adjusted amounts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517</w:t>
            </w: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(b)</w:t>
            </w:r>
          </w:p>
        </w:tc>
        <w:tc>
          <w:tcPr>
            <w:tcW w:w="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402</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gridSpan w:val="2"/>
          </w:tcPr>
          <w:p>
            <w:pPr>
              <w:jc w:val="center"/>
              <w:ind w:left="710"/>
              <w:spacing w:after="0"/>
              <w:rPr>
                <w:sz w:val="20"/>
                <w:szCs w:val="20"/>
                <w:color w:val="auto"/>
              </w:rPr>
            </w:pPr>
            <w:r>
              <w:rPr>
                <w:rFonts w:ascii="Arial" w:cs="Arial" w:eastAsia="Arial" w:hAnsi="Arial"/>
                <w:sz w:val="18"/>
                <w:szCs w:val="18"/>
                <w:b w:val="1"/>
                <w:bCs w:val="1"/>
                <w:color w:val="auto"/>
                <w:w w:val="91"/>
              </w:rPr>
              <w:t>0.94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b w:val="1"/>
                <w:bCs w:val="1"/>
                <w:color w:val="auto"/>
              </w:rPr>
              <w:t>As adjusted operating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80" w:type="dxa"/>
            <w:vAlign w:val="bottom"/>
            <w:gridSpan w:val="7"/>
            <w:vMerge w:val="restart"/>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80" w:type="dxa"/>
            <w:vAlign w:val="bottom"/>
            <w:gridSpan w:val="6"/>
          </w:tcPr>
          <w:p>
            <w:pPr>
              <w:jc w:val="right"/>
              <w:ind w:right="950"/>
              <w:spacing w:after="0"/>
              <w:rPr>
                <w:sz w:val="20"/>
                <w:szCs w:val="20"/>
                <w:color w:val="auto"/>
              </w:rPr>
            </w:pPr>
            <w:r>
              <w:rPr>
                <w:rFonts w:ascii="Arial" w:cs="Arial" w:eastAsia="Arial" w:hAnsi="Arial"/>
                <w:sz w:val="18"/>
                <w:szCs w:val="18"/>
                <w:b w:val="1"/>
                <w:bCs w:val="1"/>
                <w:color w:val="auto"/>
              </w:rPr>
              <w:t>March 31, 2020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6"/>
          </w:tcPr>
          <w:p>
            <w:pPr>
              <w:ind w:left="520"/>
              <w:spacing w:after="0"/>
              <w:rPr>
                <w:sz w:val="20"/>
                <w:szCs w:val="20"/>
                <w:color w:val="auto"/>
              </w:rPr>
            </w:pPr>
            <w:r>
              <w:rPr>
                <w:rFonts w:ascii="Arial" w:cs="Arial" w:eastAsia="Arial" w:hAnsi="Arial"/>
                <w:sz w:val="18"/>
                <w:szCs w:val="18"/>
                <w:b w:val="1"/>
                <w:bCs w:val="1"/>
                <w:color w:val="auto"/>
              </w:rPr>
              <w:t>March 31, 2019</w:t>
            </w:r>
          </w:p>
        </w:tc>
        <w:tc>
          <w:tcPr>
            <w:tcW w:w="1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3"/>
              </w:rPr>
              <w:t>As a % of</w:t>
            </w:r>
          </w:p>
        </w:tc>
        <w:tc>
          <w:tcPr>
            <w:tcW w:w="3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As a % of</w:t>
            </w:r>
          </w:p>
        </w:tc>
        <w:tc>
          <w:tcPr>
            <w:tcW w:w="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97"/>
              </w:rPr>
              <w:t>Adjusted SG&amp;A Expenses and Adjusted SG&amp;A Expenses Margin</w:t>
            </w:r>
          </w:p>
        </w:tc>
        <w:tc>
          <w:tcPr>
            <w:tcW w:w="20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86"/>
              </w:rPr>
              <w:t>Revenues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w w:val="99"/>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rPr>
              <w:t>Revenues</w:t>
            </w: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 as reported</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3,729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3,696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SG&amp;A expenses, as reported</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11.4%</w:t>
            </w:r>
          </w:p>
        </w:tc>
        <w:tc>
          <w:tcPr>
            <w:tcW w:w="22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left="630"/>
              <w:spacing w:after="0"/>
              <w:rPr>
                <w:sz w:val="20"/>
                <w:szCs w:val="20"/>
                <w:color w:val="auto"/>
              </w:rPr>
            </w:pPr>
            <w:r>
              <w:rPr>
                <w:rFonts w:ascii="Arial" w:cs="Arial" w:eastAsia="Arial" w:hAnsi="Arial"/>
                <w:sz w:val="18"/>
                <w:szCs w:val="18"/>
                <w:b w:val="1"/>
                <w:bCs w:val="1"/>
                <w:color w:val="auto"/>
                <w:w w:val="97"/>
              </w:rPr>
              <w:t>11.1%</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Advanced Disposal acquisition-related costs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w w:val="93"/>
              </w:rPr>
              <w:t>Enterprise resource planning system related costs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SG&amp;A expenses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10.5%</w:t>
            </w:r>
          </w:p>
        </w:tc>
        <w:tc>
          <w:tcPr>
            <w:tcW w:w="220" w:type="dxa"/>
            <w:vAlign w:val="bottom"/>
            <w:tcBorders>
              <w:top w:val="single" w:sz="8" w:color="auto"/>
              <w:bottom w:val="single" w:sz="8" w:color="auto"/>
            </w:tcBorders>
            <w:gridSpan w:val="2"/>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CCEEFF"/>
              <w:bottom w:val="single" w:sz="8" w:color="CCEEFF"/>
            </w:tcBorders>
            <w:gridSpan w:val="3"/>
            <w:shd w:val="clear" w:color="auto" w:fill="CCEEFF"/>
          </w:tcPr>
          <w:p>
            <w:pPr>
              <w:jc w:val="center"/>
              <w:ind w:left="630"/>
              <w:spacing w:after="0"/>
              <w:rPr>
                <w:sz w:val="20"/>
                <w:szCs w:val="20"/>
                <w:color w:val="auto"/>
              </w:rPr>
            </w:pPr>
            <w:r>
              <w:rPr>
                <w:rFonts w:ascii="Arial" w:cs="Arial" w:eastAsia="Arial" w:hAnsi="Arial"/>
                <w:sz w:val="18"/>
                <w:szCs w:val="18"/>
                <w:b w:val="1"/>
                <w:bCs w:val="1"/>
                <w:color w:val="auto"/>
                <w:w w:val="97"/>
              </w:rPr>
              <w:t>11.1%</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440" w:hanging="332"/>
        <w:spacing w:after="0" w:line="277" w:lineRule="auto"/>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For purposes of this press release table, all references to "Net income" refer to the financial statement line item "Net income attributable to Waste Management, Inc."</w:t>
      </w:r>
    </w:p>
    <w:p>
      <w:pPr>
        <w:spacing w:after="0" w:line="170" w:lineRule="exact"/>
        <w:rPr>
          <w:rFonts w:ascii="Arial" w:cs="Arial" w:eastAsia="Arial" w:hAnsi="Arial"/>
          <w:sz w:val="18"/>
          <w:szCs w:val="18"/>
          <w:b w:val="1"/>
          <w:bCs w:val="1"/>
          <w:color w:val="auto"/>
        </w:rPr>
      </w:pPr>
    </w:p>
    <w:p>
      <w:pPr>
        <w:ind w:left="340" w:right="200" w:hanging="332"/>
        <w:spacing w:after="0" w:line="263" w:lineRule="auto"/>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While the Company calculates its effective tax rate based on actual dollars, an approximate effective tax rate can be calculated by dividing the Tax Expense amount in the table above by the Pre-tax Income amount. The adjusted effective tax rate was 17.6% and 22.2% for the quarter ended March 31,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0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2020-05-06T06:40:31Z</dcterms:created>
  <dcterms:modified xsi:type="dcterms:W3CDTF">2020-05-06T06:40:31Z</dcterms:modified>
</cp:coreProperties>
</file>