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16"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left="520" w:right="1400" w:hanging="373"/>
        <w:spacing w:after="0" w:line="382" w:lineRule="auto"/>
        <w:tabs>
          <w:tab w:leader="none" w:pos="526"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AND EXCHANGE ACT OF 1934 For the fiscal year ended December 31,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3" w:lineRule="exact"/>
        <w:rPr>
          <w:sz w:val="24"/>
          <w:szCs w:val="24"/>
          <w:color w:val="auto"/>
        </w:rPr>
      </w:pPr>
    </w:p>
    <w:p>
      <w:pPr>
        <w:ind w:left="540" w:hanging="393"/>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AND EXCHANGE ACT OF 1934</w:t>
      </w:r>
    </w:p>
    <w:p>
      <w:pPr>
        <w:spacing w:after="0" w:line="95" w:lineRule="exact"/>
        <w:rPr>
          <w:sz w:val="24"/>
          <w:szCs w:val="24"/>
          <w:color w:val="auto"/>
        </w:rPr>
      </w:pPr>
    </w:p>
    <w:tbl>
      <w:tblPr>
        <w:tblLayout w:type="fixed"/>
        <w:tblInd w:w="260" w:type="dxa"/>
        <w:tblCellMar>
          <w:top w:w="0" w:type="dxa"/>
          <w:left w:w="0" w:type="dxa"/>
          <w:bottom w:w="0" w:type="dxa"/>
          <w:right w:w="0" w:type="dxa"/>
        </w:tblCellMar>
      </w:tblPr>
      <w:tr>
        <w:trPr>
          <w:trHeight w:val="210"/>
        </w:trPr>
        <w:tc>
          <w:tcPr>
            <w:tcW w:w="2700" w:type="dxa"/>
            <w:vAlign w:val="bottom"/>
            <w:gridSpan w:val="3"/>
          </w:tcPr>
          <w:p>
            <w:pPr>
              <w:ind w:left="260"/>
              <w:spacing w:after="0"/>
              <w:rPr>
                <w:sz w:val="20"/>
                <w:szCs w:val="20"/>
                <w:color w:val="auto"/>
              </w:rPr>
            </w:pPr>
            <w:r>
              <w:rPr>
                <w:rFonts w:ascii="Arial" w:cs="Arial" w:eastAsia="Arial" w:hAnsi="Arial"/>
                <w:sz w:val="16"/>
                <w:szCs w:val="16"/>
                <w:b w:val="1"/>
                <w:bCs w:val="1"/>
                <w:color w:val="auto"/>
              </w:rPr>
              <w:t>For the transition period from</w:t>
            </w:r>
          </w:p>
        </w:tc>
        <w:tc>
          <w:tcPr>
            <w:tcW w:w="4160" w:type="dxa"/>
            <w:vAlign w:val="bottom"/>
            <w:gridSpan w:val="3"/>
          </w:tcPr>
          <w:p>
            <w:pPr>
              <w:ind w:left="140"/>
              <w:spacing w:after="0"/>
              <w:rPr>
                <w:sz w:val="20"/>
                <w:szCs w:val="20"/>
                <w:color w:val="auto"/>
              </w:rPr>
            </w:pPr>
            <w:r>
              <w:rPr>
                <w:rFonts w:ascii="Arial" w:cs="Arial" w:eastAsia="Arial" w:hAnsi="Arial"/>
                <w:sz w:val="16"/>
                <w:szCs w:val="16"/>
                <w:b w:val="1"/>
                <w:bCs w:val="1"/>
                <w:color w:val="auto"/>
              </w:rPr>
              <w:t>to</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60" w:type="dxa"/>
            <w:vAlign w:val="bottom"/>
            <w:gridSpan w:val="3"/>
          </w:tcPr>
          <w:p>
            <w:pPr>
              <w:jc w:val="center"/>
              <w:ind w:left="69"/>
              <w:spacing w:after="0"/>
              <w:rPr>
                <w:sz w:val="20"/>
                <w:szCs w:val="20"/>
                <w:color w:val="auto"/>
              </w:rPr>
            </w:pPr>
            <w:r>
              <w:rPr>
                <w:rFonts w:ascii="Arial" w:cs="Arial" w:eastAsia="Arial" w:hAnsi="Arial"/>
                <w:sz w:val="16"/>
                <w:szCs w:val="16"/>
                <w:b w:val="1"/>
                <w:bCs w:val="1"/>
                <w:color w:val="auto"/>
                <w:w w:val="91"/>
              </w:rPr>
              <w:t>Commission file number 1-12154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80" w:type="dxa"/>
            <w:vAlign w:val="bottom"/>
            <w:gridSpan w:val="4"/>
          </w:tcPr>
          <w:p>
            <w:pPr>
              <w:jc w:val="center"/>
              <w:ind w:right="2588"/>
              <w:spacing w:after="0"/>
              <w:rPr>
                <w:sz w:val="20"/>
                <w:szCs w:val="20"/>
                <w:color w:val="auto"/>
              </w:rPr>
            </w:pPr>
            <w:r>
              <w:rPr>
                <w:rFonts w:ascii="Arial" w:cs="Arial" w:eastAsia="Arial" w:hAnsi="Arial"/>
                <w:sz w:val="40"/>
                <w:szCs w:val="40"/>
                <w:b w:val="1"/>
                <w:bCs w:val="1"/>
                <w:color w:val="auto"/>
                <w:w w:val="90"/>
              </w:rPr>
              <w:t>Waste Management, Inc.</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160" w:type="dxa"/>
            <w:vAlign w:val="bottom"/>
            <w:gridSpan w:val="3"/>
          </w:tcPr>
          <w:p>
            <w:pPr>
              <w:jc w:val="center"/>
              <w:ind w:left="69"/>
              <w:spacing w:after="0"/>
              <w:rPr>
                <w:sz w:val="20"/>
                <w:szCs w:val="20"/>
                <w:color w:val="auto"/>
              </w:rPr>
            </w:pPr>
            <w:r>
              <w:rPr>
                <w:rFonts w:ascii="Arial" w:cs="Arial" w:eastAsia="Arial" w:hAnsi="Arial"/>
                <w:sz w:val="13"/>
                <w:szCs w:val="13"/>
                <w:i w:val="1"/>
                <w:iCs w:val="1"/>
                <w:color w:val="auto"/>
                <w:w w:val="89"/>
              </w:rPr>
              <w:t>(Exact name of registrant as specified in its charter)</w:t>
            </w: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1820" w:type="dxa"/>
            <w:vAlign w:val="bottom"/>
            <w:gridSpan w:val="2"/>
          </w:tcPr>
          <w:p>
            <w:pPr>
              <w:jc w:val="center"/>
              <w:ind w:left="968"/>
              <w:spacing w:after="0"/>
              <w:rPr>
                <w:sz w:val="20"/>
                <w:szCs w:val="20"/>
                <w:color w:val="auto"/>
              </w:rPr>
            </w:pPr>
            <w:r>
              <w:rPr>
                <w:rFonts w:ascii="Arial" w:cs="Arial" w:eastAsia="Arial" w:hAnsi="Arial"/>
                <w:sz w:val="14"/>
                <w:szCs w:val="14"/>
                <w:b w:val="1"/>
                <w:bCs w:val="1"/>
                <w:color w:val="auto"/>
                <w:w w:val="94"/>
              </w:rPr>
              <w:t>Delaware</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tcPr>
          <w:p>
            <w:pPr>
              <w:jc w:val="right"/>
              <w:ind w:right="1828"/>
              <w:spacing w:after="0"/>
              <w:rPr>
                <w:sz w:val="20"/>
                <w:szCs w:val="20"/>
                <w:color w:val="auto"/>
              </w:rPr>
            </w:pPr>
            <w:r>
              <w:rPr>
                <w:rFonts w:ascii="Arial" w:cs="Arial" w:eastAsia="Arial" w:hAnsi="Arial"/>
                <w:sz w:val="14"/>
                <w:szCs w:val="14"/>
                <w:b w:val="1"/>
                <w:bCs w:val="1"/>
                <w:color w:val="auto"/>
              </w:rPr>
              <w:t>73-1309529</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980" w:type="dxa"/>
            <w:vAlign w:val="bottom"/>
            <w:gridSpan w:val="5"/>
          </w:tcPr>
          <w:p>
            <w:pPr>
              <w:jc w:val="center"/>
              <w:ind w:right="3120"/>
              <w:spacing w:after="0" w:line="149" w:lineRule="exact"/>
              <w:rPr>
                <w:sz w:val="20"/>
                <w:szCs w:val="20"/>
                <w:color w:val="auto"/>
              </w:rPr>
            </w:pPr>
            <w:r>
              <w:rPr>
                <w:rFonts w:ascii="Arial" w:cs="Arial" w:eastAsia="Arial" w:hAnsi="Arial"/>
                <w:sz w:val="14"/>
                <w:szCs w:val="14"/>
                <w:i w:val="1"/>
                <w:iCs w:val="1"/>
                <w:color w:val="auto"/>
                <w:w w:val="97"/>
              </w:rPr>
              <w:t>(State or other jurisdiction of</w:t>
            </w:r>
          </w:p>
        </w:tc>
        <w:tc>
          <w:tcPr>
            <w:tcW w:w="2820" w:type="dxa"/>
            <w:vAlign w:val="bottom"/>
          </w:tcPr>
          <w:p>
            <w:pPr>
              <w:jc w:val="center"/>
              <w:ind w:right="1628"/>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980" w:type="dxa"/>
            <w:vAlign w:val="bottom"/>
            <w:gridSpan w:val="5"/>
          </w:tcPr>
          <w:p>
            <w:pPr>
              <w:jc w:val="center"/>
              <w:ind w:right="3120"/>
              <w:spacing w:after="0"/>
              <w:rPr>
                <w:sz w:val="20"/>
                <w:szCs w:val="20"/>
                <w:color w:val="auto"/>
              </w:rPr>
            </w:pPr>
            <w:r>
              <w:rPr>
                <w:rFonts w:ascii="Arial" w:cs="Arial" w:eastAsia="Arial" w:hAnsi="Arial"/>
                <w:sz w:val="14"/>
                <w:szCs w:val="14"/>
                <w:i w:val="1"/>
                <w:iCs w:val="1"/>
                <w:color w:val="auto"/>
                <w:w w:val="97"/>
              </w:rPr>
              <w:t>incorporation or organization)</w:t>
            </w:r>
          </w:p>
        </w:tc>
        <w:tc>
          <w:tcPr>
            <w:tcW w:w="2820" w:type="dxa"/>
            <w:vAlign w:val="bottom"/>
          </w:tcPr>
          <w:p>
            <w:pPr>
              <w:jc w:val="center"/>
              <w:ind w:right="160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205"/>
        </w:trPr>
        <w:tc>
          <w:tcPr>
            <w:tcW w:w="880" w:type="dxa"/>
            <w:vAlign w:val="bottom"/>
          </w:tcPr>
          <w:p>
            <w:pPr>
              <w:spacing w:after="0"/>
              <w:rPr>
                <w:sz w:val="17"/>
                <w:szCs w:val="17"/>
                <w:color w:val="auto"/>
              </w:rPr>
            </w:pPr>
          </w:p>
        </w:tc>
        <w:tc>
          <w:tcPr>
            <w:tcW w:w="5980" w:type="dxa"/>
            <w:vAlign w:val="bottom"/>
            <w:gridSpan w:val="5"/>
          </w:tcPr>
          <w:p>
            <w:pPr>
              <w:jc w:val="center"/>
              <w:ind w:right="3120"/>
              <w:spacing w:after="0"/>
              <w:rPr>
                <w:sz w:val="20"/>
                <w:szCs w:val="20"/>
                <w:color w:val="auto"/>
              </w:rPr>
            </w:pPr>
            <w:r>
              <w:rPr>
                <w:rFonts w:ascii="Arial" w:cs="Arial" w:eastAsia="Arial" w:hAnsi="Arial"/>
                <w:sz w:val="14"/>
                <w:szCs w:val="14"/>
                <w:b w:val="1"/>
                <w:bCs w:val="1"/>
                <w:color w:val="auto"/>
                <w:w w:val="92"/>
              </w:rPr>
              <w:t>800 Capitol Street</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20" w:type="dxa"/>
            <w:vAlign w:val="bottom"/>
            <w:gridSpan w:val="2"/>
          </w:tcPr>
          <w:p>
            <w:pPr>
              <w:jc w:val="center"/>
              <w:ind w:left="988"/>
              <w:spacing w:after="0" w:line="149" w:lineRule="exact"/>
              <w:rPr>
                <w:sz w:val="20"/>
                <w:szCs w:val="20"/>
                <w:color w:val="auto"/>
              </w:rPr>
            </w:pPr>
            <w:r>
              <w:rPr>
                <w:rFonts w:ascii="Arial" w:cs="Arial" w:eastAsia="Arial" w:hAnsi="Arial"/>
                <w:sz w:val="14"/>
                <w:szCs w:val="14"/>
                <w:b w:val="1"/>
                <w:bCs w:val="1"/>
                <w:color w:val="auto"/>
                <w:w w:val="92"/>
              </w:rPr>
              <w:t>Suite 3000</w:t>
            </w: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vMerge w:val="restart"/>
          </w:tcPr>
          <w:p>
            <w:pPr>
              <w:jc w:val="right"/>
              <w:ind w:right="2008"/>
              <w:spacing w:after="0"/>
              <w:rPr>
                <w:sz w:val="20"/>
                <w:szCs w:val="20"/>
                <w:color w:val="auto"/>
              </w:rPr>
            </w:pPr>
            <w:r>
              <w:rPr>
                <w:rFonts w:ascii="Arial" w:cs="Arial" w:eastAsia="Arial" w:hAnsi="Arial"/>
                <w:sz w:val="14"/>
                <w:szCs w:val="14"/>
                <w:b w:val="1"/>
                <w:bCs w:val="1"/>
                <w:color w:val="auto"/>
              </w:rPr>
              <w:t>77002</w:t>
            </w:r>
          </w:p>
        </w:tc>
        <w:tc>
          <w:tcPr>
            <w:tcW w:w="0" w:type="dxa"/>
            <w:vAlign w:val="bottom"/>
          </w:tcPr>
          <w:p>
            <w:pPr>
              <w:spacing w:after="0"/>
              <w:rPr>
                <w:sz w:val="1"/>
                <w:szCs w:val="1"/>
                <w:color w:val="auto"/>
              </w:rPr>
            </w:pPr>
          </w:p>
        </w:tc>
      </w:tr>
      <w:tr>
        <w:trPr>
          <w:trHeight w:val="153"/>
        </w:trPr>
        <w:tc>
          <w:tcPr>
            <w:tcW w:w="880" w:type="dxa"/>
            <w:vAlign w:val="bottom"/>
          </w:tcPr>
          <w:p>
            <w:pPr>
              <w:spacing w:after="0"/>
              <w:rPr>
                <w:sz w:val="13"/>
                <w:szCs w:val="13"/>
                <w:color w:val="auto"/>
              </w:rPr>
            </w:pPr>
          </w:p>
        </w:tc>
        <w:tc>
          <w:tcPr>
            <w:tcW w:w="5980" w:type="dxa"/>
            <w:vAlign w:val="bottom"/>
            <w:gridSpan w:val="5"/>
          </w:tcPr>
          <w:p>
            <w:pPr>
              <w:jc w:val="center"/>
              <w:ind w:right="3120"/>
              <w:spacing w:after="0" w:line="153" w:lineRule="exact"/>
              <w:rPr>
                <w:sz w:val="20"/>
                <w:szCs w:val="20"/>
                <w:color w:val="auto"/>
              </w:rPr>
            </w:pPr>
            <w:r>
              <w:rPr>
                <w:rFonts w:ascii="Arial" w:cs="Arial" w:eastAsia="Arial" w:hAnsi="Arial"/>
                <w:sz w:val="14"/>
                <w:szCs w:val="14"/>
                <w:b w:val="1"/>
                <w:bCs w:val="1"/>
                <w:color w:val="auto"/>
                <w:w w:val="90"/>
              </w:rPr>
              <w:t>Houston, Texas</w:t>
            </w:r>
          </w:p>
        </w:tc>
        <w:tc>
          <w:tcPr>
            <w:tcW w:w="2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980" w:type="dxa"/>
            <w:vAlign w:val="bottom"/>
            <w:gridSpan w:val="5"/>
          </w:tcPr>
          <w:p>
            <w:pPr>
              <w:jc w:val="center"/>
              <w:ind w:right="3120"/>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820" w:type="dxa"/>
            <w:vAlign w:val="bottom"/>
          </w:tcPr>
          <w:p>
            <w:pPr>
              <w:jc w:val="center"/>
              <w:ind w:right="1628"/>
              <w:spacing w:after="0"/>
              <w:rPr>
                <w:sz w:val="20"/>
                <w:szCs w:val="20"/>
                <w:color w:val="auto"/>
              </w:rPr>
            </w:pPr>
            <w:r>
              <w:rPr>
                <w:rFonts w:ascii="Arial" w:cs="Arial" w:eastAsia="Arial" w:hAnsi="Arial"/>
                <w:sz w:val="14"/>
                <w:szCs w:val="14"/>
                <w:i w:val="1"/>
                <w:iCs w:val="1"/>
                <w:color w:val="auto"/>
                <w:w w:val="95"/>
              </w:rPr>
              <w:t>(Zip code)</w:t>
            </w:r>
          </w:p>
        </w:tc>
        <w:tc>
          <w:tcPr>
            <w:tcW w:w="0" w:type="dxa"/>
            <w:vAlign w:val="bottom"/>
          </w:tcPr>
          <w:p>
            <w:pPr>
              <w:spacing w:after="0"/>
              <w:rPr>
                <w:sz w:val="1"/>
                <w:szCs w:val="1"/>
                <w:color w:val="auto"/>
              </w:rPr>
            </w:pPr>
          </w:p>
        </w:tc>
      </w:tr>
      <w:tr>
        <w:trPr>
          <w:trHeight w:val="205"/>
        </w:trPr>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
          </w:tcPr>
          <w:p>
            <w:pPr>
              <w:jc w:val="center"/>
              <w:ind w:left="69"/>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60" w:type="dxa"/>
            <w:vAlign w:val="bottom"/>
            <w:gridSpan w:val="2"/>
          </w:tcPr>
          <w:p>
            <w:pPr>
              <w:jc w:val="center"/>
              <w:ind w:left="1589"/>
              <w:spacing w:after="0"/>
              <w:rPr>
                <w:sz w:val="20"/>
                <w:szCs w:val="20"/>
                <w:color w:val="auto"/>
              </w:rPr>
            </w:pPr>
            <w:r>
              <w:rPr>
                <w:rFonts w:ascii="Arial" w:cs="Arial" w:eastAsia="Arial" w:hAnsi="Arial"/>
                <w:sz w:val="14"/>
                <w:szCs w:val="14"/>
                <w:b w:val="1"/>
                <w:bCs w:val="1"/>
                <w:color w:val="auto"/>
                <w:w w:val="93"/>
              </w:rPr>
              <w:t>(713) 512-6200</w:t>
            </w:r>
          </w:p>
        </w:tc>
        <w:tc>
          <w:tcPr>
            <w:tcW w:w="1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60" w:type="dxa"/>
            <w:vAlign w:val="bottom"/>
            <w:gridSpan w:val="3"/>
          </w:tcPr>
          <w:p>
            <w:pPr>
              <w:jc w:val="center"/>
              <w:ind w:left="69"/>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500" w:type="dxa"/>
            <w:vAlign w:val="bottom"/>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6"/>
        </w:trPr>
        <w:tc>
          <w:tcPr>
            <w:tcW w:w="2040" w:type="dxa"/>
            <w:vAlign w:val="bottom"/>
            <w:gridSpan w:val="2"/>
          </w:tcPr>
          <w:p>
            <w:pPr>
              <w:ind w:left="520"/>
              <w:spacing w:after="0"/>
              <w:rPr>
                <w:sz w:val="20"/>
                <w:szCs w:val="20"/>
                <w:color w:val="auto"/>
              </w:rPr>
            </w:pPr>
            <w:r>
              <w:rPr>
                <w:rFonts w:ascii="Arial" w:cs="Arial" w:eastAsia="Arial" w:hAnsi="Arial"/>
                <w:sz w:val="14"/>
                <w:szCs w:val="14"/>
                <w:color w:val="auto"/>
                <w:w w:val="92"/>
              </w:rPr>
              <w:t>Common Stock, $0.01 par</w:t>
            </w:r>
          </w:p>
        </w:tc>
        <w:tc>
          <w:tcPr>
            <w:tcW w:w="660" w:type="dxa"/>
            <w:vAlign w:val="bottom"/>
          </w:tcPr>
          <w:p>
            <w:pPr>
              <w:ind w:left="40"/>
              <w:spacing w:after="0"/>
              <w:rPr>
                <w:sz w:val="20"/>
                <w:szCs w:val="20"/>
                <w:color w:val="auto"/>
              </w:rPr>
            </w:pPr>
            <w:r>
              <w:rPr>
                <w:rFonts w:ascii="Arial" w:cs="Arial" w:eastAsia="Arial" w:hAnsi="Arial"/>
                <w:sz w:val="14"/>
                <w:szCs w:val="14"/>
                <w:color w:val="auto"/>
              </w:rPr>
              <w:t>value</w:t>
            </w:r>
          </w:p>
        </w:tc>
        <w:tc>
          <w:tcPr>
            <w:tcW w:w="1660" w:type="dxa"/>
            <w:vAlign w:val="bottom"/>
          </w:tcPr>
          <w:p>
            <w:pPr>
              <w:spacing w:after="0"/>
              <w:rPr>
                <w:sz w:val="15"/>
                <w:szCs w:val="15"/>
                <w:color w:val="auto"/>
              </w:rPr>
            </w:pPr>
          </w:p>
        </w:tc>
        <w:tc>
          <w:tcPr>
            <w:tcW w:w="2500" w:type="dxa"/>
            <w:vAlign w:val="bottom"/>
            <w:gridSpan w:val="2"/>
          </w:tcPr>
          <w:p>
            <w:pPr>
              <w:jc w:val="center"/>
              <w:ind w:right="1520"/>
              <w:spacing w:after="0"/>
              <w:rPr>
                <w:sz w:val="20"/>
                <w:szCs w:val="20"/>
                <w:color w:val="auto"/>
              </w:rPr>
            </w:pPr>
            <w:r>
              <w:rPr>
                <w:rFonts w:ascii="Arial" w:cs="Arial" w:eastAsia="Arial" w:hAnsi="Arial"/>
                <w:sz w:val="14"/>
                <w:szCs w:val="14"/>
                <w:color w:val="auto"/>
              </w:rPr>
              <w:t>WM</w:t>
            </w:r>
          </w:p>
        </w:tc>
        <w:tc>
          <w:tcPr>
            <w:tcW w:w="282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40"/>
        </w:trPr>
        <w:tc>
          <w:tcPr>
            <w:tcW w:w="686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by Rule 405 of the Securities Act.</w:t>
            </w:r>
          </w:p>
        </w:tc>
        <w:tc>
          <w:tcPr>
            <w:tcW w:w="28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260"/>
        <w:spacing w:after="0" w:line="161" w:lineRule="exact"/>
        <w:tabs>
          <w:tab w:leader="none" w:pos="772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3" w:lineRule="exact"/>
        <w:rPr>
          <w:sz w:val="24"/>
          <w:szCs w:val="24"/>
          <w:color w:val="auto"/>
        </w:rPr>
      </w:pPr>
    </w:p>
    <w:p>
      <w:pPr>
        <w:jc w:val="both"/>
        <w:ind w:left="20" w:firstLine="25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61" w:lineRule="exact"/>
        <w:tabs>
          <w:tab w:leader="none" w:pos="5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5" w:lineRule="exact"/>
        <w:rPr>
          <w:sz w:val="24"/>
          <w:szCs w:val="24"/>
          <w:color w:val="auto"/>
        </w:rPr>
      </w:pPr>
    </w:p>
    <w:p>
      <w:pPr>
        <w:ind w:left="26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Regulations S-T (§</w:t>
      </w:r>
    </w:p>
    <w:p>
      <w:pPr>
        <w:spacing w:after="0" w:line="19" w:lineRule="exact"/>
        <w:rPr>
          <w:sz w:val="24"/>
          <w:szCs w:val="24"/>
          <w:color w:val="auto"/>
        </w:rPr>
      </w:pPr>
    </w:p>
    <w:p>
      <w:pPr>
        <w:ind w:left="20"/>
        <w:spacing w:after="0" w:line="150" w:lineRule="exact"/>
        <w:tabs>
          <w:tab w:leader="none" w:pos="8960" w:val="left"/>
        </w:tabs>
        <w:rPr>
          <w:sz w:val="20"/>
          <w:szCs w:val="20"/>
          <w:color w:val="auto"/>
        </w:rPr>
      </w:pPr>
      <w:r>
        <w:rPr>
          <w:rFonts w:ascii="Arial" w:cs="Arial" w:eastAsia="Arial" w:hAnsi="Arial"/>
          <w:sz w:val="13"/>
          <w:szCs w:val="13"/>
          <w:color w:val="auto"/>
        </w:rPr>
        <w:t xml:space="preserve">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00" w:lineRule="exact"/>
        <w:rPr>
          <w:sz w:val="24"/>
          <w:szCs w:val="24"/>
          <w:color w:val="auto"/>
        </w:rPr>
      </w:pPr>
    </w:p>
    <w:p>
      <w:pPr>
        <w:ind w:left="20" w:right="20" w:firstLine="259"/>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30"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65"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6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7760" w:space="720"/>
            <w:col w:w="1760"/>
          </w:cols>
          <w:pgMar w:left="820" w:top="665" w:right="839" w:bottom="1440" w:gutter="0" w:footer="0" w:header="0"/>
          <w:type w:val="continuous"/>
        </w:sectPr>
      </w:pPr>
    </w:p>
    <w:p>
      <w:pPr>
        <w:jc w:val="both"/>
        <w:ind w:left="20" w:firstLine="259"/>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2" w:lineRule="exact"/>
        <w:rPr>
          <w:sz w:val="24"/>
          <w:szCs w:val="24"/>
          <w:color w:val="auto"/>
        </w:rPr>
      </w:pPr>
    </w:p>
    <w:p>
      <w:pPr>
        <w:jc w:val="both"/>
        <w:ind w:left="20" w:right="20" w:firstLine="259"/>
        <w:spacing w:after="0" w:line="18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left="20" w:firstLine="259"/>
        <w:spacing w:after="0" w:line="18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42" w:lineRule="exact"/>
        <w:rPr>
          <w:sz w:val="24"/>
          <w:szCs w:val="24"/>
          <w:color w:val="auto"/>
        </w:rPr>
      </w:pPr>
    </w:p>
    <w:p>
      <w:pPr>
        <w:jc w:val="both"/>
        <w:ind w:left="20" w:right="20" w:firstLine="259"/>
        <w:spacing w:after="0" w:line="18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31" w:lineRule="exact"/>
        <w:rPr>
          <w:sz w:val="24"/>
          <w:szCs w:val="24"/>
          <w:color w:val="auto"/>
        </w:rPr>
      </w:pPr>
    </w:p>
    <w:p>
      <w:pPr>
        <w:ind w:left="260"/>
        <w:spacing w:after="0" w:line="17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22" w:lineRule="exact"/>
        <w:rPr>
          <w:sz w:val="24"/>
          <w:szCs w:val="24"/>
          <w:color w:val="auto"/>
        </w:rPr>
      </w:pPr>
    </w:p>
    <w:p>
      <w:pPr>
        <w:jc w:val="both"/>
        <w:ind w:left="20" w:firstLine="259"/>
        <w:spacing w:after="0" w:line="238"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2022 was approximately $63.1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13"/>
          <w:szCs w:val="13"/>
          <w:color w:val="auto"/>
        </w:rPr>
        <w:t>The number of shares of Common Stock, $0.01 par value, of the registrant outstanding as of January 31, 2023 was 408,152,162 (excluding treasury shares of 222,130,299).</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200" w:type="dxa"/>
            <w:vAlign w:val="bottom"/>
            <w:gridSpan w:val="2"/>
          </w:tcPr>
          <w:p>
            <w:pPr>
              <w:jc w:val="center"/>
              <w:ind w:right="2488"/>
              <w:spacing w:after="0"/>
              <w:rPr>
                <w:sz w:val="20"/>
                <w:szCs w:val="20"/>
                <w:color w:val="auto"/>
              </w:rPr>
            </w:pPr>
            <w:r>
              <w:rPr>
                <w:rFonts w:ascii="Arial" w:cs="Arial" w:eastAsia="Arial" w:hAnsi="Arial"/>
                <w:sz w:val="14"/>
                <w:szCs w:val="14"/>
                <w:b w:val="1"/>
                <w:bCs w:val="1"/>
                <w:color w:val="auto"/>
                <w:w w:val="93"/>
              </w:rPr>
              <w:t>Document</w:t>
            </w:r>
          </w:p>
        </w:tc>
        <w:tc>
          <w:tcPr>
            <w:tcW w:w="4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Incorporated as to</w:t>
            </w:r>
          </w:p>
        </w:tc>
      </w:tr>
      <w:tr>
        <w:trPr>
          <w:trHeight w:val="123"/>
        </w:trPr>
        <w:tc>
          <w:tcPr>
            <w:tcW w:w="2200" w:type="dxa"/>
            <w:vAlign w:val="bottom"/>
          </w:tcPr>
          <w:p>
            <w:pPr>
              <w:ind w:left="1840"/>
              <w:spacing w:after="0" w:line="123" w:lineRule="exact"/>
              <w:rPr>
                <w:sz w:val="20"/>
                <w:szCs w:val="20"/>
                <w:color w:val="auto"/>
              </w:rPr>
            </w:pPr>
            <w:r>
              <w:rPr>
                <w:rFonts w:ascii="Arial" w:cs="Arial" w:eastAsia="Arial" w:hAnsi="Arial"/>
                <w:sz w:val="14"/>
                <w:szCs w:val="14"/>
                <w:color w:val="auto"/>
                <w:w w:val="94"/>
              </w:rPr>
              <w:t>Proxy</w:t>
            </w: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7"/>
              </w:rPr>
              <w:t>Statement</w:t>
            </w:r>
          </w:p>
        </w:tc>
        <w:tc>
          <w:tcPr>
            <w:tcW w:w="2560" w:type="dxa"/>
            <w:vAlign w:val="bottom"/>
          </w:tcPr>
          <w:p>
            <w:pPr>
              <w:spacing w:after="0" w:line="123" w:lineRule="exact"/>
              <w:rPr>
                <w:sz w:val="20"/>
                <w:szCs w:val="20"/>
                <w:color w:val="auto"/>
              </w:rPr>
            </w:pPr>
            <w:r>
              <w:rPr>
                <w:rFonts w:ascii="Arial" w:cs="Arial" w:eastAsia="Arial" w:hAnsi="Arial"/>
                <w:sz w:val="14"/>
                <w:szCs w:val="14"/>
                <w:color w:val="auto"/>
              </w:rPr>
              <w:t>for the</w:t>
            </w:r>
          </w:p>
        </w:tc>
        <w:tc>
          <w:tcPr>
            <w:tcW w:w="17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Part III</w:t>
            </w:r>
          </w:p>
        </w:tc>
        <w:tc>
          <w:tcPr>
            <w:tcW w:w="1940" w:type="dxa"/>
            <w:vAlign w:val="bottom"/>
          </w:tcPr>
          <w:p>
            <w:pPr>
              <w:spacing w:after="0"/>
              <w:rPr>
                <w:sz w:val="10"/>
                <w:szCs w:val="10"/>
                <w:color w:val="auto"/>
              </w:rPr>
            </w:pPr>
          </w:p>
        </w:tc>
      </w:tr>
      <w:tr>
        <w:trPr>
          <w:trHeight w:val="182"/>
        </w:trPr>
        <w:tc>
          <w:tcPr>
            <w:tcW w:w="5400" w:type="dxa"/>
            <w:vAlign w:val="bottom"/>
            <w:gridSpan w:val="3"/>
          </w:tcPr>
          <w:p>
            <w:pPr>
              <w:jc w:val="center"/>
              <w:ind w:right="288"/>
              <w:spacing w:after="0"/>
              <w:rPr>
                <w:sz w:val="20"/>
                <w:szCs w:val="20"/>
                <w:color w:val="auto"/>
              </w:rPr>
            </w:pPr>
            <w:r>
              <w:rPr>
                <w:rFonts w:ascii="Arial" w:cs="Arial" w:eastAsia="Arial" w:hAnsi="Arial"/>
                <w:sz w:val="14"/>
                <w:szCs w:val="14"/>
                <w:color w:val="auto"/>
                <w:w w:val="94"/>
              </w:rPr>
              <w:t>2023 Annual Meeting of Stockholders</w:t>
            </w:r>
          </w:p>
        </w:tc>
        <w:tc>
          <w:tcPr>
            <w:tcW w:w="1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66"/>
        </w:trPr>
        <w:tc>
          <w:tcPr>
            <w:tcW w:w="2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81"/>
        </w:trPr>
        <w:tc>
          <w:tcPr>
            <w:tcW w:w="2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r>
        <w:trPr>
          <w:trHeight w:val="574"/>
        </w:trPr>
        <w:tc>
          <w:tcPr>
            <w:tcW w:w="2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gridSpan w:val="18"/>
          </w:tcPr>
          <w:p>
            <w:pPr>
              <w:ind w:left="5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0000EE"/>
              </w:rPr>
              <w:t>PART I</w:t>
            </w:r>
          </w:p>
        </w:tc>
        <w:tc>
          <w:tcPr>
            <w:tcW w:w="3520" w:type="dxa"/>
            <w:vAlign w:val="bottom"/>
            <w:gridSpan w:val="10"/>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3520" w:type="dxa"/>
            <w:vAlign w:val="bottom"/>
            <w:gridSpan w:val="10"/>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740" w:type="dxa"/>
            <w:vAlign w:val="bottom"/>
            <w:gridSpan w:val="29"/>
          </w:tcPr>
          <w:p>
            <w:pPr>
              <w:ind w:left="120"/>
              <w:spacing w:after="0"/>
              <w:rPr>
                <w:sz w:val="20"/>
                <w:szCs w:val="20"/>
                <w:color w:val="auto"/>
              </w:rPr>
            </w:pPr>
            <w:r>
              <w:rPr>
                <w:rFonts w:ascii="Arial" w:cs="Arial" w:eastAsia="Arial" w:hAnsi="Arial"/>
                <w:sz w:val="18"/>
                <w:szCs w:val="18"/>
                <w:color w:val="0000EE"/>
              </w:rPr>
              <w:t>Business</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1A.</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Risk Factors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1B.</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Unresolved Staff Comments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98"/>
              </w:rPr>
              <w:t>Item 2.</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Properties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Legal Proceedings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Mine Safety Disclosures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13"/>
          </w:tcPr>
          <w:p>
            <w:pPr>
              <w:jc w:val="center"/>
              <w:ind w:right="3500"/>
              <w:spacing w:after="0" w:line="196" w:lineRule="exact"/>
              <w:rPr>
                <w:sz w:val="20"/>
                <w:szCs w:val="20"/>
                <w:color w:val="auto"/>
              </w:rPr>
            </w:pPr>
            <w:r>
              <w:rPr>
                <w:rFonts w:ascii="Arial" w:cs="Arial" w:eastAsia="Arial" w:hAnsi="Arial"/>
                <w:sz w:val="18"/>
                <w:szCs w:val="18"/>
                <w:b w:val="1"/>
                <w:bCs w:val="1"/>
                <w:color w:val="0000EE"/>
                <w:w w:val="99"/>
              </w:rPr>
              <w:t>PART II</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w w:val="94"/>
              </w:rPr>
              <w:t>Market for Registrant’s Common Equity, Related Stockholder Matters and Issuer Purchases of Equity</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Securities</w:t>
            </w:r>
          </w:p>
        </w:tc>
        <w:tc>
          <w:tcPr>
            <w:tcW w:w="6420" w:type="dxa"/>
            <w:vAlign w:val="bottom"/>
            <w:tcBorders>
              <w:top w:val="single" w:sz="8" w:color="0000EE"/>
            </w:tcBorders>
            <w:gridSpan w:val="2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[Reserved]</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rPr>
              <w:t>Item 7.</w:t>
            </w: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7A.</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98"/>
              </w:rPr>
              <w:t>Item 8.</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rPr>
              <w:t>Item 9.</w:t>
            </w: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9A.</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Controls and Procedures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9B.</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Other Information</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sz w:val="20"/>
                <w:szCs w:val="20"/>
                <w:color w:val="auto"/>
              </w:rPr>
            </w:pPr>
            <w:r>
              <w:rPr>
                <w:rFonts w:ascii="Arial" w:cs="Arial" w:eastAsia="Arial" w:hAnsi="Arial"/>
                <w:sz w:val="18"/>
                <w:szCs w:val="18"/>
                <w:b w:val="1"/>
                <w:bCs w:val="1"/>
                <w:color w:val="0000EE"/>
              </w:rPr>
              <w:t>PART III</w:t>
            </w:r>
          </w:p>
        </w:tc>
        <w:tc>
          <w:tcPr>
            <w:tcW w:w="344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2"/>
              </w:rPr>
              <w:t>Item 10.</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2"/>
              </w:rPr>
              <w:t>Item 11.</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Executive Compensation</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2"/>
              </w:rPr>
              <w:t>Item 12.</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w w:val="94"/>
              </w:rPr>
              <w:t>Security Ownership of Certain Beneficial Owners and Management and Related Stockholder Matters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2"/>
              </w:rPr>
              <w:t>Item 13.</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2"/>
              </w:rPr>
              <w:t>Item 14.</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Principal Accounting Fees and Services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gridSpan w:val="6"/>
          </w:tcPr>
          <w:p>
            <w:pPr>
              <w:jc w:val="center"/>
              <w:spacing w:after="0" w:line="196" w:lineRule="exact"/>
              <w:rPr>
                <w:sz w:val="20"/>
                <w:szCs w:val="20"/>
                <w:color w:val="auto"/>
              </w:rPr>
            </w:pPr>
            <w:r>
              <w:rPr>
                <w:rFonts w:ascii="Arial" w:cs="Arial" w:eastAsia="Arial" w:hAnsi="Arial"/>
                <w:sz w:val="18"/>
                <w:szCs w:val="18"/>
                <w:b w:val="1"/>
                <w:bCs w:val="1"/>
                <w:color w:val="0000EE"/>
                <w:w w:val="98"/>
              </w:rPr>
              <w:t>PART IV</w:t>
            </w:r>
          </w:p>
        </w:tc>
        <w:tc>
          <w:tcPr>
            <w:tcW w:w="346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2"/>
              </w:rPr>
              <w:t>Item 15.</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Exhibits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80" w:type="dxa"/>
            <w:vAlign w:val="bottom"/>
            <w:gridSpan w:val="2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w w:val="82"/>
              </w:rPr>
              <w:t>Item 16.</w:t>
            </w:r>
          </w:p>
        </w:tc>
        <w:tc>
          <w:tcPr>
            <w:tcW w:w="180" w:type="dxa"/>
            <w:vAlign w:val="bottom"/>
          </w:tcPr>
          <w:p>
            <w:pPr>
              <w:spacing w:after="0"/>
              <w:rPr>
                <w:sz w:val="17"/>
                <w:szCs w:val="17"/>
                <w:color w:val="auto"/>
              </w:rPr>
            </w:pPr>
          </w:p>
        </w:tc>
        <w:tc>
          <w:tcPr>
            <w:tcW w:w="77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Form 10-K Summary</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16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principal executive offices are located at 800 Capitol Street, Suite 3000,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5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for our natural gas fleet. During 2022, our largest customer represented less than 5% of annual revenues. We employed approximately 49,500 people as of December 31, 2022.</w:t>
      </w:r>
    </w:p>
    <w:p>
      <w:pPr>
        <w:spacing w:after="0" w:line="18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own or operate 259 landfill sites, which is the largest network of landfills throughout the U.S. and Canada. In order to make disposal more practical for larger urban markets, where the distance to landfills is typically farther, we manage 337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16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As North America’s leading provider of comprehensive environmental solutions, sustainability and environmental stewardship is embedded in all that we do. We have enabled a people-first, technology-led focus to drive our mission to maximize resource value, while minimizing environmental impact, so that both our economy and our environment are positively impacted.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and investing in automation to improve processes and drive operational efficiency will yield an attractive total cost structure and enhanced service quality. While we continue to</w:t>
      </w:r>
    </w:p>
    <w:p>
      <w:pPr>
        <w:sectPr>
          <w:pgSz w:w="11900" w:h="16838" w:orient="portrait"/>
          <w:cols w:equalWidth="0" w:num="1">
            <w:col w:w="9019"/>
          </w:cols>
          <w:pgMar w:left="1440" w:top="611"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improve existing diversion technologies, such as through investments in our recycling operations, we are also evaluating and pursuing emerging diversion technologies that may generate additional value.</w:t>
      </w:r>
    </w:p>
    <w:p>
      <w:pPr>
        <w:spacing w:after="0" w:line="170" w:lineRule="exact"/>
        <w:rPr>
          <w:sz w:val="20"/>
          <w:szCs w:val="20"/>
          <w:color w:val="auto"/>
        </w:rPr>
      </w:pPr>
    </w:p>
    <w:p>
      <w:pPr>
        <w:jc w:val="both"/>
        <w:ind w:left="60" w:right="59" w:firstLine="324"/>
        <w:spacing w:after="0" w:line="256" w:lineRule="auto"/>
        <w:rPr>
          <w:sz w:val="20"/>
          <w:szCs w:val="20"/>
          <w:color w:val="auto"/>
        </w:rPr>
      </w:pPr>
      <w:r>
        <w:rPr>
          <w:rFonts w:ascii="Arial" w:cs="Arial" w:eastAsia="Arial" w:hAnsi="Arial"/>
          <w:sz w:val="17"/>
          <w:szCs w:val="17"/>
          <w:color w:val="auto"/>
        </w:rPr>
        <w:t>Our Company’s goals are targeted at putting our people first, positioning them to serve and care for our customers, the environment, the communities in which we work and our stockholders. Our brand promise is ALWAYS WORKING FOR A SUSTAINABLE TOMORROW</w:t>
      </w:r>
      <w:r>
        <w:rPr>
          <w:rFonts w:ascii="Arial" w:cs="Arial" w:eastAsia="Arial" w:hAnsi="Arial"/>
          <w:sz w:val="25"/>
          <w:szCs w:val="25"/>
          <w:color w:val="auto"/>
          <w:vertAlign w:val="superscript"/>
        </w:rPr>
        <w:t>®</w:t>
      </w:r>
      <w:r>
        <w:rPr>
          <w:rFonts w:ascii="Arial" w:cs="Arial" w:eastAsia="Arial" w:hAnsi="Arial"/>
          <w:sz w:val="17"/>
          <w:szCs w:val="17"/>
          <w:color w:val="auto"/>
        </w:rPr>
        <w:t>. We live this promise through our service offerings and sustainable solutions, our investments in innovation, our people, and our commitment to the future. Through our longtime focus on finding sustainable solutions, we continue to evolve beyond being a traditional environmental waste services company.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 We believe we are uniquely equipped to meet the challenges of the changing waste industry and our customers’ waste management needs, both today and tomorrow as we work together to envision and create a more sustainable future.</w:t>
      </w:r>
    </w:p>
    <w:p>
      <w:pPr>
        <w:spacing w:after="0" w:line="193"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believe that execution of our strategy will deliver shareholder value and leadership in a dynamic industry and challenging economic environment. In addition, we intend to continue to return value to our stockholders through dividend payments and our common stock repurchase program. In December 2022, we announced that our Board of Directors expects to increase the quarterly dividend from $0.65 to $0.70 per share for dividends declared in 2023, which is a 7.7% increase from the quarterly dividends we declared in 2022. This is an indication of our ability to generate strong and consistent cash flows and marks the 20th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61" w:lineRule="exact"/>
        <w:rPr>
          <w:sz w:val="20"/>
          <w:szCs w:val="20"/>
          <w:color w:val="auto"/>
        </w:rPr>
      </w:pPr>
    </w:p>
    <w:p>
      <w:pPr>
        <w:jc w:val="center"/>
        <w:ind w:right="8039"/>
        <w:spacing w:after="0"/>
        <w:rPr>
          <w:sz w:val="20"/>
          <w:szCs w:val="20"/>
          <w:color w:val="auto"/>
        </w:rPr>
      </w:pPr>
      <w:r>
        <w:rPr>
          <w:rFonts w:ascii="Arial" w:cs="Arial" w:eastAsia="Arial" w:hAnsi="Arial"/>
          <w:sz w:val="16"/>
          <w:szCs w:val="16"/>
          <w:b w:val="1"/>
          <w:bCs w:val="1"/>
          <w:color w:val="auto"/>
        </w:rPr>
        <w:t>Operations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 On October 30, 2020, we acquired Advanced Disposal Services, Inc. (“Advanced Disposal”), the operations of which are presented in this report within our existing Solid Waste tiers. Additional information related to our acquisition of Advanced Disposal and segments is included in Notes 17 and 19 to the Consolidated Financial Statements, respectively. We also provide additional services that are not managed through our Solid Waste business, as described below. These operations are presented in this report as “Other.” The services we provide are described below.</w:t>
      </w:r>
    </w:p>
    <w:p>
      <w:pPr>
        <w:spacing w:after="0" w:line="17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Collection. </w:t>
      </w:r>
      <w:r>
        <w:rPr>
          <w:rFonts w:ascii="Arial" w:cs="Arial" w:eastAsia="Arial" w:hAnsi="Arial"/>
          <w:sz w:val="16"/>
          <w:szCs w:val="16"/>
          <w:color w:val="auto"/>
        </w:rPr>
        <w:t>Our commitment to customers begins with a vast waste collection network. Collection involves picking up</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transporting waste and recyclable materials from where it was generated to a transfer station, material recovery facility (“MRF”) or disposal site. We generally provide collection services under one of two types of arrangements:</w:t>
      </w:r>
    </w:p>
    <w:p>
      <w:pPr>
        <w:spacing w:after="0" w:line="149" w:lineRule="exact"/>
        <w:rPr>
          <w:sz w:val="20"/>
          <w:szCs w:val="20"/>
          <w:color w:val="auto"/>
        </w:rPr>
      </w:pPr>
    </w:p>
    <w:p>
      <w:pPr>
        <w:jc w:val="both"/>
        <w:ind w:left="720" w:right="79" w:hanging="319"/>
        <w:spacing w:after="0" w:line="271"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70" w:lineRule="exact"/>
        <w:rPr>
          <w:rFonts w:ascii="Arial" w:cs="Arial" w:eastAsia="Arial" w:hAnsi="Arial"/>
          <w:sz w:val="17"/>
          <w:szCs w:val="17"/>
          <w:color w:val="auto"/>
        </w:rPr>
      </w:pPr>
    </w:p>
    <w:p>
      <w:pPr>
        <w:ind w:left="720" w:right="79" w:hanging="319"/>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most residential collection services, we have a contract with, or a franchise granted by, a municipality, homeowners’ association or some other regional authority that gives us the exclusive right to service all or a</w:t>
      </w:r>
    </w:p>
    <w:p>
      <w:pPr>
        <w:sectPr>
          <w:pgSz w:w="11900" w:h="16838" w:orient="portrait"/>
          <w:cols w:equalWidth="0" w:num="1">
            <w:col w:w="9019"/>
          </w:cols>
          <w:pgMar w:left="1440" w:top="611"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93" w:lineRule="auto"/>
        <w:rPr>
          <w:sz w:val="20"/>
          <w:szCs w:val="20"/>
          <w:color w:val="auto"/>
        </w:rPr>
      </w:pPr>
      <w:r>
        <w:rPr>
          <w:rFonts w:ascii="Arial" w:cs="Arial" w:eastAsia="Arial" w:hAnsi="Arial"/>
          <w:sz w:val="16"/>
          <w:szCs w:val="16"/>
          <w:color w:val="auto"/>
        </w:rPr>
        <w:t>portion of the homes in an area. These contracts or franchises are typically for periods of three to ten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 The Company is generally phasing out traditional manual systems and moving to further automate residential collection services. Benefits of automation include enhanced worker safety, improved service delivery to the customer and an overall reduction in the cost to provide services.</w:t>
      </w:r>
    </w:p>
    <w:p>
      <w:pPr>
        <w:spacing w:after="0" w:line="16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Landfill. </w:t>
      </w:r>
      <w:r>
        <w:rPr>
          <w:rFonts w:ascii="Arial" w:cs="Arial" w:eastAsia="Arial" w:hAnsi="Arial"/>
          <w:sz w:val="16"/>
          <w:szCs w:val="16"/>
          <w:color w:val="auto"/>
        </w:rPr>
        <w:t>Landfills are the main depositories for solid waste in North America. As of December 31, 2022, we owned or</w:t>
      </w:r>
      <w:r>
        <w:rPr>
          <w:rFonts w:ascii="Arial" w:cs="Arial" w:eastAsia="Arial" w:hAnsi="Arial"/>
          <w:sz w:val="16"/>
          <w:szCs w:val="16"/>
          <w:i w:val="1"/>
          <w:iCs w:val="1"/>
          <w:color w:val="auto"/>
        </w:rPr>
        <w:t xml:space="preserve"> </w:t>
      </w:r>
      <w:r>
        <w:rPr>
          <w:rFonts w:ascii="Arial" w:cs="Arial" w:eastAsia="Arial" w:hAnsi="Arial"/>
          <w:sz w:val="16"/>
          <w:szCs w:val="16"/>
          <w:color w:val="auto"/>
        </w:rPr>
        <w:t>operated 254 solid waste landfills and five secure hazardous waste landfills, which represents the largest network of landfills throughout the U.S. and Canada. As of December 31, 2022, we owned or controlled the management of 231 sites with remedial activities, that are in closure or that have received a certification of closure from the applicable regulatory agency.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6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17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6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As of December 31, 2022, we owned or operated 337 transfer stations in the U.S. and Canada. We deposit</w:t>
      </w:r>
      <w:r>
        <w:rPr>
          <w:rFonts w:ascii="Arial" w:cs="Arial" w:eastAsia="Arial" w:hAnsi="Arial"/>
          <w:sz w:val="17"/>
          <w:szCs w:val="17"/>
          <w:i w:val="1"/>
          <w:iCs w:val="1"/>
          <w:color w:val="auto"/>
        </w:rPr>
        <w:t xml:space="preserve"> </w:t>
      </w:r>
      <w:r>
        <w:rPr>
          <w:rFonts w:ascii="Arial" w:cs="Arial" w:eastAsia="Arial" w:hAnsi="Arial"/>
          <w:sz w:val="17"/>
          <w:szCs w:val="17"/>
          <w:color w:val="auto"/>
        </w:rPr>
        <w:t>waste at these stations, as do other waste haulers. The solid waste is then consolidated and compacted to reduce the volume and increase the density of the waste and transported by transfer trucks or by rail to disposal sites.</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4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7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transfer stations that we operate but do not own generally are operated through lease agreements under which we lease property from third parties. There are some instances where transfer stations are operated under contract, generally</w:t>
      </w:r>
    </w:p>
    <w:p>
      <w:pPr>
        <w:sectPr>
          <w:pgSz w:w="11900" w:h="16838" w:orient="portrait"/>
          <w:cols w:equalWidth="0" w:num="1">
            <w:col w:w="9019"/>
          </w:cols>
          <w:pgMar w:left="1440" w:top="611"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municipalities. In most cases, we own the permits and will be responsible for any regulatory requirements relating to the operation and closure of the transfer station.</w:t>
      </w:r>
    </w:p>
    <w:p>
      <w:pPr>
        <w:spacing w:after="0" w:line="170" w:lineRule="exact"/>
        <w:rPr>
          <w:sz w:val="20"/>
          <w:szCs w:val="20"/>
          <w:color w:val="auto"/>
        </w:rPr>
      </w:pPr>
    </w:p>
    <w:p>
      <w:pPr>
        <w:jc w:val="both"/>
        <w:ind w:left="60" w:right="59" w:firstLine="324"/>
        <w:spacing w:after="0" w:line="294" w:lineRule="auto"/>
        <w:rPr>
          <w:sz w:val="20"/>
          <w:szCs w:val="20"/>
          <w:color w:val="auto"/>
        </w:rPr>
      </w:pPr>
      <w:r>
        <w:rPr>
          <w:rFonts w:ascii="Arial" w:cs="Arial" w:eastAsia="Arial" w:hAnsi="Arial"/>
          <w:sz w:val="16"/>
          <w:szCs w:val="16"/>
          <w:i w:val="1"/>
          <w:iCs w:val="1"/>
          <w:color w:val="auto"/>
        </w:rPr>
        <w:t xml:space="preserve">Recycling. </w:t>
      </w:r>
      <w:r>
        <w:rPr>
          <w:rFonts w:ascii="Arial" w:cs="Arial" w:eastAsia="Arial" w:hAnsi="Arial"/>
          <w:sz w:val="16"/>
          <w:szCs w:val="16"/>
          <w:color w:val="auto"/>
        </w:rPr>
        <w:t>Recycling involves the separation of reusable materials from the waste stream for processing and resale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We are North America’s leading recycler of post-consumer materials. We not only collect materials from households and businesses across the U.S. and Canada, we also sell them to manufacturers to be recycled and sold in the North American market. Demand for recycled materials is generally growing. Several states have recently passed minimum-recycled-content mandates, and many companies are responding to requirements for recycled content from their own customers and to meet sustainability targets. We are helping expand the availability of recycled materials by investing in infrastructure, increasing access to recycling services and educating customers through our Recycle Right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program.</w:t>
      </w:r>
    </w:p>
    <w:p>
      <w:pPr>
        <w:spacing w:after="0" w:line="5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recycling operations provide communities and businesses with an alternative to traditional landfill disposal and support our strategic goals to extract more value from the materials we manage. We were the first major solid waste company to focus on residential single-stream recycling, which allows customers to mix clean bottles, cans, paper and cardboard in one bin. Residential single-stream programs have greatly increased recycling volumes. Single-stream recycling is possible through the use of various mechanized screens and optical sorting technologies. In addition to advancing our single stream recycling programs for commercial applications, we continue to invest in recycling technologies and businesses, designed to offer services and solutions to support and grow our current operations, including our recent purchase of a controlling interest in a business intended to accelerate our film and plastic wrap recycling capabilities. We are investing in enhanced MRF technology at new and existing facilities to benefit labor productivity, support increased recycling capacity and allow for dynamic adjustments to respond to evolving end-market demands. In 2022, we opened five new MRFs within the U.S. equipped with advanced recycling technology. We continue to invest in MRF automation in several markets across the U.S. Our recycling operations include the following:</w:t>
      </w:r>
    </w:p>
    <w:p>
      <w:pPr>
        <w:spacing w:after="0" w:line="168" w:lineRule="exact"/>
        <w:rPr>
          <w:sz w:val="20"/>
          <w:szCs w:val="20"/>
          <w:color w:val="auto"/>
        </w:rPr>
      </w:pPr>
    </w:p>
    <w:p>
      <w:pPr>
        <w:jc w:val="both"/>
        <w:ind w:left="380" w:right="59" w:firstLine="324"/>
        <w:spacing w:after="0" w:line="257" w:lineRule="auto"/>
        <w:rPr>
          <w:sz w:val="20"/>
          <w:szCs w:val="20"/>
          <w:color w:val="auto"/>
        </w:rPr>
      </w:pPr>
      <w:r>
        <w:rPr>
          <w:rFonts w:ascii="Arial" w:cs="Arial" w:eastAsia="Arial" w:hAnsi="Arial"/>
          <w:sz w:val="18"/>
          <w:szCs w:val="18"/>
          <w:i w:val="1"/>
          <w:iCs w:val="1"/>
          <w:color w:val="auto"/>
        </w:rPr>
        <w:t xml:space="preserve">Materials processing — </w:t>
      </w:r>
      <w:r>
        <w:rPr>
          <w:rFonts w:ascii="Arial" w:cs="Arial" w:eastAsia="Arial" w:hAnsi="Arial"/>
          <w:sz w:val="18"/>
          <w:szCs w:val="18"/>
          <w:color w:val="auto"/>
        </w:rPr>
        <w:t>Through our collection operations and third-party customer base, we collect recyclable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from residential, commercial and industrial customers and direct these materials to one of our MRFs for processing. As of December 31, 2022, we operated 97 MRFs, of which 46 are single stream, where cardboard, paper, glass, metals, plastics, construction and demolition materials and other recycling commodities are recovered for resale or redirected for other purposes.</w:t>
      </w:r>
    </w:p>
    <w:p>
      <w:pPr>
        <w:spacing w:after="0" w:line="188" w:lineRule="exact"/>
        <w:rPr>
          <w:sz w:val="20"/>
          <w:szCs w:val="20"/>
          <w:color w:val="auto"/>
        </w:rPr>
      </w:pPr>
    </w:p>
    <w:p>
      <w:pPr>
        <w:jc w:val="both"/>
        <w:ind w:left="380" w:right="59" w:firstLine="324"/>
        <w:spacing w:after="0" w:line="263" w:lineRule="auto"/>
        <w:rPr>
          <w:sz w:val="20"/>
          <w:szCs w:val="20"/>
          <w:color w:val="auto"/>
        </w:rPr>
      </w:pPr>
      <w:r>
        <w:rPr>
          <w:rFonts w:ascii="Arial" w:cs="Arial" w:eastAsia="Arial" w:hAnsi="Arial"/>
          <w:sz w:val="18"/>
          <w:szCs w:val="18"/>
          <w:i w:val="1"/>
          <w:iCs w:val="1"/>
          <w:color w:val="auto"/>
        </w:rPr>
        <w:t xml:space="preserve">Recycling commodities — </w:t>
      </w:r>
      <w:r>
        <w:rPr>
          <w:rFonts w:ascii="Arial" w:cs="Arial" w:eastAsia="Arial" w:hAnsi="Arial"/>
          <w:sz w:val="18"/>
          <w:szCs w:val="18"/>
          <w:color w:val="auto"/>
        </w:rPr>
        <w:t>We market and resell recycling commodities globally. We manage the marketing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commodities that are processed in our facilities by maintaining comprehensive service centers that continuously analyze market prices, logistics, market demands and product quality.</w:t>
      </w:r>
    </w:p>
    <w:p>
      <w:pPr>
        <w:spacing w:after="0" w:line="184" w:lineRule="exact"/>
        <w:rPr>
          <w:sz w:val="20"/>
          <w:szCs w:val="20"/>
          <w:color w:val="auto"/>
        </w:rPr>
      </w:pPr>
    </w:p>
    <w:p>
      <w:pPr>
        <w:jc w:val="both"/>
        <w:ind w:left="380" w:right="59" w:firstLine="324"/>
        <w:spacing w:after="0" w:line="257" w:lineRule="auto"/>
        <w:rPr>
          <w:sz w:val="20"/>
          <w:szCs w:val="20"/>
          <w:color w:val="auto"/>
        </w:rPr>
      </w:pPr>
      <w:r>
        <w:rPr>
          <w:rFonts w:ascii="Arial" w:cs="Arial" w:eastAsia="Arial" w:hAnsi="Arial"/>
          <w:sz w:val="18"/>
          <w:szCs w:val="18"/>
          <w:i w:val="1"/>
          <w:iCs w:val="1"/>
          <w:color w:val="auto"/>
        </w:rPr>
        <w:t xml:space="preserve">Recycling brokerage services </w:t>
      </w:r>
      <w:r>
        <w:rPr>
          <w:rFonts w:ascii="Arial" w:cs="Arial" w:eastAsia="Arial" w:hAnsi="Arial"/>
          <w:sz w:val="18"/>
          <w:szCs w:val="18"/>
          <w:color w:val="auto"/>
        </w:rPr>
        <w:t>— We also provide recycling brokerage services, which involve managing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 recyclable materials for third parties. Our experience in managing recycling commodities for our own operations gives us the expertise needed to effectively manage volumes for third parties. Utilizing the resources and knowledge of our recycling operations’ service centers, we can assist customers in marketing and selling their recycling commodities with minimal capital requirements.</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recyclable materials processed in our MRFs are received from various sources, including third parties and our own operations. In recent years, we have been focused on reducing dependency on market prices for recycled commodities by recovering our processing costs first. In our materials processing business, we have been transitioning our customer base over time from the traditional rebate model, where we paid suppliers for the inbound material, to a fee-for-service model that ensures the cost of processing the recyclable materials is covered along with an acceptable 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 materials. In some cases, our pricing is based on fixed contractual rates or on defined minimum per-ton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ectPr>
          <w:pgSz w:w="11900" w:h="16838" w:orient="portrait"/>
          <w:cols w:equalWidth="0" w:num="1">
            <w:col w:w="9019"/>
          </w:cols>
          <w:pgMar w:left="1440" w:top="611"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services we provide include the following:</w:t>
      </w:r>
    </w:p>
    <w:p>
      <w:pPr>
        <w:spacing w:after="0" w:line="225" w:lineRule="exact"/>
        <w:rPr>
          <w:sz w:val="20"/>
          <w:szCs w:val="20"/>
          <w:color w:val="auto"/>
        </w:rPr>
      </w:pPr>
    </w:p>
    <w:p>
      <w:pPr>
        <w:jc w:val="both"/>
        <w:ind w:left="720" w:right="79" w:hanging="319"/>
        <w:spacing w:after="0" w:line="26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WM Renewable Energy </w:t>
      </w:r>
      <w:r>
        <w:rPr>
          <w:rFonts w:ascii="Arial" w:cs="Arial" w:eastAsia="Arial" w:hAnsi="Arial"/>
          <w:sz w:val="17"/>
          <w:szCs w:val="17"/>
          <w:color w:val="auto"/>
        </w:rPr>
        <w:t>— We develop, operate and promote projects for the beneficial use of landfill gas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our WM Renewable Energy business.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2022, we had 135 landfill gas beneficial use projects producing commercial quantities of methane gas at owned or operated landfills. For 95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17 of these projects, the landfill gas is processed to pipeline-quality natural gas and then sold to natural gas suppliers.</w:t>
      </w:r>
    </w:p>
    <w:p>
      <w:pPr>
        <w:spacing w:after="0" w:line="182"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color w:val="auto"/>
        </w:rPr>
        <w:t>WM Renewable Energy produces renewable natural gas (“RNG”) from landfill gas and generates renewable identification numbers (“RINs”) under the Renewable Fuel Standard (“RFS”) program and other credits under a variety of state programs associated with the use of RNG in our compressed natural gas fleet. The RINs and credits are sold to counterparties who are obligated under the regulatory programs and have a responsibility to procure RINs and credits proportionate to their fossil fuel production and imports. RINs prices generally respond to regulations enacted by the EPA or other regulatory bodies, as well as fluctuations in supply and demand. WM Renewable Energy currently has five owned facilities producing 3.5 million MMBtu of RNG annually and the revenue from these facilities is primarily generated through the sale of natural gas, RINs and related environmental attributes.</w:t>
      </w:r>
    </w:p>
    <w:p>
      <w:pPr>
        <w:spacing w:after="0" w:line="196"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We are also modernizing our landfills and expanding our network of renewable natural gas facilities. Together, these robust solutions will make us a better advisor to our customers while supporting our own sustainability goals.</w:t>
      </w:r>
    </w:p>
    <w:p>
      <w:pPr>
        <w:spacing w:after="0" w:line="184" w:lineRule="exact"/>
        <w:rPr>
          <w:sz w:val="20"/>
          <w:szCs w:val="20"/>
          <w:color w:val="auto"/>
        </w:rPr>
      </w:pPr>
    </w:p>
    <w:p>
      <w:pPr>
        <w:jc w:val="both"/>
        <w:ind w:left="720" w:right="79" w:hanging="319"/>
        <w:spacing w:after="0" w:line="287"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Sustainability and Environmental Solutions (“SES”) </w:t>
      </w:r>
      <w:r>
        <w:rPr>
          <w:rFonts w:ascii="Arial" w:cs="Arial" w:eastAsia="Arial" w:hAnsi="Arial"/>
          <w:sz w:val="16"/>
          <w:szCs w:val="16"/>
          <w:color w:val="auto"/>
        </w:rPr>
        <w:t>— Our SES business offers our customers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 collaboration with our Areas and strategic accounts programs, including (i) construction and remediation services; (ii) services associated with the disposal of fly ash, which is residue generated from the combustion of coal, and other forms of fuel and (iii) in-plant services, where our employees work full-time inside our customers’ facilities to provide full-service waste management solutions and consulting services (this service is managed through our SES business but reflected principally in our collection line of business). Our vertically integrated waste management operations enable us to provide customers with full management of their waste. The breadth of our service offerings, the familiarity we have with waste management practices and our use of technology give us the ability help customers reduce the amount of waste they generate, identify recycling opportunities and determine efficient and environmentally friendly means for waste collection and disposal. Through these services, we aim to help customers increase circularity and accelerate their decarbonization goals.</w:t>
      </w:r>
    </w:p>
    <w:p>
      <w:pPr>
        <w:spacing w:after="0" w:line="171" w:lineRule="exact"/>
        <w:rPr>
          <w:rFonts w:ascii="Arial" w:cs="Arial" w:eastAsia="Arial" w:hAnsi="Arial"/>
          <w:sz w:val="16"/>
          <w:szCs w:val="16"/>
          <w:color w:val="auto"/>
        </w:rPr>
      </w:pPr>
    </w:p>
    <w:p>
      <w:pPr>
        <w:jc w:val="both"/>
        <w:ind w:left="720" w:right="79" w:hanging="319"/>
        <w:spacing w:after="0" w:line="25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Strategic Business Solutions (“WMSBS”) </w:t>
      </w:r>
      <w:r>
        <w:rPr>
          <w:rFonts w:ascii="Arial" w:cs="Arial" w:eastAsia="Arial" w:hAnsi="Arial"/>
          <w:sz w:val="18"/>
          <w:szCs w:val="18"/>
          <w:color w:val="auto"/>
        </w:rPr>
        <w:t>— Although many waste management services such as collection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are local services, our WMSBS business works with customers whose locations span the U.S. and Canada. Our strategic accounts program provides these customers with streamlined service, enhanced reporting, measurement tools aimed at meeting sustainability objectives and centralized billing and management of accounts.</w:t>
      </w:r>
    </w:p>
    <w:p>
      <w:pPr>
        <w:spacing w:after="0" w:line="187" w:lineRule="exact"/>
        <w:rPr>
          <w:rFonts w:ascii="Arial" w:cs="Arial" w:eastAsia="Arial" w:hAnsi="Arial"/>
          <w:sz w:val="18"/>
          <w:szCs w:val="18"/>
          <w:color w:val="auto"/>
        </w:rPr>
      </w:pPr>
    </w:p>
    <w:p>
      <w:pPr>
        <w:jc w:val="both"/>
        <w:ind w:left="720" w:right="79" w:hanging="319"/>
        <w:spacing w:after="0" w:line="26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Expanded Service Offerings and Solutions </w:t>
      </w:r>
      <w:r>
        <w:rPr>
          <w:rFonts w:ascii="Arial" w:cs="Arial" w:eastAsia="Arial" w:hAnsi="Arial"/>
          <w:sz w:val="18"/>
          <w:szCs w:val="18"/>
          <w:color w:val="auto"/>
        </w:rPr>
        <w:t>— We provide expanded service offerings and solutions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through our Solid Waste business including the collection of project waste, including construction debris and household or yard waste, through our Bagster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business.</w:t>
      </w:r>
    </w:p>
    <w:p>
      <w:pPr>
        <w:spacing w:after="0" w:line="65"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 (i) waste collection, processing, and recycling; (ii) the development, operation and marketing</w:t>
      </w:r>
    </w:p>
    <w:p>
      <w:pPr>
        <w:sectPr>
          <w:pgSz w:w="11900" w:h="16838" w:orient="portrait"/>
          <w:cols w:equalWidth="0" w:num="1">
            <w:col w:w="9019"/>
          </w:cols>
          <w:pgMar w:left="1440" w:top="611"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of waste processing facilities and technologies; (iii) operation of renewable natural gas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w:t>
      </w:r>
    </w:p>
    <w:p>
      <w:pPr>
        <w:spacing w:after="0" w:line="16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also compete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of December 31, 2022, we had approximately 49,500 full-time employees across the U.S., Canada and India. Approximately 46,300 employees were located within the U.S. and 3,200 employees were located outside of the U.S. Approximately 8,500 employees were employed in administrative and sales positions with the remainder in operations. Approximately 8,600 of our employees are covered by collective bargaining agreements. Additional information about our workforce can be found in our 2022 Sustainability Report at https://sustainability.wm.com. Our 2022 Sustainability Report does not constitute a part of, and is not incorporated by reference into, this report or any other report we file with (or furnish to) the SEC, whether made before or after the date of this Annual Report on Form 10-K.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People First Commitment</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People First commitment means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improving diversity, equity, and inclusion at all levels of our Company, managing employee turnover, increasing retention, succession planning and development, and supporting employee experience, ongoing cultural integration and knowledge transfer. We regularly focus on these objectives when managing our business.</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We strive to be a workplace of choice through competitive pay, comprehensive benefits for long-term financial and personal health and opportunities for growth across our ranks. "We Are WM" is our Employer Value Proposition, grounded in our People First commitment and shared through a framework that enables us to display that we are (i) investing in our teams by providing comprehensive benefits; (ii) committed to the growth of our team by providing state-of-the-art trainings and our new education benefit, Your Tomorrow, as further discussed under </w:t>
      </w:r>
      <w:r>
        <w:rPr>
          <w:rFonts w:ascii="Arial" w:cs="Arial" w:eastAsia="Arial" w:hAnsi="Arial"/>
          <w:sz w:val="17"/>
          <w:szCs w:val="17"/>
          <w:i w:val="1"/>
          <w:iCs w:val="1"/>
          <w:color w:val="auto"/>
        </w:rPr>
        <w:t>Compensation and Benefits</w:t>
      </w:r>
      <w:r>
        <w:rPr>
          <w:rFonts w:ascii="Arial" w:cs="Arial" w:eastAsia="Arial" w:hAnsi="Arial"/>
          <w:sz w:val="17"/>
          <w:szCs w:val="17"/>
          <w:color w:val="auto"/>
        </w:rPr>
        <w:t>; (iii) performing essential and meaningful work and (iv) working for a sustainable tomorrow by leaving the world a better place than we found it. Being an employer of choice is critical to our efforts to attract and retain a high-quality workforce, while motivating us to sharpen our focus on our values that help us empower and develop good employees. By promoting from within and offering training and experiential opportunities, we help employees maximize their effectiveness and grow in their careers.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Safety as a Core Value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At the Company, safety is a core value, with no compromise. A large number of our employee population work as drivers, heavy equipment operators and sorters, which are essential jobs that carry inherent risks. For nearly 20 years, we have engaged employees on safety through our Mission to Zero (“M2Z”) program. The “Zero” in M2Z represents zero tolerance for unsafe behaviors. Employees learn safety best practices through new-hire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 In 2022, the Company announced a safety goal focused on reduction of our Total Recordable Incident Rate (“TRIR”) by 3% annually, targeting TRIR of 2.0 annually by 2030. TRIR measures the number of injuries occurring per 100 employees for total hours worked annually. Our TRIR as of December 31, 2022 and 2021 was 3.02 and 3.0, respectively. The Company also remains focused on the prevention of serious injuries.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Inclusion, Equity and Diversity</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embrace and cultivate respect, trust, open communications and diversity of thought and people. We are committed to equality for all, and foster an environment where all team members feel welcomed, valued and seen. We see inclusion, equity and diversity (“IE&amp;D”) as core in everything that we do. Our commitment to IE&amp;D starts at the top with our senior leadership team being comprised of 22% ethnic minorities and 33% women as of December 31, 2022; and with our overall workforce in the U.S. being comprised of approximately 45% ethnic minorities and approximately 20% women as of the same date. We are proud of what we have been able to achieve so far, and we will continue to strive to further embed IE&amp;D within the Company. To solidify this commitment, in 2022 the Company developed two new IE&amp;D goals: (i) increase the overall representation of women in our workforce to at least 25% by 2030 and (ii) increase the representation of racial/ethnic minority employees in our Manager roles and above to 30% by 2030. To enable us to achieve our goals, we have empowered a cross-functional IE&amp;D Council to evaluate and enhance our policies, practices and procedures, recruitment and partnerships to ensure that our IE&amp;D efforts are sustainable and are tied to our business strategy.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Learning and Development</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offer expansive learning and development solutions to meet the development needs of our people and support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objective of our compensation and benefit programs is to attract, engage, reward and incentivize valuable employees who will support the successful execution of our strategy. We pay the full cost to provide employees with short-term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legal services, flexible spending accounts, dependent care assistance, adoption assistance, employee discounts and student loan refinancing services. We also recognize the value of learning beyond the workplace. In 2021, we announced a new education benefit, Your Tomorrow. Your Tomorrow was created in partnership with Guild Education to pay 100% of benefits-eligible employees’ and dependents’ tuition for a broad range of four-year college degree programs, as well as programs such as high-school equivalency and, for employees, other certificate programs and graduate degrees. We also provide plans to help employees save for their future; refer to Note 9 to the Consolidated Financial Statements for additional information on our employee benefit plans.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jc w:val="both"/>
        <w:ind w:left="60" w:right="59" w:hanging="10"/>
        <w:spacing w:after="0" w:line="253" w:lineRule="auto"/>
        <w:tabs>
          <w:tab w:leader="none" w:pos="399"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93"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 supported by our long-term U.S. and Canadian revolving credit facility (“$3.5 billion revolving credit facility”) and other credit lines established for that purpose.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carry a broad range of insurance coverages, including health and welfare, 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We use a wholly-owned insurance captive to insure the deductibles for our general liability, automobile liability and workers’ compensation claims programs. We do not expect the impact of any known casualty, property, environmental or other contingency to have a material impact on our financial condition, results of operations or cash flows. Our estimated insurance liabilities as of December 31, 2022 are summarized in Note 10 to the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business is subject to extensive and evolving federal, state or provincial and local environmental, health, safety and transportation laws and regulations. These laws and regulations are administered by the EPA, Environment and Climate Change Canada (“ECCC”), and various other federal, state, provincial and local environmental, zoning, transportation, land use, health and safety agencies in the U.S. and Canada. Many of these agencies regularly examine our operations to monitor compliance with these laws and regulations and have the power to enforce compliance, obtain injunctions or impose civil or criminal penalties in cases of violations.</w:t>
      </w:r>
    </w:p>
    <w:p>
      <w:pPr>
        <w:spacing w:after="0" w:line="178"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Because the primary mission of our business is to collect, process and manage solid waste and recyclables in an environmentally sound manner, a significant amount of our capital expenditures are related, either directly or indirectly, to environmental protection measures, including compliance with federal, state, provincial and local rules. There are costs associated with siting, design, permitting, construction, operations, monitoring, site maintenance, corrective actions, financial assurance, and facility closure and post-closure obligations. With acquisition, development or expansion of a waste management or disposal facility, materials recovery facility, compost facility, transfer station, or landfill gas-to-energy facility, we must often spend considerable time, effort and money to obtain or maintain required permits and approvals. There are no assurances that we will be able to obtain or maintain required governmental approvals. Once obtained, permits are subject to renewal, modification, suspension or revocation by the issuing authority.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20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regulatory environment in which we operate is influenced by changes in leadership at the federal, state, provincial and local levels. For example, divided government likely will impede significant legislative action in the 118th Congress, leading to an expectation that the White House will prioritize regulatory changes to implement parts of its agenda, including taking steps towards reinstating, and in some cases enhancing, policies and regulations rolled back by the previous administration. While increasing regulation may have a negative impact on our operating costs, extensive environmental regulation applicable to our industry is also a barrier to rapid entry that benefits our Company. Moreover, the risk reduction provided by stringent regulation is valuable to our customers and the communities we serve.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Federal Regulation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primary U.S. federal statutes affecting our business are summarized below:</w:t>
      </w:r>
    </w:p>
    <w:p>
      <w:pPr>
        <w:spacing w:after="0" w:line="117" w:lineRule="exact"/>
        <w:rPr>
          <w:sz w:val="20"/>
          <w:szCs w:val="20"/>
          <w:color w:val="auto"/>
        </w:rPr>
      </w:pPr>
    </w:p>
    <w:p>
      <w:pPr>
        <w:jc w:val="both"/>
        <w:ind w:left="720" w:right="79" w:hanging="319"/>
        <w:spacing w:after="0" w:line="29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58" w:lineRule="exact"/>
        <w:rPr>
          <w:rFonts w:ascii="Arial" w:cs="Arial" w:eastAsia="Arial" w:hAnsi="Arial"/>
          <w:sz w:val="16"/>
          <w:szCs w:val="16"/>
          <w:color w:val="auto"/>
        </w:rPr>
      </w:pPr>
    </w:p>
    <w:p>
      <w:pPr>
        <w:jc w:val="both"/>
        <w:ind w:left="720" w:right="79" w:hanging="319"/>
        <w:spacing w:after="0" w:line="286"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w:t>
      </w:r>
    </w:p>
    <w:p>
      <w:pPr>
        <w:sectPr>
          <w:pgSz w:w="11900" w:h="16838" w:orient="portrait"/>
          <w:cols w:equalWidth="0" w:num="1">
            <w:col w:w="9019"/>
          </w:cols>
          <w:pgMar w:left="1440" w:top="611" w:right="1440"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79" w:lineRule="auto"/>
        <w:rPr>
          <w:sz w:val="20"/>
          <w:szCs w:val="20"/>
          <w:color w:val="auto"/>
        </w:rPr>
      </w:pPr>
      <w:r>
        <w:rPr>
          <w:rFonts w:ascii="Arial" w:cs="Arial" w:eastAsia="Arial" w:hAnsi="Arial"/>
          <w:sz w:val="17"/>
          <w:szCs w:val="17"/>
          <w:color w:val="auto"/>
        </w:rPr>
        <w:t>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63" w:lineRule="exact"/>
        <w:rPr>
          <w:sz w:val="20"/>
          <w:szCs w:val="20"/>
          <w:color w:val="auto"/>
        </w:rPr>
      </w:pPr>
    </w:p>
    <w:p>
      <w:pPr>
        <w:jc w:val="both"/>
        <w:ind w:left="720" w:right="79" w:hanging="319"/>
        <w:spacing w:after="0" w:line="269"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federally protected surface waters, the Clean Water Act requires us to apply for and obtain discharge permits, conduct sampling and monitoring, and, under certain circumstances, reduce the quantity of pollutants in those discharges. The EPA also requires landfills and other waste-handling facilities to obtain storm water discharge permits, and if a landfill or other facility discharges wastewater through a sewage system to a publicly-owned treatment works, the facility must comply with discharge limits imposed by the treatment works. Further, before the development or expansion of a landfill can alter or affect certain “wetlands,” a permit may have to be obtained providing for mitigation or replacement wetlands. The Clean Water Act provides for civil, criminal and administrative penalties for violations of its provisions.</w:t>
      </w:r>
    </w:p>
    <w:p>
      <w:pPr>
        <w:spacing w:after="0" w:line="73" w:lineRule="exact"/>
        <w:rPr>
          <w:rFonts w:ascii="Arial" w:cs="Arial" w:eastAsia="Arial" w:hAnsi="Arial"/>
          <w:sz w:val="17"/>
          <w:szCs w:val="17"/>
          <w:color w:val="auto"/>
        </w:rPr>
      </w:pPr>
    </w:p>
    <w:p>
      <w:pPr>
        <w:jc w:val="both"/>
        <w:ind w:left="720" w:right="79" w:hanging="319"/>
        <w:spacing w:after="0" w:line="270"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Clean Air Act of 1970, as amended, provides for federal, state and local regulation of the emission of air pollutants. Many of our municipal solid waste (“MSW”) landfills and landfill gas-to-energy facilities are subject to regulations implemented under the Clean Air Act, including new source performance standards, emission guidelines and national emission standards for hazardous air pollutants. These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 Our vehicle fleet also must adhere to regulations implemented under the Clean Air Act, which authorizes the EPA to mandate controls on air pollution from mobile sources.</w:t>
      </w:r>
    </w:p>
    <w:p>
      <w:pPr>
        <w:spacing w:after="0" w:line="72" w:lineRule="exact"/>
        <w:rPr>
          <w:rFonts w:ascii="Arial" w:cs="Arial" w:eastAsia="Arial" w:hAnsi="Arial"/>
          <w:sz w:val="17"/>
          <w:szCs w:val="17"/>
          <w:color w:val="auto"/>
        </w:rPr>
      </w:pPr>
    </w:p>
    <w:p>
      <w:pPr>
        <w:jc w:val="both"/>
        <w:ind w:left="720" w:right="79" w:hanging="319"/>
        <w:spacing w:after="0" w:line="25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the Occupational Safety and Health Administration,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State, Provincial and Local Regulations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and laws governing where recyclable materials can be sold. Some counties, municipalities and other local governments have adopted similar laws and regulations. Our facilities and operations are likely to be subject to these types of requirements.</w:t>
      </w:r>
    </w:p>
    <w:p>
      <w:pPr>
        <w:spacing w:after="0" w:line="16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landfill operations are affected by the increasing preference for alternatives to landfill disposal. Many state and local governments mandate recycling and waste reduction at the source and prohibit the disposal of certain types of materials at landfills, such as recyclable materials (cardboard, bottles and cans), yard waste, food waste and electronics. The number of state and local governments with recycling and diversion requirements and disposal bans continues to grow, while the logistics and economics of recycling or processing many of these items remain challenging.</w:t>
      </w:r>
    </w:p>
    <w:p>
      <w:pPr>
        <w:spacing w:after="0" w:line="16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Various states have enacted, or are considering enacting, laws that restrict or discourage the disposal within the state of solid waste generated outside the state. While laws that overtly discriminate against out-of-state waste have been found to be unconstitutional, some laws that are less overtly discriminatory have been upheld in court. From time to time, the</w:t>
      </w:r>
    </w:p>
    <w:p>
      <w:pPr>
        <w:sectPr>
          <w:pgSz w:w="11900" w:h="16838" w:orient="portrait"/>
          <w:cols w:equalWidth="0" w:num="1">
            <w:col w:w="9019"/>
          </w:cols>
          <w:pgMar w:left="1440" w:top="61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which has been upheld by the U.S. Supreme Court for waste directed to facilities owned by the local government. The U.S.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federal, state, provincial and local governments could take, and in some cases have taken, steps to implement EPR regulations for packaging, including traditional recyclables such as cardboard, bottles and cans. If wide-ranging EPR regulations were adopted, they could significantly impact the waste, recycling and other streams we manage and how we operate our business, including contract terms and pricing.</w:t>
      </w:r>
    </w:p>
    <w:p>
      <w:pPr>
        <w:spacing w:after="0" w:line="18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Developments and Focus Areas in Policy and Regulation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Climate and Sustainability</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Jurisdictions are increasingly taking action to reduce greenhouse gas (“GHG”) emissions through a broad range of climate policies. Landfills are one of the focal points for advancing climate-related goals, and we are actively working with policymakers to promote recognition of the significant reductions in GHG emissions that our industry already has achieved and the work being done to further reduce emissions, the challenges associated with quantifying landfill emissions precisely, and the role of our sector in providing an essential, and highly regulated, public service.</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also are closely monitoring the evolving capabilities of ground, aerial, and satellite-based methane detection and monitoring systems, and investing in pilot programs to further explore these innovations for applicability to our operations. We continue to expand our work with various private and government entities employing ground, aerial and satellite-based measurements of our sites. As these technologies are expected to advance rapidly in the coming years, we are actively engaged with the ECCC and EPA on the implications of the changing landscape for the waste industry and potential future regulation.</w:t>
      </w:r>
    </w:p>
    <w:p>
      <w:pPr>
        <w:spacing w:after="0" w:line="19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light of regulatory and business developments related to concerns about climate change, we have identified strategic business opportunities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composting, and conversion of landfill gas and discarded materials into electricity and fuel. We use carbon life cycle assessment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w:t>
      </w:r>
    </w:p>
    <w:p>
      <w:pPr>
        <w:sectPr>
          <w:pgSz w:w="11900" w:h="16838" w:orient="portrait"/>
          <w:cols w:equalWidth="0" w:num="1">
            <w:col w:w="9019"/>
          </w:cols>
          <w:pgMar w:left="1440" w:top="611"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these endeavors, and actively seek opportunities for public policy discussion on more sustainable materials management practices. In addition, we work with stakeholders at the federal, state, and provincial level in support of legislation that encourages production and use of renewable, low-carbon fuels and electricity.</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continue to assess the physical risks to our Company’s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Consistent with our Company’s long-standing commitment to sustainability and environmental stewardship, we have published our 2022 Sustainability Report, providing details on our environmental, social and governance (“ESG”) performance and outlining new 2030 goals. The Sustainability Report conveys the strong linkage between the Company’s ESG goals and our growth strategy, inclusive of the planned expansion of the Company’s recycling and renewable energy businesses. The information in this report can be found at https://sustainability.wm.com but it does not constitute a part of, and is not incorporated by reference into, this Annual Report on Form 10-K. The Company actively participates in a number of sustainability reporting programs and frameworks.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PFAS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Efforts to safeguard communities from contamination with per- and polyfluoroalkyl substances (“PFAS”) have drawn increased attention by the federal government and in the states. PFAS are a large group of chemicals that have been used in industrial and consumer products since the 1940s, including in products as diverse as carpets, paints and stains, water-resistant clothing and fabrics, nonstick cookware, food packaging, and firefighting chemicals. Possible human health effects of exposure to certain PFAS compounds may include low infant birth weights, immune system impacts, or cancer. In 2021, the EPA released its PFAS Strategic Roadmap, providing a high-level overview of activities that the agency intends to take through 2024 to address PFAS contamination. These actions include establishing drinking water standards, expanded authority for PFAS remediation, research and data collection on landfill discharges of PFAS in leachate, new risk assessments and test procedures, and updated guidance on PFAS disposal and destruction options. During 2022, the EPA proposed designation of two PFAS compounds as hazardous substances under CERCLA. We are closely monitoring this proposed rulemaking. In addition, an increasing number of states have enacted new drinking water, surface water and/or groundwater limits for various PFAS, which has led to a patchwork of PFAS standards across the U.S. Compliance with new and proposed state and federal PFAS standards is anticipated to result in additional expense to the Company, but such standards are also anticipated to present potential business opportunities in the area of PFAS management, treatment and disposal.</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Recycling; Foreign Import and Export Regulations and Material Restrictions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Enforcement or implementation of foreign and domestic regulations can affect our ability to export recyclables. Attention on waste in the environment has led to new international laws restricting the flow of certain recyclables. As an example, on January 1, 2021, new restrictions on the international trade of most plastics went into effect as part of the Basel Convention on the Control of Transboundary Movements of Hazardous Wastes and Their Disposal. At this time, the U.S. is not a party to the Basel Convention, but most countries to which we export commodities are, which may limit our ability to export certain plastics. However, we do not ship plastics collected on our residential recycling routes and processed at our single stream material recovery facilities to locations outside of North America.</w:t>
      </w:r>
    </w:p>
    <w:p>
      <w:pPr>
        <w:spacing w:after="0" w:line="17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recent years, new and updated international regulations affecting, and in some cases restricting, the international flow of certain recyclables have led to a reduction in export activity for such recyclables, as well as higher quality requirements, and higher processing costs. COVID-19 placed additional financial stress on recyclers and municipalities, resulting in some recycling programs being paused or eliminated. These changes have led to a number of states and provinces considering and several implementing EPR regulations.</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Prices and demand for recyclables fluctuate. While demand for recyclables generally continues to trend upwards, during the second half of 2022, we saw significant declines in commodity prices for recycled material, and we expect significant commodity price headwinds to continue into 2023, resulting from the slowdown in the global economy, which</w:t>
      </w:r>
    </w:p>
    <w:p>
      <w:pPr>
        <w:sectPr>
          <w:pgSz w:w="11900" w:h="16838" w:orient="portrait"/>
          <w:cols w:equalWidth="0" w:num="1">
            <w:col w:w="9019"/>
          </w:cols>
          <w:pgMar w:left="1440" w:top="61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reduced retail demand and the corresponding need for cardboard packaging to ship retail goods. Recycling revenues attributable to yield increased $19 million and $537 million in 2022 and 2021, respectively, as compared with the prior year periods primarily from higher market prices for recycling commodities in 2021 and the first half of 2022, before the significant downturn in the second half of 2022.</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announced a sustainability growth strategy that includes significant planned investments in our recycling business to increase automation and reduce labor dependency. Such investments are also targeted at addressing increases in quality requirements for commodities. These investments increase our exposure to commodity price fluctuations. We mitigate some of the effects of price fluctuation through the contract terms pursuant to which we sell commodities, such as floor pricing. Additionally, future regulation, tariffs, international trade policies or other initiatives, including regulations addressing climate change or GHG emissions, may impact supply and demand of material, or increase operating costs, which could impact the profitability of our recycling operations.</w:t>
      </w:r>
    </w:p>
    <w:p>
      <w:pPr>
        <w:spacing w:after="0" w:line="17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For the past several years, we have been working with stakeholders to educate the public on the need to recycle properly. We continue to invest time and effort in working closely with customers to improve the quality of materials received at our facilities. We have continued our focus on developing a sustainable recycling business model that meets customers’ environmental needs by passing through the increasing cost of processing and higher contamination rates, and these efforts continued to have a positive impact on the operating results for our recycling business in 2022.</w:t>
      </w:r>
    </w:p>
    <w:p>
      <w:pPr>
        <w:spacing w:after="0" w:line="161"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With a heightened awareness of the global problems caused by plastic waste in the environment, Canada and an increasing number of cities and states across the U.S.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with no or limited viable end markets for many of these materials, we and other recyclers are working to educate and remind customers of the need for end market demand and economic viability to support sustainable recycling programs. We are also making investments in end markets to support the collection and processing of some of these materials. With increased focus on responsible management of plastics, our procurement team has taken a proactive approach to ensure environmental sustainability goals are prioritized in managing the products we buy.</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Tax Legislation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Inflation Reduction Act of 2022 (“IRA”) was signed into law by President Biden on August 16, 2022 and contains a number of tax-related provisions. The provisions of the IRA related to alternative fuel tax credits secure approximately $55 million of annual pre-tax benefit (to be recorded as a reduction in our operating expense) from tax credits through 2024, which is in line with the benefit we have realized from our alternative fuel tax credits in prior years. Additionally, we will incur an excise tax of 1% for future common stock repurchases, which will be reflected in the cost of purchasing the underlying shares as a component of treasury stock. The IRA contains a number of additional provisions related to tax incentives for investments in renewable energy production, carbon capture, and other climate actions, as well as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current expectation is the minimum corporate tax will not have an impact on the Company. With respect to only the investment tax credit aspect of the IRA, we expect the cumulative benefit to be between $250 million and $350 million, a large portion of which is anticipated to be realized in 2025. Additionally, the production tax credit incentives for investments in renewable energy and the carbon capture provisions of the IRA will likely result in incremental benefit, although at this time the amount of those benefits have not been quantified.</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Regulation of Oil and Gas Exploration, Production and Disposal</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Sustainability and Environmental Services business provides specialized environmental management and disposal services for fluids used and wastes generated by customers engaged in oil and gas exploration and production, and these disposal services include use of underground injection wells. There is heightened federal regulatory focus on emissions of methane that occur during drilling and transportation of natural gas, as well as state attention to protective disposal of drilling residuals. There also remains heightened attention from the public, some states and the EPA to the</w:t>
      </w:r>
    </w:p>
    <w:p>
      <w:pPr>
        <w:sectPr>
          <w:pgSz w:w="11900" w:h="16838" w:orient="portrait"/>
          <w:cols w:equalWidth="0" w:num="1">
            <w:col w:w="9019"/>
          </w:cols>
          <w:pgMar w:left="1440" w:top="611"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alleged potential for hydraulic fracturing that occurs during drilling to impact drinking water supplies. Increased regulation of oil and gas exploration and production, including GHG emissions or hydraulic fracturing, could make it more difficult or cost-prohibitive for our customers to continue operations, adversely affecting our business.</w:t>
      </w:r>
    </w:p>
    <w:p>
      <w:pPr>
        <w:spacing w:after="0" w:line="16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Additionally, any new regulations regarding the treatment and disposal of wastes associated with exploration and production operations, including through use of injection wells, could increase our costs to provide oilfield services and reduce our margins and revenue from such services. Conversely, any loosening of regulations regarding how such wastes are handled or disposed of could adversely affect our business, as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Investment in Natural Gas Vehicles and Infrastructure</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operate a large fleet of natural gas vehicles, and we plan to continue to invest in these assets for our collection fleet. Natural gas fueling infrastructure is not yet broadly available in the U.S. and Canada; as a result, we have constructed and operate natural gas fueling stations, some of which also serve the public or pre-approved third parties. Concerns have been raised about the potential for emissions from the fueling stations and infrastructure that serve natural gas-fueled vehicles. Additional regulation of, or restrictions on, natural gas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w:t>
      </w:r>
    </w:p>
    <w:p>
      <w:pPr>
        <w:spacing w:after="0" w:line="19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There is increasing pressure to reduce the use of fossil fuel in the heavy-duty truck industry, and some cities and states are pursuing requirements for using alternative engine technology, such as electric powered vehicles, rather than natural gas or diesel vehicles. This is resulting in regulatory actions to advance the adoption of zero-emission vehicles and a gradual shift away from tax incentives and grants for natural gas trucks. Although current options for heavy-duty electric vehicles lack sufficient range and proven experience for our operations, we are proactively engaging in pilots of electric powered heavy-duty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Renewable Energy Production</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have announced a sustainability growth strategy that includes significant planned investments in our renewable energy business. We have invested, and continue to invest, in facilities to capture methane produced from the Company’s landfills and convert it into RNG and electricity. RNG produced from our landfills, as well as dairy biogas, constitute a significant source of fuel for our natural gas collection vehicles. Following enactment of the IRA, which included expanded tax credits for the construction of new RNG production and renewable electricity generation facilities, we expect to accelerate our investments in these areas. The Company’s investment in renewable energy production also is guided by the EPA’s implementation of the RFS program, which promotes the production and use of renewable transportation fuels. Many of our facilities are the EPA-registered producers of transportation fuel making compressed and liquefied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RINs, from renewable fuel producers. Notably, market uncertainty related to the EPA’s implementation of the RFS program in recent years has led to volatility in the price of RINs.</w:t>
      </w:r>
    </w:p>
    <w:p>
      <w:pPr>
        <w:spacing w:after="0" w:line="16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EPA issued a highly anticipated proposed rule in late 2022 establishing biofuel blending volumes under the RFS program for compliance years 2023 through 2025. The proposed rule reflects the outsized role of biogas under the program, delivers on many reforms that benefit the solid waste sector, recognizes the continued growth of the market for RNG in vehicle applications, and incentivizes the generation of electricity from landfill biogas for use in fueling electric vehicles. We will continue to advocate for the current administration to implement policies that reduce the potential for volatility in the RINs market and ensure long-term stability for renewable transportation fuels, as changes in the RFS market or the</w:t>
      </w:r>
    </w:p>
    <w:p>
      <w:pPr>
        <w:sectPr>
          <w:pgSz w:w="11900" w:h="16838" w:orient="portrait"/>
          <w:cols w:equalWidth="0" w:num="1">
            <w:col w:w="9019"/>
          </w:cols>
          <w:pgMar w:left="1440" w:top="611"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structure of the RFS program can and has impacted the financial performance of the facilities constructed to capture and treat the gas.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Environmental Justice</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Federal, state, and local governments are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Our Company supports policies seeking to advance high standards of environmental performance and the fair treatment of people of all races, cultures, and incomes, and we continue to proactively engage with local communities. We are actively monitoring recent regulatory developments in this area as additional conditions imposed on permitting decisions could increase the time and cost involved to pursue and maintain necessary permits.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are often identified by the words, “will,” “may,” “should,” “continue,” “anticipate,” “believe,” “expect,” “plan,” “forecast,” “project,” “estimate,” “intend” and words of a similar nature and generally include statements regarding:</w:t>
      </w:r>
    </w:p>
    <w:p>
      <w:pPr>
        <w:spacing w:after="0" w:line="25"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results of operations, including revenues, earnings or cash flows;</w:t>
      </w:r>
    </w:p>
    <w:p>
      <w:pPr>
        <w:spacing w:after="0" w:line="36"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36" w:lineRule="exact"/>
        <w:rPr>
          <w:rFonts w:ascii="Arial" w:cs="Arial" w:eastAsia="Arial" w:hAnsi="Arial"/>
          <w:sz w:val="18"/>
          <w:szCs w:val="18"/>
          <w:color w:val="auto"/>
        </w:rPr>
      </w:pPr>
    </w:p>
    <w:p>
      <w:pPr>
        <w:ind w:left="720" w:right="79" w:hanging="319"/>
        <w:spacing w:after="0" w:line="26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 estimates or assumptions relating to our operational or financial performance, including anticipated impacts of the Inflation Reduction Act of 2022;</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 estimates or assumptions relating to our capital expenditures; or</w:t>
      </w:r>
    </w:p>
    <w:p>
      <w:pPr>
        <w:spacing w:after="0" w:line="36"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opinions, views or beliefs about the effects of current or future events, circumstances or performance.</w:t>
      </w:r>
    </w:p>
    <w:p>
      <w:pPr>
        <w:spacing w:after="0" w:line="15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You should view these statements with caution. These statements are not guarantees of future performance, circumstances or events. They are based on facts and circumstances known to us as of the date the statements are made. The following discussion should be read together with the Consolidated Financial Statements and the notes thereto. Outlined below are some of the risks that we believe could affect our business and financial statements for 2023 and beyond and could cause actual results to be materially different from those set forth in forward-looking statements made by the Company. In addition to the following risks, there may be additional risks and uncertainties that adversely affect our business, performance, or financial condition in the future that are not presently known or are not currently believed to be material. We assume no obligation to update any forward-looking statement, whether as a result of future events, circumstances or developments or otherwise.</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Strategy and Operational Risks</w:t>
      </w:r>
    </w:p>
    <w:p>
      <w:pPr>
        <w:spacing w:after="0" w:line="189"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103"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for more information on our business strategy.</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63"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employees, customers or investors may not embrace and support our strategy.</w:t>
      </w:r>
    </w:p>
    <w:p>
      <w:pPr>
        <w:spacing w:after="0" w:line="36"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36" w:lineRule="exact"/>
        <w:rPr>
          <w:rFonts w:ascii="Arial" w:cs="Arial" w:eastAsia="Arial" w:hAnsi="Arial"/>
          <w:sz w:val="18"/>
          <w:szCs w:val="18"/>
          <w:color w:val="auto"/>
        </w:rPr>
      </w:pPr>
    </w:p>
    <w:p>
      <w:pPr>
        <w:jc w:val="both"/>
        <w:ind w:left="720" w:right="79" w:hanging="319"/>
        <w:spacing w:after="0" w:line="270"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key element of our strategy is yield management through focus on price leadership, which has presented challenges to keep existing business and win new business at reasonable returns. We have also continued our environmental fee, fuel surcharge and regulatory recovery fee to offset costs. The loss of volumes as a result of price increases and our unwillingness to pursue lower margin volumes may negatively affect our cash flows or results of operations. Additionally, we have in the past and may in the future face purported class action lawsuits related to our customer service agreements, prices and fees.</w:t>
      </w:r>
    </w:p>
    <w:p>
      <w:pPr>
        <w:spacing w:after="0" w:line="3" w:lineRule="exact"/>
        <w:rPr>
          <w:rFonts w:ascii="Arial" w:cs="Arial" w:eastAsia="Arial" w:hAnsi="Arial"/>
          <w:sz w:val="17"/>
          <w:szCs w:val="17"/>
          <w:color w:val="auto"/>
        </w:rPr>
      </w:pPr>
    </w:p>
    <w:p>
      <w:pPr>
        <w:ind w:left="720" w:right="79" w:hanging="319"/>
        <w:spacing w:after="0" w:line="26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unsuccessful in implementing our technology-led automation and optimization strategy and other improvements to operational efficiency and such efforts may not yield the intended result.</w:t>
      </w:r>
    </w:p>
    <w:p>
      <w:pPr>
        <w:ind w:left="720" w:right="79" w:hanging="319"/>
        <w:spacing w:after="0" w:line="26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maintain cost savings achieved through our automation and optimization efforts, due to inflationary cost pressure or otherwise.</w:t>
      </w:r>
    </w:p>
    <w:p>
      <w:pPr>
        <w:ind w:left="720" w:right="79" w:hanging="319"/>
        <w:spacing w:after="0" w:line="281"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Strategic decisions with respect to our asset portfolio may result in impairments to our assets. See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w:t>
      </w:r>
      <w:r>
        <w:rPr>
          <w:rFonts w:ascii="Arial" w:cs="Arial" w:eastAsia="Arial" w:hAnsi="Arial"/>
          <w:sz w:val="17"/>
          <w:szCs w:val="17"/>
          <w:i w:val="1"/>
          <w:iCs w:val="1"/>
          <w:color w:val="auto"/>
        </w:rPr>
        <w:t xml:space="preserve"> We may record material charges against our earnings due to impairments to our assets</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jc w:val="both"/>
        <w:ind w:left="720" w:right="79" w:hanging="319"/>
        <w:spacing w:after="0" w:line="276"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jc w:val="both"/>
        <w:ind w:left="720" w:right="79" w:hanging="319"/>
        <w:spacing w:after="0" w:line="311"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Acquisitions, investments and/or new service offerings or lines of business may not increase our earnings in the timeframe anticipated, or at all, due to difficulties operating in new markets or providing new service offerings or lines of business, failure of technologies to perform as expected, failure to operate within budget, integration</w:t>
      </w:r>
    </w:p>
    <w:p>
      <w:pPr>
        <w:sectPr>
          <w:pgSz w:w="11900" w:h="16838" w:orient="portrait"/>
          <w:cols w:equalWidth="0" w:num="1">
            <w:col w:w="9019"/>
          </w:cols>
          <w:pgMar w:left="1440" w:top="61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spacing w:after="0" w:line="266" w:lineRule="auto"/>
        <w:rPr>
          <w:sz w:val="20"/>
          <w:szCs w:val="20"/>
          <w:color w:val="auto"/>
        </w:rPr>
      </w:pPr>
      <w:r>
        <w:rPr>
          <w:rFonts w:ascii="Arial" w:cs="Arial" w:eastAsia="Arial" w:hAnsi="Arial"/>
          <w:sz w:val="18"/>
          <w:szCs w:val="18"/>
          <w:color w:val="auto"/>
        </w:rPr>
        <w:t>issues, or regulatory issues and compliance costs, among others, and we may experience issues successfully integrating acquisitions into our internal controls, operations, and/or accounting systems.</w:t>
      </w:r>
    </w:p>
    <w:p>
      <w:pPr>
        <w:jc w:val="both"/>
        <w:ind w:left="720" w:right="79" w:hanging="319"/>
        <w:spacing w:after="0" w:line="273"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Integration of acquisitions and/or new services offerings or lines of business could increase our exposure to the risk of inadvertent noncompliance with applicable laws and regulations, and any expansion into markets outside of North America would result in our business being subject to new laws and regulatory regimes, resulting in greater exposure to risk of inadvertent noncompliance and additional compliance costs.</w:t>
      </w:r>
    </w:p>
    <w:p>
      <w:pPr>
        <w:spacing w:after="0" w:line="1" w:lineRule="exact"/>
        <w:rPr>
          <w:rFonts w:ascii="Arial" w:cs="Arial" w:eastAsia="Arial" w:hAnsi="Arial"/>
          <w:sz w:val="17"/>
          <w:szCs w:val="17"/>
          <w:color w:val="auto"/>
        </w:rPr>
      </w:pPr>
    </w:p>
    <w:p>
      <w:pPr>
        <w:jc w:val="both"/>
        <w:ind w:left="720" w:right="79" w:hanging="319"/>
        <w:spacing w:after="0" w:line="25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Liabilities associated with acquisitions, including ones that may exist only because of past operations of an acquired business, may prove to be more difficult or costly to address than anticipated, and businesses or assets we acquire may have undisclosed liabilities, despite our efforts to minimize exposure to such risks through due diligence and other measures.</w:t>
      </w:r>
    </w:p>
    <w:p>
      <w:pPr>
        <w:jc w:val="both"/>
        <w:ind w:left="720" w:right="79" w:hanging="319"/>
        <w:spacing w:after="0" w:line="276"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Execution of our strategy, including growth through acquisitions and our planned expansion of our recycling and renewable energy businesses, may cause us to incur substantial additional indebtedness, which may divert capital away from our traditional business operations and other financial plans.</w:t>
      </w:r>
    </w:p>
    <w:p>
      <w:pPr>
        <w:ind w:left="720" w:right="79" w:hanging="319"/>
        <w:spacing w:after="0" w:line="26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chain disruptions or delays could detrimentally impact the execution timeline for our planned expansion of our recycling and renewable energy businesses.</w:t>
      </w:r>
    </w:p>
    <w:p>
      <w:pPr>
        <w:jc w:val="both"/>
        <w:ind w:left="720" w:right="79" w:hanging="319"/>
        <w:spacing w:after="0" w:line="311"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8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addition to the risks set forth above, implementation of our business strategy could also be affected by other factors beyond our control, such as increased competition, legal developments, government regulation, general economic conditions, including slower growth or recession, increased operating costs or expenses, subcontractor costs and availability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110" w:lineRule="exact"/>
        <w:rPr>
          <w:sz w:val="20"/>
          <w:szCs w:val="20"/>
          <w:color w:val="auto"/>
        </w:rPr>
      </w:pPr>
    </w:p>
    <w:p>
      <w:pPr>
        <w:jc w:val="both"/>
        <w:ind w:left="180" w:right="79"/>
        <w:spacing w:after="0" w:line="263" w:lineRule="auto"/>
        <w:rPr>
          <w:sz w:val="20"/>
          <w:szCs w:val="20"/>
          <w:color w:val="auto"/>
        </w:rPr>
      </w:pPr>
      <w:r>
        <w:rPr>
          <w:rFonts w:ascii="Arial" w:cs="Arial" w:eastAsia="Arial" w:hAnsi="Arial"/>
          <w:sz w:val="18"/>
          <w:szCs w:val="18"/>
          <w:b w:val="1"/>
          <w:bCs w:val="1"/>
          <w:i w:val="1"/>
          <w:iCs w:val="1"/>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103"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Stringent government regulations at the federal, state, provincial and local level in the U.S. and Canada have a substantial impact on our operations, and compliance with such regulations is costly. Many complex laws, rules, orders and interpretations govern environmental protection, health, safety, land use, zoning, transportation and related matters. Among other things, governmental regulations and enforcement actions restrict our operations at times and may adversely affect our financial condition, results of operations and cash flows by imposing conditions such as:</w:t>
      </w:r>
    </w:p>
    <w:p>
      <w:pPr>
        <w:spacing w:after="0" w:line="14" w:lineRule="exact"/>
        <w:rPr>
          <w:sz w:val="20"/>
          <w:szCs w:val="20"/>
          <w:color w:val="auto"/>
        </w:rPr>
      </w:pPr>
    </w:p>
    <w:p>
      <w:pPr>
        <w:ind w:left="720" w:right="79" w:hanging="319"/>
        <w:spacing w:after="0" w:line="26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recycling or processing facilities or on expanding existing facilities;</w:t>
      </w: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36" w:lineRule="exact"/>
        <w:rPr>
          <w:rFonts w:ascii="Arial" w:cs="Arial" w:eastAsia="Arial" w:hAnsi="Arial"/>
          <w:sz w:val="18"/>
          <w:szCs w:val="18"/>
          <w:color w:val="auto"/>
        </w:rPr>
      </w:pPr>
    </w:p>
    <w:p>
      <w:pPr>
        <w:ind w:left="720" w:right="79" w:hanging="319"/>
        <w:spacing w:after="0" w:line="26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bans, taxes or charges on disposal or transportation of out-of-state waste or certain categories of waste;</w:t>
      </w:r>
    </w:p>
    <w:p>
      <w:pPr>
        <w:ind w:left="720" w:right="79" w:hanging="319"/>
        <w:spacing w:after="0" w:line="26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mandates regarding the management of solid waste and other materials, including requirements to recycle, divert or otherwise process certain waste, recycling and other streams; or</w:t>
      </w:r>
    </w:p>
    <w:p>
      <w:pPr>
        <w:ind w:left="720" w:hanging="319"/>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limitations or restrictions on the recycling, processing or transformation of waste, recycling and other streams.</w:t>
      </w:r>
    </w:p>
    <w:p>
      <w:pPr>
        <w:spacing w:after="0" w:line="16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earlier than expected closure of landfills; the types of waste collected and manner in which it is transported and disposed of, including actions taken in the past by companies we have acquired or third-party landfill operators; environmental regulatory changes; new information about waste types previously collected, such as PFAS or other emerging contaminates and other reasons.</w:t>
      </w:r>
    </w:p>
    <w:p>
      <w:pPr>
        <w:sectPr>
          <w:pgSz w:w="11900" w:h="16838" w:orient="portrait"/>
          <w:cols w:equalWidth="0" w:num="1">
            <w:col w:w="9019"/>
          </w:cols>
          <w:pgMar w:left="1440" w:top="611"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federal, state, provincial and local governments could, and in several cases have, taken steps to implement EPR regulations for packaging, including traditional recyclables such as cardboard, bottles and cans. If wide-ranging EPR regulations were adopted, they could significantly impact the waste and recycling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business is subject to operational and safety risks, including the risk of personal injury to employees and others.</w:t>
      </w:r>
    </w:p>
    <w:p>
      <w:pPr>
        <w:spacing w:after="0" w:line="17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Providing environmental and waste management services, including constructing and operating landfills, transfer stations, material recovery facilities (“MRFs”) and other disposal facilities, and landfill gas-to-energy facilities, involves risks such as truck accidents, equipment defects, malfunctions and failures, and improper use of dangerous equipment.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as well as operation of heavy machinery and management of flammable materials at our MRFs and transfer stations,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1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125"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expand existing permitted capacity at our landfills, due to land scarcity, public opposition or otherwise, which can require us to identify disposal alternatives, resulting in decreased revenue and increased costs.</w:t>
      </w:r>
    </w:p>
    <w:p>
      <w:pPr>
        <w:spacing w:after="0" w:line="103"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Our ability to meet our financial and operating objectives depends in part on our ability to obtain and maintain the permits necessary to operate landfill sites and transfer stations.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alleged environmental damage. Such actions could also impact our ability to do business by causing reputational harm. Federal, state and local governments are also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Responding to permit challenges has, at times, increased our costs and extended the time associated with establishing new facilities and expanding existing facilities. In addition, failure to receive regulatory and zoning approval, as well as land scarcity, particularly in densely populated areas, may prohibit us from establishing new facilities or expanding existing facilities. Diminishing disposal capacity, typically in proximity to major metropolitan areas, sometimes requires us to transport waste by rail or find alternative disposal solutions in affected areas, increasing our operating costs. Our failure to obtain the required permits and necessary capacity expansion to operate our landfills could have a material adverse impact on our financial condition, results of operations and cash flows.</w:t>
      </w:r>
    </w:p>
    <w:p>
      <w:pPr>
        <w:sectPr>
          <w:pgSz w:w="11900" w:h="16838" w:orient="portrait"/>
          <w:cols w:equalWidth="0" w:num="1">
            <w:col w:w="9019"/>
          </w:cols>
          <w:pgMar w:left="1440" w:top="611"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80" w:right="59"/>
        <w:spacing w:after="0" w:line="311" w:lineRule="auto"/>
        <w:rPr>
          <w:sz w:val="20"/>
          <w:szCs w:val="20"/>
          <w:color w:val="auto"/>
        </w:rPr>
      </w:pPr>
      <w:r>
        <w:rPr>
          <w:rFonts w:ascii="Arial" w:cs="Arial" w:eastAsia="Arial" w:hAnsi="Arial"/>
          <w:sz w:val="16"/>
          <w:szCs w:val="16"/>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8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 xml:space="preserve">Our operations require us to attract, hire, develop and retain a high-quality workforce to provide a superior customer experience. This includes key individuals in leadership and specialty roles, as well as a very large number of drivers, technicians and other front-line and back-office team members necessary to provide our environmental services. We experience significant competition to hire and retain individuals for certain front-line positions, such as commercial truck drivers, from within and outside our industry. (Also see Item 1A. </w:t>
      </w:r>
      <w:r>
        <w:rPr>
          <w:rFonts w:ascii="Arial" w:cs="Arial" w:eastAsia="Arial" w:hAnsi="Arial"/>
          <w:sz w:val="16"/>
          <w:szCs w:val="16"/>
          <w:i w:val="1"/>
          <w:iCs w:val="1"/>
          <w:color w:val="auto"/>
        </w:rPr>
        <w:t>Risk Factors — Market disruption, including labor</w:t>
      </w:r>
      <w:r>
        <w:rPr>
          <w:rFonts w:ascii="Arial" w:cs="Arial" w:eastAsia="Arial" w:hAnsi="Arial"/>
          <w:sz w:val="16"/>
          <w:szCs w:val="16"/>
          <w:color w:val="auto"/>
        </w:rPr>
        <w:t xml:space="preserve"> </w:t>
      </w:r>
      <w:r>
        <w:rPr>
          <w:rFonts w:ascii="Arial" w:cs="Arial" w:eastAsia="Arial" w:hAnsi="Arial"/>
          <w:sz w:val="16"/>
          <w:szCs w:val="16"/>
          <w:i w:val="1"/>
          <w:iCs w:val="1"/>
          <w:color w:val="auto"/>
        </w:rPr>
        <w:t>shortages and supply chain constraints, and macroeconomic pressures, including inflation, have adversely impacted our business and results of operations</w:t>
      </w:r>
      <w:r>
        <w:rPr>
          <w:rFonts w:ascii="Arial" w:cs="Arial" w:eastAsia="Arial" w:hAnsi="Arial"/>
          <w:sz w:val="16"/>
          <w:szCs w:val="16"/>
          <w:color w:val="auto"/>
        </w:rPr>
        <w:t>.) Additionally, the market for employees that serve on our digital team is highly</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As we have accelerated our investments in our technology-led automation and optimization strategy, it is increasingly important that we are able to attract and retain employees with the skills and expertise necessary to implement and manage these projects. We also compete to attract skilled business leaders, and our own key team members are sought after by our competitors and other companies. We make significant investments, and engage in extensive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14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believe we have developed a reputation for high-quality service, reliability and social and environmental responsibility, and we believe our brand symbolizes these attributes. The WM brand name, trademarks and logos and our reputation are powerful sales and marketing tools, and we devote significant resources to promoting and protecting them. Adverse publicity, whether or not justified, relating to activities by our operations, employees or agents, or challenges to our assertions of social and environmental responsibility, could tarnish our reputation and reduce the value of our brand. Damage to our reputation could reduce demand for our services and potentially have an adverse effect on our financial condition, liquidity and results of operations, as well as require additional resources to rebuild our reputation and restore the value of our brand.</w:t>
      </w:r>
    </w:p>
    <w:p>
      <w:pPr>
        <w:spacing w:after="0" w:line="124" w:lineRule="exact"/>
        <w:rPr>
          <w:sz w:val="20"/>
          <w:szCs w:val="20"/>
          <w:color w:val="auto"/>
        </w:rPr>
      </w:pPr>
    </w:p>
    <w:p>
      <w:pPr>
        <w:jc w:val="both"/>
        <w:ind w:left="180" w:right="59"/>
        <w:spacing w:after="0" w:line="286" w:lineRule="auto"/>
        <w:rPr>
          <w:sz w:val="20"/>
          <w:szCs w:val="20"/>
          <w:color w:val="auto"/>
        </w:rPr>
      </w:pPr>
      <w:r>
        <w:rPr>
          <w:rFonts w:ascii="Arial" w:cs="Arial" w:eastAsia="Arial" w:hAnsi="Arial"/>
          <w:sz w:val="17"/>
          <w:szCs w:val="17"/>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to other vehicle types could impair these investments.</w:t>
      </w:r>
    </w:p>
    <w:p>
      <w:pPr>
        <w:spacing w:after="0" w:line="9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pre-approved third parties. It will remain necessary for us to invest capital in fueling infrastructure in order to power our natural gas fleet. Concerns have been raised about the potential for emissions from fueling infrastructure that serve natural gas-fueled vehicles. New regulation of, or restrictions on, natural gas fueling infrastructure or reductions in associated tax incentives could increase our operating costs. Additionally, fluctuations in the price and supply of natural gas could substantially increase our operating expenses; a reduction in the existing cost differential between natural gas and diesel fuel could materially reduce the benefits we anticipate from our investment in natural gas vehicles. Further, our fuel surcharge program is currently indexed to diesel fuel prices, and price fluctuations for natural gas may not effectively be recovered by this program.</w:t>
      </w:r>
    </w:p>
    <w:p>
      <w:pPr>
        <w:spacing w:after="0" w:line="8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There is increasing pressure to reduce the use of fossil fuel in the heavy-duty truck industry, and some cities and states are pursuing requirements for using alternative engine technology, such as electric powered vehicles, rather than natural gas or diesel vehicles. This is resulting in regulatory actions to advance the adoption of zero-emission vehicles and a gradual shift away from tax incentives and grants for natural gas trucks. Although current options for heavy-duty electric vehicles lack sufficient range and proven experience for our operations, we are proactively engaging in pilots of electric powered heavy-duty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w:t>
      </w:r>
    </w:p>
    <w:p>
      <w:pPr>
        <w:sectPr>
          <w:pgSz w:w="11900" w:h="16838" w:orient="portrait"/>
          <w:cols w:equalWidth="0" w:num="1">
            <w:col w:w="9019"/>
          </w:cols>
          <w:pgMar w:left="1440" w:top="611"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Increases in our labor costs as a result of labor unions organizing, changes in regulations related to labor unions or increases in employee minimum wages, could adversely affect our future results.</w:t>
      </w:r>
    </w:p>
    <w:p>
      <w:pPr>
        <w:spacing w:after="0" w:line="103"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124" w:lineRule="exact"/>
        <w:rPr>
          <w:sz w:val="20"/>
          <w:szCs w:val="20"/>
          <w:color w:val="auto"/>
        </w:rPr>
      </w:pPr>
    </w:p>
    <w:p>
      <w:pPr>
        <w:ind w:left="180" w:right="79"/>
        <w:spacing w:after="0" w:line="342" w:lineRule="auto"/>
        <w:rPr>
          <w:sz w:val="20"/>
          <w:szCs w:val="20"/>
          <w:color w:val="auto"/>
        </w:rPr>
      </w:pPr>
      <w:r>
        <w:rPr>
          <w:rFonts w:ascii="Arial" w:cs="Arial" w:eastAsia="Arial" w:hAnsi="Arial"/>
          <w:sz w:val="16"/>
          <w:szCs w:val="16"/>
          <w:b w:val="1"/>
          <w:bCs w:val="1"/>
          <w:i w:val="1"/>
          <w:iCs w:val="1"/>
          <w:color w:val="auto"/>
        </w:rPr>
        <w:t>The seasonal nature of our business, severe weather events resulting from climate change and event driven special projects cause our results to fluctuate, and prior performance may not be indicative of our future results.</w:t>
      </w:r>
    </w:p>
    <w:p>
      <w:pPr>
        <w:spacing w:after="0" w:line="43"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1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1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8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For these and other reasons, operating results in any period may not be indicative of operating results for any other period. Our stock price may be negatively impacted by interim variations in our results.</w:t>
      </w:r>
    </w:p>
    <w:p>
      <w:pPr>
        <w:spacing w:after="0" w:line="103" w:lineRule="exact"/>
        <w:rPr>
          <w:sz w:val="20"/>
          <w:szCs w:val="20"/>
          <w:color w:val="auto"/>
        </w:rPr>
      </w:pPr>
    </w:p>
    <w:p>
      <w:pPr>
        <w:jc w:val="both"/>
        <w:ind w:left="180" w:right="79"/>
        <w:spacing w:after="0" w:line="301" w:lineRule="auto"/>
        <w:rPr>
          <w:sz w:val="20"/>
          <w:szCs w:val="20"/>
          <w:color w:val="auto"/>
        </w:rPr>
      </w:pPr>
      <w:r>
        <w:rPr>
          <w:rFonts w:ascii="Arial" w:cs="Arial" w:eastAsia="Arial" w:hAnsi="Arial"/>
          <w:sz w:val="16"/>
          <w:szCs w:val="16"/>
          <w:b w:val="1"/>
          <w:bCs w:val="1"/>
          <w:i w:val="1"/>
          <w:iCs w:val="1"/>
          <w:color w:val="auto"/>
        </w:rPr>
        <w:t>We may not be able to achieve our sustainability and other environmental, social and governance ("ESG")-related goals, including reduction of our greenhouse gas ("GHG") emissions, or execute on our sustainability-related growth strategy and initiatives, within planned timelines, and expectations and regulations relating to ESG performance and disclosure can result in increased costs, risk of noncompliance, and related adverse effects.</w:t>
      </w:r>
    </w:p>
    <w:p>
      <w:pPr>
        <w:spacing w:after="0" w:line="90"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 xml:space="preserve">Consistent with our Company’s long-standing commitment to sustainability and environmental stewardship, we have set goals to reduce our GHG emissions and announced other ESG-related goals and initiatives. We have also announced a sustainability growth strategy that includes significant planned investments in our recycling and renewable energy businesses. Our ability to achieve these goals and successfully execute our sustainability growth strategy may be impacted by the numerous risks and uncertainties associated with our business and the environmental services industry, including financial and operating performance, availability of technology and financing, changes in regulation, commodity price fluctuation and general economic conditions. (Also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Our revenues, earnings and cash flows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will fluctuate based on changes in commodity prices, and commodity prices for recyclable materials are particularly susceptible to volatility based on macroeconomic conditions and regulations that affect our ability to export products </w:t>
      </w:r>
      <w:r>
        <w:rPr>
          <w:rFonts w:ascii="Arial" w:cs="Arial" w:eastAsia="Arial" w:hAnsi="Arial"/>
          <w:sz w:val="16"/>
          <w:szCs w:val="16"/>
          <w:color w:val="auto"/>
        </w:rPr>
        <w:t>and</w:t>
      </w:r>
    </w:p>
    <w:p>
      <w:pPr>
        <w:spacing w:after="0" w:line="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i w:val="1"/>
          <w:iCs w:val="1"/>
          <w:color w:val="auto"/>
        </w:rPr>
        <w:t>— We have announced a sustainability growth strategy that includes significant planned investments in our renewable energy businesses; changes to federal and state renewable fuel policies could affect our financial performance, and such investments may not yield the results anticipated.</w:t>
      </w:r>
      <w:r>
        <w:rPr>
          <w:rFonts w:ascii="Arial" w:cs="Arial" w:eastAsia="Arial" w:hAnsi="Arial"/>
          <w:sz w:val="18"/>
          <w:szCs w:val="18"/>
          <w:color w:val="auto"/>
        </w:rPr>
        <w:t>)</w:t>
      </w:r>
    </w:p>
    <w:p>
      <w:pPr>
        <w:spacing w:after="0" w:line="10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Some or all of the expected benefits of our sustainability-related investments and initiatives may not occur within the anticipated time periods, or may cost more to achieve than anticipated. An inability to develop, obtain, or scale necessary technology and innovations, and challenges arising from the availability or cost of materials and infrastructure associated</w:t>
      </w:r>
    </w:p>
    <w:p>
      <w:pPr>
        <w:sectPr>
          <w:pgSz w:w="11900" w:h="16838" w:orient="portrait"/>
          <w:cols w:equalWidth="0" w:num="1">
            <w:col w:w="9019"/>
          </w:cols>
          <w:pgMar w:left="1440" w:top="61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with our sustainability investments and initiatives, could impede our ability to execute on our plans and achieve our goals. Actions we take to achieve these goals and implement our sustainability growth strategy and initiatives, including development and implementation of enhanced technology and reporting systems, will require increased capital expenditures and management focus, which may divert investment and management focus away from other aspects of our business operations.</w:t>
      </w:r>
    </w:p>
    <w:p>
      <w:pPr>
        <w:spacing w:after="0" w:line="12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There is increasing governmental and social pressure on companies to develop and implement robust ESG policies, practices, and disclosures. The nature, scope and complexity of matters that our Company must assess and report are expanding due to growing mandatory and voluntary reporting on climate-related risks and other topics, such as water usage, waste production, labor, human capital, environmental justice, cybersecurity and privacy, and risk oversight. Our industry faces challenges from these and other rapidly changing laws, regulations, policies and related interpretations,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ESG risk and performance. An inability to implement such policies, practices, and internal controls and maintain compliance with laws and regulations, or a perception among stakeholders that our ESG disclosures and sustainability goals are insufficient or our goals are unattainable, could harm our reputation and competitive position and negatively impact our stock price and business performance.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External Economic and Industry Risks</w:t>
      </w:r>
    </w:p>
    <w:p>
      <w:pPr>
        <w:spacing w:after="0" w:line="189" w:lineRule="exact"/>
        <w:rPr>
          <w:sz w:val="20"/>
          <w:szCs w:val="20"/>
          <w:color w:val="auto"/>
        </w:rPr>
      </w:pPr>
    </w:p>
    <w:p>
      <w:pPr>
        <w:jc w:val="both"/>
        <w:ind w:left="180" w:right="79"/>
        <w:spacing w:after="0" w:line="311" w:lineRule="auto"/>
        <w:rPr>
          <w:sz w:val="20"/>
          <w:szCs w:val="20"/>
          <w:color w:val="auto"/>
        </w:rPr>
      </w:pPr>
      <w:r>
        <w:rPr>
          <w:rFonts w:ascii="Arial" w:cs="Arial" w:eastAsia="Arial" w:hAnsi="Arial"/>
          <w:sz w:val="16"/>
          <w:szCs w:val="16"/>
          <w:b w:val="1"/>
          <w:bCs w:val="1"/>
          <w:i w:val="1"/>
          <w:iCs w:val="1"/>
          <w:color w:val="auto"/>
        </w:rPr>
        <w:t>The COVID-19 global pandemic disrupted social and commercial activity and financial markets throughout North America; a significant resurgence or new variant of the COVID-19 virus, or other similar pandemic conditions, may have a material adverse impact on our business, financial condition, results of operations and cash flows.</w:t>
      </w:r>
    </w:p>
    <w:p>
      <w:pPr>
        <w:spacing w:after="0" w:line="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COVID-19 pandemic and related protective measures had a significant adverse impact on many sectors of the economy, including environmental services. The initial business closures and negative impact on general economic conditions resulted in volume declines and reductions in customers’ waste service needs, which negatively impacted our results of operations and cash flows. In particular, COVID-19 caused decreases in volumes in higher margin businesses, impacting key financial metrics.</w:t>
      </w:r>
    </w:p>
    <w:p>
      <w:pPr>
        <w:spacing w:after="0" w:line="10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 significant future resurgence in transmission of COVID-19, a significant new virus variant, or other pandemic conditions that result in business closures and social restrictions could adversely impact our volumes and costs. If such conditions were to deepen, resulting in a broad-based economic slow-down, it may have a material adverse impact on our financial condition, results of operations and cash flows and hinder our ability to grow our business and execute our business strategy. Additionally, if a large portion of our employee base were to become ill, it could impact our ability to provide timely and reliable service. Governmental regulation in response to pandemic conditions, including any vaccination requirements, could result in our inability to perform or compete for certain contracts, as well as significant cost, operational disruption, attrition and difficulty securing future labor needs.</w:t>
      </w:r>
    </w:p>
    <w:p>
      <w:pPr>
        <w:spacing w:after="0" w:line="111" w:lineRule="exact"/>
        <w:rPr>
          <w:sz w:val="20"/>
          <w:szCs w:val="20"/>
          <w:color w:val="auto"/>
        </w:rPr>
      </w:pPr>
    </w:p>
    <w:p>
      <w:pPr>
        <w:ind w:left="220" w:right="79"/>
        <w:spacing w:after="0" w:line="277" w:lineRule="auto"/>
        <w:rPr>
          <w:sz w:val="20"/>
          <w:szCs w:val="20"/>
          <w:color w:val="auto"/>
        </w:rPr>
      </w:pPr>
      <w:r>
        <w:rPr>
          <w:rFonts w:ascii="Arial" w:cs="Arial" w:eastAsia="Arial" w:hAnsi="Arial"/>
          <w:sz w:val="18"/>
          <w:szCs w:val="18"/>
          <w:b w:val="1"/>
          <w:bCs w:val="1"/>
          <w:i w:val="1"/>
          <w:iCs w:val="1"/>
          <w:color w:val="auto"/>
        </w:rPr>
        <w:t>Market disruption, including labor shortages and supply chain constraints, and macroeconomic pressures, including inflation, have adversely impacted our business and results of operations.</w:t>
      </w:r>
    </w:p>
    <w:p>
      <w:pPr>
        <w:spacing w:after="0" w:line="103"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Macroeconomic pressures, including inflation and rising interest rates, and market disruption resulting in labor market, supply chain and transportation constraints are continuing. Significant global supply chain disruption and the heightened pace of inflation have reduced availability and increased costs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 Additionally, we expect continued significant headwinds from commodity prices for recycled material into 2023, resulting from the slowdown in the global economy, which reduced retail demand and the corresponding need for cardboard packaging to ship retail goods. We are also currently experiencing margin pressures from commodity-driven business impacts, particularly from higher fuel prices. The constrained labor market has resulted in increased costs for wage adjustments, overtime hours and training new hires. If we are not able to overcome limitations on labor availability, it could materially impact our ability to service our customers and our financial results. Geopolitical conflict and the resulting international response, including Russia’s invasion of Ukraine, have also exacerbated market disruption, leading to volatility in commodity prices, impacts on the availability and cost of energy, and vendor and supplier disruptions across the global supply chain.</w:t>
      </w:r>
    </w:p>
    <w:p>
      <w:pPr>
        <w:sectPr>
          <w:pgSz w:w="11900" w:h="16838" w:orient="portrait"/>
          <w:cols w:equalWidth="0" w:num="1">
            <w:col w:w="9019"/>
          </w:cols>
          <w:pgMar w:left="1440" w:top="611"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Accelerated and pronounced economic pressures, such as the continuing inflationary cost pressure on labor and the goods and services we rely upon to deliver service to our customers, have had and continue to have a significant impact on our cost structure and capital expenditures. Significant components of our operating expenses vary directly as we experience changes in revenue due to volume and a heightened pace of inflation, and we may not be able to dynamically manage our cost structure in response to such changes. A significant portion of our revenue is tied to a price escalation index with a lookback provision, resulting in a timing lag in our ability to recover increased costs under those contracts during periods of rapid inflation. Separately, for many of our customers we provide services under multi-year contracts that can restrict our ability to increase prices and the timing of such increases. Our overall strategic pricing efforts are focused on recovering as much of the inflationary cost increases we experience in our business as possible by increasing our average unit rate, but such efforts may not be successful for various reasons including the pace of inflation, operating cost inefficiencies, contractual limitations, and market responses. The inability to adequately increase prices to offset increased costs and inflationary pressures, or otherwise mitigate the impact of these macroeconomic conditions and market disruptions on our business, will increase our costs of doing business and reduce our margins.</w:t>
      </w:r>
    </w:p>
    <w:p>
      <w:pPr>
        <w:spacing w:after="0" w:line="10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extent and duration of the impact of these labor market, supply chain, transportation and commodity-price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future resurgence of COVID-19 or other pandemic conditions and restrictions; geopolitical conflicts and responses; and supply and demand for recycled materials. If such impacts are prolonged and substantial, they could have a material negative effect on our results of operations.</w:t>
      </w:r>
    </w:p>
    <w:p>
      <w:pPr>
        <w:spacing w:after="0" w:line="110" w:lineRule="exact"/>
        <w:rPr>
          <w:sz w:val="20"/>
          <w:szCs w:val="20"/>
          <w:color w:val="auto"/>
        </w:rPr>
      </w:pPr>
    </w:p>
    <w:p>
      <w:pPr>
        <w:ind w:left="180" w:right="59"/>
        <w:spacing w:after="0" w:line="308" w:lineRule="auto"/>
        <w:rPr>
          <w:sz w:val="20"/>
          <w:szCs w:val="20"/>
          <w:color w:val="auto"/>
        </w:rPr>
      </w:pPr>
      <w:r>
        <w:rPr>
          <w:rFonts w:ascii="Arial" w:cs="Arial" w:eastAsia="Arial" w:hAnsi="Arial"/>
          <w:sz w:val="17"/>
          <w:szCs w:val="17"/>
          <w:b w:val="1"/>
          <w:bCs w:val="1"/>
          <w:i w:val="1"/>
          <w:iCs w:val="1"/>
          <w:color w:val="auto"/>
        </w:rPr>
        <w:t>The environmental services industry is highly competitive, and if we cannot successfully compete in the marketplace, our business, financial condition and operating results may be materially adversely affected.</w:t>
      </w:r>
    </w:p>
    <w:p>
      <w:pPr>
        <w:spacing w:after="0" w:line="6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or recycling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17"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Our revenues, earnings and cash flows will fluctuate based on changes in commodity prices, and commodity prices for recyclable materials are particularly susceptible to volatility based on macroeconomic conditions and regulations that affect our ability to export products.</w:t>
      </w:r>
    </w:p>
    <w:p>
      <w:pPr>
        <w:spacing w:after="0" w:line="11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Enforcement or implementation of foreign and domestic regulations can affect our ability to export products. In recent years, new and updated international regulations affecting, and in some cases restricting, the international flow of certain recyclables have led to a reduction in export activity for such recyclables, as well as higher quality requirements and higher processing costs. COVID-19 placed additional financial stress on recyclers and municipalities, resulting in some recycling programs being paused or eliminated. These changes have led to a number of states and provinces considering and several implementing EPR regulations.</w:t>
      </w:r>
    </w:p>
    <w:p>
      <w:pPr>
        <w:spacing w:after="0" w:line="11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Prices and demand for recyclables fluctuate. While demand for recyclables generally continues to trend upwards, during the second half of 2022, we saw significant declines in commodity prices for recycled material, and we expect significant commodity price headwinds to continue into 2023, resulting from the slowdown in the global economy, which reduced retail demand and the corresponding need for cardboard packaging to ship retail goods. Recycling revenues attributable to yield increased $19 million and $537 million in 2022 and 2021, respectively, as compared with the prior year periods primarily from higher market prices for recycling commodities in 2021 and the first half of 2022, before the significant downturn in the second half of 2022.</w:t>
      </w:r>
    </w:p>
    <w:p>
      <w:pPr>
        <w:sectPr>
          <w:pgSz w:w="11900" w:h="16838" w:orient="portrait"/>
          <w:cols w:equalWidth="0" w:num="1">
            <w:col w:w="9019"/>
          </w:cols>
          <w:pgMar w:left="1440" w:top="611"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have announced a sustainability growth strategy that includes significant planned investments in our recycling business to increase automation and reduce labor dependency. Such investments are also targeted at addressing increases in quality requirements for commodities. These investments increase our exposure to commodity price fluctuations. Additionally, future regulation, tariffs, international trade policies or other initiatives, including regulations addressing climate change or GHG emissions, may impact supply and demand of material, or increase operating costs, which could impact the profitability of our recycling operations. If the Company does not effectively manage changes in demand and commodity prices for recycling materials, or if we do not successfully execute our sustainability growth strategy, our investments in recycling infrastructure and technology may not yield the results anticipated.</w:t>
      </w:r>
    </w:p>
    <w:p>
      <w:pPr>
        <w:spacing w:after="0" w:line="9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Fluctuation in energy prices also affects our business, including recycling of plastics manufactured from petroleum products. We are currently experiencing commodity-price driven impacts from higher fuel costs. We have increased our investment in landfill gas-to-energy facilities and the size of our landfill gas recovery operations. Significant variations in the price of biogas, electricity and other energy-related products that are marketed and sold by our landfill gas recovery operations can result in a corresponding significant impact to our revenue from yield from such operations. Additionally, we provide specialized disposal services for oil and gas exploration and production operations through our energy services business. Demand for these services decreases when drilling activity slows due to depressed oil and gas prices, and our Company and the companies for which we provide these services could face increased regulation and corresponding costs as a result of regulations related to climate change or other environmental concerns. Any of the commodity prices to which we are subject may fluctuate substantially and without notice in the future.</w:t>
      </w:r>
    </w:p>
    <w:p>
      <w:pPr>
        <w:spacing w:after="0" w:line="101"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8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materials at landfills, such as recyclables (cardboard, bottles and cans), yard waste, food waste and electronics. Where organic waste is not banned from disposal in landfills, some large customers such as grocery stores and restaurants are choosing to divert their organic waste from landfills. Reducing landfilled organic waste also reduces the amount of landfill gas produced from our landfills, adversely impacting our landfill gas-to-energy facilities. Zero-waste goals (sending no waste to the landfill) have been set by many of the U.S. and Canada’s largest companies.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If we are not successful in expanding our service offerings, growing lines of businesses to service waste streams that do not go to landfills, and providing alternative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11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With a heightened awareness of the global problems caused by plastic waste in the environment, Canada and an increasing number of cities and states across the U.S.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there are currently no or limited viable end markets for recycling many of these materials, and inclusion of such materials in our recycling stream increases contamination and operating costs that can negatively affect the results of our recycling operations.</w:t>
      </w:r>
    </w:p>
    <w:p>
      <w:pPr>
        <w:spacing w:after="0" w:line="124"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General economic conditions, such as a broad-based economic recession, can directly and adversely affect revenues for environmental services and our income from operations margins.</w:t>
      </w:r>
    </w:p>
    <w:p>
      <w:pPr>
        <w:spacing w:after="0" w:line="8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business is directly affected by changes in national and general economic factors that are outside of our control, including consumer confidence, inflation, interest rates and access to capital markets. Many in the financial industry have predicted that the North American economy is poised to enter, or has entered, into a period of economic recession.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w:t>
      </w:r>
    </w:p>
    <w:p>
      <w:pPr>
        <w:sectPr>
          <w:pgSz w:w="11900" w:h="16838" w:orient="portrait"/>
          <w:cols w:equalWidth="0" w:num="1">
            <w:col w:w="9019"/>
          </w:cols>
          <w:pgMar w:left="1440" w:top="611"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and variety of services requested by customers. Additionally, a weak market for consumer goods can significantly decrease demand by paper mills for recycled corrugated cardboard used in packaging; such as was seen in the second half of 2022, negatively impacting commodity prices and our operating income and cash flows.</w:t>
      </w:r>
    </w:p>
    <w:p>
      <w:pPr>
        <w:spacing w:after="0" w:line="9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and our costs may increase more than the increase, if any, in the Consumer Price Index. This is partially due to our relatively high fixed-cost structure; we may not be able to dynamically manage our cost structure in response to shifting volume levels and vendor costs, and our cost structure may not correlate with the Consumer Price Index or the waste industry. An economic recession or other economic weakness is likely to negatively impact our revenues and margins.</w:t>
      </w:r>
    </w:p>
    <w:p>
      <w:pPr>
        <w:spacing w:after="0" w:line="110"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Weakness in the economy may expose us to credit risk of governmental entities and municipalities and other major customers, which could negatively impact our financial results.</w:t>
      </w:r>
    </w:p>
    <w:p>
      <w:pPr>
        <w:spacing w:after="0" w:line="8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 cost structures. During these periods, such entities, and our non-governmental customers, could be unable to pay amounts owed to us or renew contracts with us at previous or increased rates.</w:t>
      </w:r>
    </w:p>
    <w:p>
      <w:pPr>
        <w:spacing w:after="0" w:line="9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11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addition, the financial difficulties of municipalities could result in a decline in investors’ demand for municipal bonds and a correlating increase in interest rates. As of December 31, 2022, we had $725 million of tax-exempt bonds with term interest rate periods that expire within the next 12 months, which is prior to their scheduled maturities. If market dynamics resulted in repricing of our tax-exempt bonds at significantly higher interest rates, we would incur increased interest expenses that may negatively affect our operating results and cash flows.</w:t>
      </w:r>
    </w:p>
    <w:p>
      <w:pPr>
        <w:spacing w:after="0" w:line="95"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The Company’s effective tax rate and tax liability could materially change as a result of the adoption of new tax legislation and other factors.</w:t>
      </w:r>
    </w:p>
    <w:p>
      <w:pPr>
        <w:spacing w:after="0" w:line="103"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Predominantly all of the Company’s revenues are generated in the U.S., and changes in U.S. tax laws could materially impact our effective tax rate, financial condition and results of operations. The U.S. Tax Cuts and Jobs Act, enacted on December 22, 2017 (the “Tax Act”), had a significant impact on our effective tax rate, cash tax expenses and net deferred tax liabilities. The Tax Act reduced the U.S. corporate statutory tax rate and eliminated or limited the deduction of several expenses that were previously deductible, among other things. However, future changes in tax laws could reverse the impacts of the Tax Act and if ultimately enacted into law, such an increase could materially impact our tax provision, cash tax liability, effective tax rate and net deferred tax liabilities.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Significant shortages in diesel fuel supply or increases in diesel fuel prices will increase our operating expenses.</w:t>
      </w:r>
    </w:p>
    <w:p>
      <w:pPr>
        <w:spacing w:after="0" w:line="16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We need diesel fuel to run a significant portion of our collection and transfer trucks and our equipment used in our landfill operations. Fuel supply shortages and price increases could substantially increase our operating expenses. We have in place a fuel surcharge program, designed to offset increased fuel expenses; however, we may not be able to pass through all of our increased costs and some customers’ contracts prohibit any pass-through of the increased costs. Additionally, lawsuits have challenged our fuel and environmental charges included on our invoices. Regardless of any offsetting surcharge programs, increased operating costs due to higher diesel fuel prices will decrease our income from operations margins.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Technology and Information Security Risks</w:t>
      </w:r>
    </w:p>
    <w:p>
      <w:pPr>
        <w:spacing w:after="0" w:line="202" w:lineRule="exact"/>
        <w:rPr>
          <w:sz w:val="20"/>
          <w:szCs w:val="20"/>
          <w:color w:val="auto"/>
        </w:rPr>
      </w:pPr>
    </w:p>
    <w:p>
      <w:pPr>
        <w:ind w:left="180" w:right="79"/>
        <w:spacing w:after="0" w:line="381" w:lineRule="auto"/>
        <w:rPr>
          <w:sz w:val="20"/>
          <w:szCs w:val="20"/>
          <w:color w:val="auto"/>
        </w:rPr>
      </w:pPr>
      <w:r>
        <w:rPr>
          <w:rFonts w:ascii="Arial" w:cs="Arial" w:eastAsia="Arial" w:hAnsi="Arial"/>
          <w:sz w:val="15"/>
          <w:szCs w:val="15"/>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97"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103"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existing and proposed service offerings to customers require that we invest in, develop or license, and protect new technologies. Our Company is increasingly focusing on new technologies that automate and innovate our operations, improve the customer experience and provide alternatives to traditional disposal and maximize the resource value of waste. We are continuing our multi-year commitment to strategic investments in technology that prioritize reduction of labor dependency for certain high-turnover jobs, further digitalize our customer self-service and implement technologies to further enhance the safety, reliability and efficiency of our collection operations.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or acquired, which may negatively impact our operating results and prevent us from recouping or realizing a return on these investments and acquisitions. Further, protecting our intellectual property rights and combating unlicensed copying and use of intellectual property is difficult, and inability to obtain or protect new technologies could impact our services to customers and development of new revenue sources.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01"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103"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cost savings or other benefits. Significant system failures could impede our ability to timely collect and report financial results in accordance with applicable laws and regulations. In 2022, we implemented a new general ledger accounting system, complementary finance enterprise resource planning system and a human capital management system. These systems increase our utilization of, and dependance on, third-party “cloud” computing services in connection with our business operations. Employee work-from-home arrangements prompted by the COVID-19 pandemic increased various technology risks, including potential exposure to cyber incidents, loss of data, fraud, internal control challenges and other disruptions as a consequence of more employees accessing Company systems and information remotely in the course of their ordinary work.</w:t>
      </w:r>
    </w:p>
    <w:p>
      <w:pPr>
        <w:spacing w:after="0" w:line="104"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Significant cybersecurity incidents negatively impact our business and our relationships with customers, vendors and employees and expose us to increased liability.</w:t>
      </w:r>
    </w:p>
    <w:p>
      <w:pPr>
        <w:spacing w:after="0" w:line="8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Substantially all aspects of our business operations rely on digital technology. We use computers, mobile devices, social networking and other online platforms to connect with our employees, customers, and vendors. These uses give rise to cybersecurity risks, including security breach, espionage, system disruption, theft and inadvertent, unauthorized access and/or release of information. Our business necessitates the storage and transmission of numerous classes of sensitive and/or confidential information and intellectual property, including customers’ personal information, private and sensitive personal information about employees, and financial and strategic information about the Company and its business partners. In addition to our own safeguarding efforts, we also rely on a Payment Card Industry compliant third party to protect our customers’ credit card information.</w:t>
      </w:r>
    </w:p>
    <w:p>
      <w:pPr>
        <w:sectPr>
          <w:pgSz w:w="11900" w:h="16838" w:orient="portrait"/>
          <w:cols w:equalWidth="0" w:num="1">
            <w:col w:w="9019"/>
          </w:cols>
          <w:pgMar w:left="1440" w:top="611"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are regularly the target of attempted cyber intrusions, and we anticipate continuing to be subject to such attempts as cyber intrusions become increasingly sophisticated and more difficult to predict and protect against. Geopolitical conflict, including Russia’s invasion of Ukraine, has also increased the risk of cyber incidents. As such, we commit substantial resources to continuously monitor and further develop our networks and infrastructure to prevent, detect, and address the risk of unauthorized access, misuse, computer viruses and other events. Our security programs and measures do not prevent all intrusions. Cyber intrusions require a significant amount of time and effort to assess and remedy, and our incident response efforts may not be effective in all cases. Although we believe that the probability of occurrence of a significant cybersecurity incident is less than likely, if such an incident were to occur, the impact on the Company could be substantial. The Company experienced a cyber intrusion in the first quarter of 2021 that was promptly detected, and the third-party software vulnerability was quickly remediated. There was no impact to the Company’s operations, services or financial statements. A subsidiary of WMI provided notice to potentially affected individuals, U.S. state and federal regulators, and Canadian regulators. As a result of the cyber intrusion, regulatory investigations may result in costs, fines, penalties, or other obligations. A subsidiary of WMI was named as a defendant in a class action lawsuit related to this incident. Such case was dismissed in 2022, but an appeal by the plaintiffs is currently pending. The Company intends to vigorously defend itself against any such proceedings and does not expect that the outcome of any proceedings related to the 2021 incident will have a material adverse effect on the Company’s business, financial condition, results of operations or cash flows; however, assessing and responding to this intrusion required a significant amount of time and management attention. While the magnitude of future cyber intrusions that result in a theft, destruction, loss, misappropriation, or release of sensitive and/or confidential information or intellectual property, or material interference with our information technology systems or the technology systems of third parties on which we rely cannot be predicted, such incidents could result in material business disruption, direct financial loss, negative publicity, brand damage, alleged violation of privacy laws, loss of customers, potential regulatory enforcement or private litigation liability and competitive disadvantage. We maintain insurance for cyber incidents; however, due to policy terms, limits and exclusions, such insurance may not apply in all cases, and it may not be adequate to cover all liabilities incurred.</w:t>
      </w:r>
    </w:p>
    <w:p>
      <w:pPr>
        <w:spacing w:after="0" w:line="3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 the Company pursues its strategy to grow through acquisitions and to pursue new initiatives that improve our operations and cost structure, the Company is also expanding and improving its information technologies, resulting in a larger technological presence, utilization of “cloud” computing services, and corresponding exposure to cybersecurity risk. Certain new technologies, such as use of autonomous vehicles, remote-controlled equipment, virtual reality, automation and artificial intelligence,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11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Increased state, federal and international laws and regulations related to cybersecurity protections and disclosures may require additional resources for compliance, and any inability, or perceived inability, to adequately address new requirements could subject us to regulatory enforcement, private litigation, and public criticism, disrupt our operations, cause us to lose customers, result in additional costs and legal liability, damage our reputation, and otherwise harm our business.</w:t>
      </w:r>
    </w:p>
    <w:p>
      <w:pPr>
        <w:spacing w:after="0" w:line="107"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103"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certain personally identifiable information and other sensitive information in connection with providing services to our customers. We are subject to a variety of laws and regulations, and may become subject to additional pending laws and regulations, that govern the collection and use of such information obtained from individuals and businesses. These laws and regulations are inconsistent across jurisdictions and are subject to evolving interpretations. Government officials, regulators, privacy advocates and class action attorneys are increasingly scrutinizing how companies collect, process, use, store, share, transmit and destroy personal data. We must continually monitor the development and adoption of, and commit substantial time and resources to comply with, new and emerging laws and regulations. These laws and regulations provide disclosure obligations for businesses that collect personal information, individual rights relating to personal information, collection and storage requirements, automated decision-making transparency, and potential liability expansion. Any inability, or perceived inability, to adequately address privacy and data protection concerns, even if unfounded, or comply with applicable laws, regulations, policies, industry standards, contractual obligations, or other legal obligations, including at newly acquired companies, could</w:t>
      </w:r>
    </w:p>
    <w:p>
      <w:pPr>
        <w:sectPr>
          <w:pgSz w:w="11900" w:h="16838" w:orient="portrait"/>
          <w:cols w:equalWidth="0" w:num="1">
            <w:col w:w="9019"/>
          </w:cols>
          <w:pgMar w:left="1440" w:top="611" w:right="1440"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subject us to regulatory enforcement, private litigation, public criticism, business disruption, loss of customers, additional costs and legal liability, reputational damage, and other harm.</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189"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103"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There is risk of incurring significant environmental liabilities in the use, treatment, storage, transfer and disposal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through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10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alleged environmental damage or violation of statutes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9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119"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We have announced a sustainability growth strategy that includes significant planned investments in our renewable energy businesses; changes to federal and state renewable fuel policies could affect our financial performance, and such investments may not yield the results anticipated.</w:t>
      </w:r>
    </w:p>
    <w:p>
      <w:pPr>
        <w:spacing w:after="0" w:line="11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primary drivers of renewable fuel development at our landfills are tax policies, such as the recently expanded federal tax credits for renewable natural gas (“RNG”) production and renewable electricity generation, and federal and state incentive programs, such as the federal Renewable Fuel Standard (“RFS”) program and the California Low Carbon Fuel Standard. At the federal level, oil refiners and importers are required through the RFS program to blend specified volumes of renewable transportation fuels with gasoline or buy credits, referred to as renewable identification numbers (“RINs”), from renewable fuel producers. The Company has invested, and continues to invest, in facilities that capture and convert landfill gas into RNG, and also works with facilities that capture and convert dairy digester gas into RNG, so that we can participate in the program, and the Company has stated its intention to grow its asset base to notably increase its RNG production by 2026. RINs prices generally respond to regulations enacted by the EPA, as well as fluctuations in supply and demand. The value of the RINs associated with RNG is set through a market established by the program.</w:t>
      </w:r>
    </w:p>
    <w:p>
      <w:pPr>
        <w:spacing w:after="0" w:line="8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Prior to 2022, the EPA has promulgated rules on an annual basis establishing refiners’ obligations to purchase RNG and other cellulosic biofuels under the RFS program; however, the EPA issued a highly anticipated proposed rule in late 2022 setting forth the direction of the RFS program for compliance years 2023 through 2025. Although this proposal delivers on many reforms that benefit the solid waste sector, the EPA’s programmatic shift towards multi-year standards could lead to market uncertainty and volatility in the price of RINs. We continue to advocate for the current administration to implement policies that ensure long-term stability for renewable transportation fuels and expand opportunities for the biogas sector to participate in the RFS program. Changes in the RFS market, the structure of the RFS program or RINs prices and demand can and has impacted the financial performance of the facilities constructed to capture and treat the</w:t>
      </w:r>
    </w:p>
    <w:p>
      <w:pPr>
        <w:sectPr>
          <w:pgSz w:w="11900" w:h="16838" w:orient="portrait"/>
          <w:cols w:equalWidth="0" w:num="1">
            <w:col w:w="9019"/>
          </w:cols>
          <w:pgMar w:left="1440" w:top="611"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gas. Such changes could impact or alter our projected future investments, and such investments may not yield the results anticipated.</w:t>
      </w:r>
    </w:p>
    <w:p>
      <w:pPr>
        <w:spacing w:after="0" w:line="103"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The impact of climate change, and the adoption of climate change legislation or regulations restricting emissions of GHGs, could increase our costs to operate.</w:t>
      </w:r>
    </w:p>
    <w:p>
      <w:pPr>
        <w:spacing w:after="0" w:line="103"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We continue to assess the physical risks, such as sea-level rise, catastrophic storms and other extreme weather conditions and long-term shifts in climate patterns, and transition risks, such as regulatory, market, policy, and technology changes, to our operations from the effects of climate change. These risks are expected to be unpredictable and widespread.</w:t>
      </w:r>
    </w:p>
    <w:p>
      <w:pPr>
        <w:spacing w:after="0" w:line="6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Although we have made investments to mitigate risk associated with severe storm events,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flooding in low-lying areas enhanced by sea level rise can result in greater maintenance expenses at our facilities and service disruption, and more frequent or extreme rain events can erode the protective vegetative caps on our landfills and generate increased volumes of leachate to manage. Those areas of the country most prone to these occurrences have protocols in place, or are developing protocols to address these conditions, including employee safety, driver training, and equipment and facility protection protocols. We have incurred and will incur costs to develop and implement these protocols, and these protocols may not be effective in offsetting these risks. Additionally, the actions of others in response to climate change effects, such as the rolling power blackouts implemented in California in 2019 due to wildfire risks, can result in service disruptions and increase our costs to operate.</w:t>
      </w:r>
    </w:p>
    <w:p>
      <w:pPr>
        <w:spacing w:after="0" w:line="11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landfill operations emit methane, identified as a GHG. There are a number of legislative and regulatory efforts at the state, provincial, regional and federal levels to cap and/or curtail the emission of GHGs to ameliorate the effect of climate change, and otherwise to promote adaptation to climate change, support the transition to a low-carbon economy, and require disclosure of climate-related matters. We continue to monitor these efforts and the potential impacts to our operations. Additionally, existing technology presents challenges to our ability to quantify landfill emissions precisely. Should comprehensive federal climate change legislation be enacted, we expect it could impose operational and compliance costs that might not be offset by the revenue increases associated with our lower-carbon service options, the materiality of which we cannot predict. Climate change laws and regulations could also result in increased operational costs or disruption to the business of our customers, potentially impacting our operations and financial condition. We could also experience damage to our reputation and brand, including as a result of a failure or perceived failure to respond responsibly and effectively to changes in legal and regulatory measures adopted to address climate change.</w:t>
      </w:r>
    </w:p>
    <w:p>
      <w:pPr>
        <w:spacing w:after="0" w:line="104"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U.S. or foreign laws or regulations.</w:t>
      </w:r>
    </w:p>
    <w:p>
      <w:pPr>
        <w:spacing w:after="0" w:line="103"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Additionally, violations of such laws could subject us to significant fines and penalties.</w:t>
      </w:r>
    </w:p>
    <w:p>
      <w:pPr>
        <w:spacing w:after="0" w:line="125" w:lineRule="exact"/>
        <w:rPr>
          <w:sz w:val="20"/>
          <w:szCs w:val="20"/>
          <w:color w:val="auto"/>
        </w:rPr>
      </w:pPr>
    </w:p>
    <w:p>
      <w:pPr>
        <w:ind w:left="180" w:right="59"/>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103" w:lineRule="exact"/>
        <w:rPr>
          <w:sz w:val="20"/>
          <w:szCs w:val="20"/>
          <w:color w:val="auto"/>
        </w:rPr>
      </w:pPr>
    </w:p>
    <w:p>
      <w:pPr>
        <w:jc w:val="both"/>
        <w:ind w:left="60" w:right="59" w:firstLine="324"/>
        <w:spacing w:after="0" w:line="299" w:lineRule="auto"/>
        <w:rPr>
          <w:sz w:val="20"/>
          <w:szCs w:val="20"/>
          <w:color w:val="auto"/>
        </w:rPr>
      </w:pPr>
      <w:r>
        <w:rPr>
          <w:rFonts w:ascii="Arial" w:cs="Arial" w:eastAsia="Arial" w:hAnsi="Arial"/>
          <w:sz w:val="16"/>
          <w:szCs w:val="16"/>
          <w:color w:val="auto"/>
        </w:rPr>
        <w:t>As a large company with operations across the U.S. and Canada, we are subject to various proceedings, lawsuits, disputes and claims arising in the ordinary course of our business, including governmental proceedings.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1"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alleged environmental contamination, including releases of hazardous materials and odors;</w:t>
      </w:r>
    </w:p>
    <w:p>
      <w:pPr>
        <w:spacing w:after="0" w:line="36"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practices, customer service agreements, prices and fees; and</w:t>
      </w:r>
    </w:p>
    <w:p>
      <w:pPr>
        <w:spacing w:after="0" w:line="36"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and state wage and hour and other laws.</w:t>
      </w:r>
    </w:p>
    <w:p>
      <w:pPr>
        <w:sectPr>
          <w:pgSz w:w="11900" w:h="16838" w:orient="portrait"/>
          <w:cols w:equalWidth="0" w:num="1">
            <w:col w:w="9019"/>
          </w:cols>
          <w:pgMar w:left="1440" w:top="611"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229" w:lineRule="exact"/>
        <w:rPr>
          <w:sz w:val="20"/>
          <w:szCs w:val="20"/>
          <w:color w:val="auto"/>
        </w:rPr>
      </w:pPr>
    </w:p>
    <w:p>
      <w:pPr>
        <w:ind w:left="180" w:right="79"/>
        <w:spacing w:after="0" w:line="277"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103"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Macroeconomic pressures, including inflation and rising interest rates, and market disruption are continuing. The U.S. government’s decisions regarding its debt ceiling and the possibility that the U.S. could default on its debt obligations may cause further interest rate increases, disrupt access to capital markets and deepen recessionary conditions. Further, our ability to execute our financial strategy and our ability to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w:t>
      </w:r>
    </w:p>
    <w:p>
      <w:pPr>
        <w:spacing w:after="0" w:line="9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Additionally, we have $3.5 billion of debt as of December 31, 2022 that is exposed to changes in market interest rates within the next 12 months because of the impact of our commercial paper borrowings, our $1.0 billion, two-year, U.S. term credit agreement (“Term Loan”) and tax-exempt bonds. If interest rates increase, our interest expense would also increase, lowering our net income and decreasing our cash flow.</w:t>
      </w:r>
    </w:p>
    <w:p>
      <w:pPr>
        <w:spacing w:after="0" w:line="11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may use our $3.5 billion long-term U.S. and Canadian revolving credit facility (“$3.5 billion revolving credit facility”) to meet our cash needs, to the extent available, until maturity in May 2027. As of December 31, 2022, we had no outstanding borrowings under this facility. We had $166 million of letters of credit issued and $1.7 billion of outstanding borrowings (net of related discount on issuance) under our commercial paper program, both supported by this facility, leaving unused and available credit capacity of $1.6 billion as of December 31, 2022. In the event of a default under our $3.5 billion revolving credit facility, or our Term Loan,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27" w:lineRule="exact"/>
        <w:rPr>
          <w:sz w:val="20"/>
          <w:szCs w:val="20"/>
          <w:color w:val="auto"/>
        </w:rPr>
      </w:pPr>
    </w:p>
    <w:p>
      <w:pPr>
        <w:jc w:val="both"/>
        <w:ind w:left="180" w:right="59"/>
        <w:spacing w:after="0" w:line="263" w:lineRule="auto"/>
        <w:rPr>
          <w:sz w:val="20"/>
          <w:szCs w:val="20"/>
          <w:color w:val="auto"/>
        </w:rPr>
      </w:pPr>
      <w:r>
        <w:rPr>
          <w:rFonts w:ascii="Arial" w:cs="Arial" w:eastAsia="Arial" w:hAnsi="Arial"/>
          <w:sz w:val="18"/>
          <w:szCs w:val="18"/>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103"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amount of insurance we are required to maintain for environmental liability is governed by statutory requirements. We also carry a broad range of other insurance coverages that are customary for a company our size. To the extent our obligations for claims are more than we estimated, our insurance coverage is inadequate to cover our obligations, or our insurers are unable to meet their obligations, the requirement that we pay such obligations could have a material adverse effect on our financial results.</w:t>
      </w:r>
    </w:p>
    <w:p>
      <w:pPr>
        <w:spacing w:after="0" w:line="12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to fulfill our financial assurance obligations with respect to variable-rate tax-exempt debt, and final capping, closure, post-closure and environmental remediation obligations, we generally obtain letters of credit or surety bonds, rely on insurance, including captive insurance, fund trust and escrow accounts or rely upon WMI financial guarantees. Our financial position, which can be negatively affected by asset impairments, our credit profile and general economic factors, may increase the cost of our current financial assurance instruments, and changes in regulations may impose stricter requirements on the types of financial assurance that will be accepted. In the event we are unable to obtain sufficient surety bonding, letters of credit or third-party insurance coverage at reasonable cost, or one or more states cease</w:t>
      </w:r>
    </w:p>
    <w:p>
      <w:pPr>
        <w:sectPr>
          <w:pgSz w:w="11900" w:h="16838" w:orient="portrait"/>
          <w:cols w:equalWidth="0" w:num="1">
            <w:col w:w="9019"/>
          </w:cols>
          <w:pgMar w:left="1440" w:top="611"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to view captive insurance as adequate coverage, we would need to rely on other forms of financial assurance. It is possible that we could be required to deposit cash to collateralize certain obligations, which could negatively impact our liquidity.</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impairments to our assets.</w:t>
      </w:r>
    </w:p>
    <w:p>
      <w:pPr>
        <w:spacing w:after="0" w:line="15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accordance with U.S. Generally Accepted Accounting Principles (“GAAP”), we capitalize certain expenditures and advances relating to disposal site and other facility development, expansion projects, acquisitions, software development costs and other projects. Events that have in the past and may in the future lead to an impairment include, but are not limited to, shutting down a facility or operation, abandoning a development project, project cost overruns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15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including potential legislative changes, future withdrawals could have a material adverse effect on results of operations or cash flows for a particular reporting period, and our on-going costs of participation in Multiemployer Pension Plans may increase. See Notes 9 and 10 to the Consolidated Financial Statements for more information related to our participation in Multiemployer Pension Plans.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principal executive offices are in Houston, Texas where we lease approximately 285,000 square feet under a lease expiring in 2035. We also have administrative offices in Arizona, Connecticut, Illinois and India. We own or lease real property in most locations where we have operations or administrative functions. We have operations (i) in all 50 states except Montana; (ii) in the District of Columbia and (iii) throughout Canada.</w:t>
      </w:r>
    </w:p>
    <w:p>
      <w:pPr>
        <w:spacing w:after="0" w:line="18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In addition, we continue to make progress on our planned investments to expand our renewable energy and recycling businesses. As of December 31, 2022 and 2021, we owned and operated five and four renewable natural gas facilities, respectively. For more information, see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included within this report.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various operations as of December 31:</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0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Landfills owned or operated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Transfer stations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10 to the Consolidated Financial Statements included within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80" w:right="59" w:hanging="12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“WM.” The number of holders of record of our common stock on January 31, 2023 was 7,847.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127635</wp:posOffset>
            </wp:positionV>
            <wp:extent cx="5554980" cy="3429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5498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8"/>
              </w:rPr>
              <w:t>12/31/18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12/31/22</w:t>
            </w:r>
          </w:p>
        </w:tc>
        <w:tc>
          <w:tcPr>
            <w:tcW w:w="20" w:type="dxa"/>
            <w:vAlign w:val="bottom"/>
          </w:tcPr>
          <w:p>
            <w:pPr>
              <w:spacing w:after="0"/>
              <w:rPr>
                <w:sz w:val="14"/>
                <w:szCs w:val="14"/>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Waste Management,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 Jones Waste &amp; Disposal Services Index</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891"/>
        </w:trPr>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1"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 During 2022, we repurchased an aggregate of $1.5 billion of our common stock under accelerated share repurchase (“ASR”) agreements and open market transactions, which equated to 9.4 million shares with a weighted average price per share of $160.32, inclusive of per-share commissions. In addition, in December 2021, we executed an ASR agreement that completed in January 2022, at which time we received 0.4 million shares. See Note 13 to the Consolidated Financial Statements for additional information. We announced in December 2022 that the Board of Directors has authorized up to $1.5 billion in future share repurchases. This new authorization replaces our prior $1.5 billion authorization that was fully utilized in 2022.</w:t>
      </w:r>
    </w:p>
    <w:p>
      <w:pPr>
        <w:spacing w:after="0" w:line="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common stock repurchases made during the fourth quarter of 2022 (shares in millions):</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Approximate Maximum</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 Paid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6"/>
                <w:szCs w:val="16"/>
                <w:color w:val="auto"/>
              </w:rPr>
            </w:pPr>
          </w:p>
        </w:tc>
        <w:tc>
          <w:tcPr>
            <w:tcW w:w="1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282"/>
        </w:trPr>
        <w:tc>
          <w:tcPr>
            <w:tcW w:w="35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30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09"/>
        </w:trPr>
        <w:tc>
          <w:tcPr>
            <w:tcW w:w="3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$ 159.79</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 million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November 1 — 30</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6"/>
              </w:rPr>
              <w:t>$ 161.19 (b)</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84 million</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$ 161.19 (b)</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 billion</w:t>
            </w:r>
          </w:p>
        </w:tc>
        <w:tc>
          <w:tcPr>
            <w:tcW w:w="0" w:type="dxa"/>
            <w:vAlign w:val="bottom"/>
          </w:tcPr>
          <w:p>
            <w:pPr>
              <w:spacing w:after="0"/>
              <w:rPr>
                <w:sz w:val="1"/>
                <w:szCs w:val="1"/>
                <w:color w:val="auto"/>
              </w:rPr>
            </w:pPr>
          </w:p>
        </w:tc>
      </w:tr>
      <w:tr>
        <w:trPr>
          <w:trHeight w:val="209"/>
        </w:trPr>
        <w:tc>
          <w:tcPr>
            <w:tcW w:w="350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$ 161.13</w:t>
            </w:r>
          </w:p>
        </w:tc>
        <w:tc>
          <w:tcPr>
            <w:tcW w:w="2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October 2022, we repurchased 125,167 shares of our common stock in open market transactions in compliance with Rule 10b5-1 and Rule 10b-18 of the Exchange Act for $20 million, inclusive of per-share commissions, at a weighted average price of $159.79.</w:t>
      </w:r>
    </w:p>
    <w:p>
      <w:pPr>
        <w:spacing w:after="0" w:line="75" w:lineRule="exact"/>
        <w:rPr>
          <w:rFonts w:ascii="Arial" w:cs="Arial" w:eastAsia="Arial" w:hAnsi="Arial"/>
          <w:sz w:val="18"/>
          <w:szCs w:val="18"/>
          <w:color w:val="auto"/>
        </w:rPr>
      </w:pPr>
    </w:p>
    <w:p>
      <w:pPr>
        <w:jc w:val="both"/>
        <w:ind w:left="380" w:right="79" w:hanging="330"/>
        <w:spacing w:after="0" w:line="301"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November 2022, we delivered $417 million cash and received 2.1 million shares pursuant to an Accelerated Share Repurchase (“ASR”) agreement executed in late October 2022. In December 2022, we completed the ASR agreement and received 0.5 million additional shares based on a final weighted average price of $161.19. The “Average Price Paid per Share” in the table represents the final weighted average price per share paid for the ASR agreement.</w:t>
      </w:r>
    </w:p>
    <w:p>
      <w:pPr>
        <w:spacing w:after="0" w:line="157"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Any future share repurchases will be made at the discretion of management and will depend on various factors including our net earnings, financial condition and cash required for future business plans, growth and acquisitions.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2022.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considering those disclosures and together with the Consolidated Financial Statements and the notes thereto.</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w:t>
      </w:r>
    </w:p>
    <w:p>
      <w:pPr>
        <w:sectPr>
          <w:pgSz w:w="11900" w:h="16838" w:orient="portrait"/>
          <w:cols w:equalWidth="0" w:num="1">
            <w:col w:w="9019"/>
          </w:cols>
          <w:pgMar w:left="1440" w:top="611"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for our natural gas fleet. Additionally, we are a leading recycler in the U.S. and Canada, handling materials that include paper, cardboard, glass, plastic and metal. Our “Solid Waste” business is operated and managed locally by our subsidiaries that focus on distinct geographic areas and provide collection, transfer, disposal, and recycling and resource recovery services.</w:t>
      </w:r>
    </w:p>
    <w:p>
      <w:pPr>
        <w:spacing w:after="0" w:line="17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w:t>
      </w:r>
    </w:p>
    <w:p>
      <w:pPr>
        <w:spacing w:after="0" w:line="16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 xml:space="preserve">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published our 2022 Sustainability Report providing details on our Environmental, Social and Governance (“ESG”) performance and outlining new 2030 goals. The Sustainability Report conveys the strong linkage between the Company’s ESG goals and our growth strategy, inclusive of the planned expansion of the Company’s recycling and renewable energy businesses. The information in this report can be found at https://sustainability.wm.com but it does not constitute a part of, and is not incorporated by reference into, this Annual Report on Form 10 K. For further discussion see Item1.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 Recent Developments and Focus Areas in Policy and Regulation</w:t>
      </w:r>
      <w:r>
        <w:rPr>
          <w:rFonts w:ascii="Arial" w:cs="Arial" w:eastAsia="Arial" w:hAnsi="Arial"/>
          <w:sz w:val="16"/>
          <w:szCs w:val="16"/>
          <w:color w:val="auto"/>
        </w:rPr>
        <w:t>.</w:t>
      </w:r>
    </w:p>
    <w:p>
      <w:pPr>
        <w:spacing w:after="0" w:line="1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a heightened pace of</w:t>
      </w:r>
    </w:p>
    <w:p>
      <w:pPr>
        <w:sectPr>
          <w:pgSz w:w="11900" w:h="16838" w:orient="portrait"/>
          <w:cols w:equalWidth="0" w:num="1">
            <w:col w:w="9019"/>
          </w:cols>
          <w:pgMar w:left="1440" w:top="611"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inflation. Volume changes can fluctuate significantly by line of business and volume changes in higher margin businesses, such as what we saw with COVID-19, can impact key financial metrics. We must dynamically manage our cost structure in response to volume changes and cost inflation.</w:t>
      </w:r>
    </w:p>
    <w:p>
      <w:pPr>
        <w:spacing w:after="0" w:line="184"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Enhancements made through these initiatives are intended to seamlessly and digitally connect all the Company’s functions required to service our customers in order to provide the best experience and service. In late 2021, we began to execute on the next phase of this technology enablement strategy to automate and optimize certain elements of our service delivery model. This next phase will prioritize reduced labor dependency on certain high-turnover jobs, particularly in customer experience, recycling and residential collection. We continue to make these investments to further digitalize our customer self-service and implement technologies to further enhance the safety, reliability and efficiency of our collection operations. Additionally, in 2022, we implemented a new general ledger accounting system, complementary finance enterprise resource planning system and a human capital management system, which will drive operational and service excellence by empowering our people through a modern, simplified and connected employee experience.</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Macroeconomic pressures, including inflation and rising interest rates, and market disruption, resulting in labor market, supply chain and transportation constraints are continuing. Significant global supply chain disruption and the heightened pace of inflation have reduced availability and increased costs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w:t>
      </w:r>
    </w:p>
    <w:p>
      <w:pPr>
        <w:spacing w:after="0" w:line="192"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While demand for recyclables generally continues to trend upwards, during the second half of 2022, we saw significant declines in commodity prices for recycled materials, and we expect continued significant headwinds from commodity prices for recycled material into 2023, resulting from the slowdown in the global economy, which reduced retail demand and the corresponding need for cardboard packaging to ship retail goods. We are also currently experiencing margin pressures from other commodity-driven business impacts, particularly from higher fuel prices. The constrained labor market has resulted in increased costs for wage adjustments, overtime hours and training new hires. Geopolitical conflict and the resulting international response, including Russia’s invasion of Ukraine, have also exacerbated market disruption, leading to volatility in commodity prices, impacts on the availability and cost of energy, and vendor and supplier disruptions across the global supply chain. The extent and duration of the impact of these labor market, supply chain, transportation and recycling challenges are subject to numerous external factors beyond our control, including broader macroeconomic conditions; recessionary fears and/or an economic recession; size, location, and qualifications of the labor pool; wage and price structures; adoption of new or revised regulations; future resurgence of COVID-19 or other pandemic conditions and restrictions; geopolitical conflicts and responses and supply and demand for recycled materials. As we experience inflationary cost pressures, we focus on our strategic pricing efforts, as well as operating efficiencies and cost controls, to maintain and grow our earnings and cash flow. With these macroeconomic pressures, we remain focused on putting our people first to ensure that they are well positioned to execute our daily operations diligently and safely. We are encouraged by our results in 2022 and remain focused on delivering outstanding customer service, managing our variable costs with changing volumes and investing in technology that will enhance our customers’ experience and reduce our cost to serve.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 of Advanced Disposal Services, Inc. (“Advanced Disposal”)</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October 30, 2020, we completed our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grew our footprint and allows us to provide differentiated, sustainable waste management and recycling services to approximately three million new commercial, industrial and residential customers primarily located in the Eastern half of the U.S. In connection with our acquisition of Advanced Disposal, we and Advanced Disposal entered into an agreement that provided for GFL Environmental to acquire a combination of assets from us and Advanced Disposal</w:t>
      </w:r>
    </w:p>
    <w:p>
      <w:pPr>
        <w:sectPr>
          <w:pgSz w:w="11900" w:h="16838" w:orient="portrait"/>
          <w:cols w:equalWidth="0" w:num="1">
            <w:col w:w="9019"/>
          </w:cols>
          <w:pgMar w:left="1440" w:top="611"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to address divestitures required by the U.S. Department of Justice. Immediately following the acquisition, the divestiture transactions were consummated and the Company subsequently received cash proceeds from the sale of $856 million.</w:t>
      </w:r>
    </w:p>
    <w:p>
      <w:pPr>
        <w:spacing w:after="0" w:line="12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For the year ended December 31, 2022 and 2021, we incurred integration related costs of $10 million and $51 million, respectively, and for the year ended December 31, 2020, we incurred acquisition and integration related costs of $156 million, which were primarily classified as “Selling, general and administrative expenses”. The post-closing operating results of Advanced Disposal have been included in our consolidated financial statements, within our existing reportable segments. Post-closing through December 31, 2020, Advanced Disposal recognized $205 million, $142 million and $60 million of revenue, operating expenses and selling, general and administrative expenses, respectively, which are included in our Consolidated Statement of Operations.</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For more information related to our acquisitions, see Notes 11 and 17 to the Consolidated Financial Statements and the </w:t>
      </w:r>
      <w:r>
        <w:rPr>
          <w:rFonts w:ascii="Arial" w:cs="Arial" w:eastAsia="Arial" w:hAnsi="Arial"/>
          <w:sz w:val="18"/>
          <w:szCs w:val="18"/>
          <w:i w:val="1"/>
          <w:iCs w:val="1"/>
          <w:color w:val="auto"/>
        </w:rPr>
        <w:t xml:space="preserve">Summary of Cash Flow Activity </w:t>
      </w:r>
      <w:r>
        <w:rPr>
          <w:rFonts w:ascii="Arial" w:cs="Arial" w:eastAsia="Arial" w:hAnsi="Arial"/>
          <w:sz w:val="18"/>
          <w:szCs w:val="18"/>
          <w:color w:val="auto"/>
        </w:rPr>
        <w:t>section below.</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COVID-19 Impact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impacts of COVID-19 on the global economy increased rapidly during the second quarter of 2020, affecting our business in most geographies and across a variety of our customer types. Over the past two years, our volumes have recovered, largely exceeding volumes from the pre-pandemic levels in 2019. While we continue to be optimistic about North America’s overall economic recovery from the impacts of the COVID-19 pandemic. A significant future resurgence in transmission of COVID-19, a significant new virus variant, or other pandemic conditions that result in business closures and social restrictions could adversely impact our volumes and costs in the future.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Year Financial Results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During 2022, we continued to advance our strategic priorities—enhancing employee engagement, improving our operations through the use of technology and automation, and investing in growth through our recycling and renewable energy businesses. This strategic focus, combined with strong operational execution resulted in increased revenue, income from operations and income from operations margin driven primarily by both yield and volume growth in our collection and disposal business. We were able to achieve these results despite high inflationary cost pressures. We remain diligent in offering a competitively profitable service that meets the needs of our customers and are focused on driving operating efficiencies and reducing discretionary spend. We continue to invest in our people through market wage adjustments, investments in our digital platform and training for our team members. Despite the significant downturn in commodity prices for recyclable materials in the second half of the year, we remain committed to our investment in recycling automation, which reduces costs and increases throughput, positioning us to overcome commodity price headwinds and deliver a differentiated service. We also continue to make investments in automation and optimization to enhance our operational efficiency and improve labor productivity for all lines of business. During 2022, the Company allocated $2,587 million of available cash to capital expenditures. We also allocated $2,577 million of available cash to our shareholders during 2022 through dividends and common stock repurchases.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2022 financial results include:</w:t>
      </w:r>
    </w:p>
    <w:p>
      <w:pPr>
        <w:spacing w:after="0" w:line="117" w:lineRule="exact"/>
        <w:rPr>
          <w:sz w:val="20"/>
          <w:szCs w:val="20"/>
          <w:color w:val="auto"/>
        </w:rPr>
      </w:pPr>
    </w:p>
    <w:p>
      <w:pPr>
        <w:jc w:val="both"/>
        <w:ind w:left="720" w:right="79" w:hanging="319"/>
        <w:spacing w:after="0" w:line="29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Revenues of $19,698 million for 2022 compared with $17,931 million in 2021, an increase of $1,767 million, or 9.9%. The increase is primarily attributable to (i) higher yield in our collection and disposal lines of business;</w:t>
      </w:r>
    </w:p>
    <w:p>
      <w:pPr>
        <w:ind w:left="720" w:right="79" w:firstLine="5"/>
        <w:spacing w:after="0" w:line="260" w:lineRule="auto"/>
        <w:tabs>
          <w:tab w:leader="none" w:pos="10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increases from our fuel surcharge program and (iii) higher volume in our collection and disposal lines of business;</w:t>
      </w:r>
    </w:p>
    <w:p>
      <w:pPr>
        <w:spacing w:after="0" w:line="77" w:lineRule="exact"/>
        <w:rPr>
          <w:rFonts w:ascii="Arial" w:cs="Arial" w:eastAsia="Arial" w:hAnsi="Arial"/>
          <w:sz w:val="18"/>
          <w:szCs w:val="18"/>
          <w:color w:val="auto"/>
        </w:rPr>
      </w:pPr>
    </w:p>
    <w:p>
      <w:pPr>
        <w:jc w:val="both"/>
        <w:ind w:left="720" w:right="79" w:hanging="319"/>
        <w:spacing w:after="0" w:line="30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expenses of $12,294 million in 2022, or 62.4% of revenues, compared with $11,111 million, or 62.0% of revenues, in 2021. The $1,183 million increase is primarily attributable to (i) inflationary cost pressures, particularly for maintenance and repairs and subcontractor costs; (ii) commodity-driven business impacts from higher fuel prices and recycling and (iii) labor cost increases from frontline employee wage adjustments;</w:t>
      </w:r>
    </w:p>
    <w:p>
      <w:pPr>
        <w:spacing w:after="0" w:line="49" w:lineRule="exact"/>
        <w:rPr>
          <w:rFonts w:ascii="Arial" w:cs="Arial" w:eastAsia="Arial" w:hAnsi="Arial"/>
          <w:sz w:val="16"/>
          <w:szCs w:val="16"/>
          <w:color w:val="auto"/>
        </w:rPr>
      </w:pPr>
    </w:p>
    <w:p>
      <w:pPr>
        <w:jc w:val="both"/>
        <w:ind w:left="720" w:right="79" w:hanging="319"/>
        <w:spacing w:after="0" w:line="30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Selling, general and administrative expenses of $1,938 million in 2022, or 9.8% of revenues, compared with $1,864 million, or 10.4% of revenues, in 2021. The $74 million increase is primarily attributable to (i) higher costs associated with our strategic investments in our digital platform and sustainability initiatives; (ii) increased labor costs primarily from higher annual incentive compensation costs and merit increases; (iii) increased</w:t>
      </w:r>
    </w:p>
    <w:p>
      <w:pPr>
        <w:sectPr>
          <w:pgSz w:w="11900" w:h="16838" w:orient="portrait"/>
          <w:cols w:equalWidth="0" w:num="1">
            <w:col w:w="9019"/>
          </w:cols>
          <w:pgMar w:left="1440" w:top="611"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business travel and entertainment expense and (iv) an increase in provision for bad debts; partially offset by</w:t>
      </w:r>
    </w:p>
    <w:p>
      <w:pPr>
        <w:spacing w:after="0" w:line="35" w:lineRule="exact"/>
        <w:rPr>
          <w:sz w:val="20"/>
          <w:szCs w:val="20"/>
          <w:color w:val="auto"/>
        </w:rPr>
      </w:pPr>
    </w:p>
    <w:p>
      <w:pPr>
        <w:ind w:left="720" w:right="79"/>
        <w:spacing w:after="0" w:line="260" w:lineRule="auto"/>
        <w:rPr>
          <w:sz w:val="20"/>
          <w:szCs w:val="20"/>
          <w:color w:val="auto"/>
        </w:rPr>
      </w:pPr>
      <w:r>
        <w:rPr>
          <w:rFonts w:ascii="Arial" w:cs="Arial" w:eastAsia="Arial" w:hAnsi="Arial"/>
          <w:sz w:val="18"/>
          <w:szCs w:val="18"/>
          <w:color w:val="auto"/>
        </w:rPr>
        <w:t>(i) lower long-term incentive compensation costs; (ii) market adjustments for deferred compensation plans related to investment performance and (iii) lower litigation costs;</w:t>
      </w:r>
    </w:p>
    <w:p>
      <w:pPr>
        <w:spacing w:after="0" w:line="77" w:lineRule="exact"/>
        <w:rPr>
          <w:sz w:val="20"/>
          <w:szCs w:val="20"/>
          <w:color w:val="auto"/>
        </w:rPr>
      </w:pPr>
    </w:p>
    <w:p>
      <w:pPr>
        <w:jc w:val="both"/>
        <w:ind w:left="720" w:right="79" w:hanging="319"/>
        <w:spacing w:after="0" w:line="25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from operations of $3,365 million, or 17.1% of revenues, in 2022 compared with $2,965 million, or 16.5% of revenues, in 2021. The increase in the current year was primarily driven by revenue growth in our collection and disposal lines of business driven by both yield and volume, partially offset by (i) inflationary cost pressures; (ii) labor cost increases from frontline employee wage adjustments; (iii) non-cash asset impairments; and (iv) reduced profitability in our recycling business;</w:t>
      </w:r>
    </w:p>
    <w:p>
      <w:pPr>
        <w:spacing w:after="0" w:line="79"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attributable to Waste Management, Inc. was $2,238 million, or $5.39 per diluted share, compared with $1,816 million, or $4.29 per diluted share, in 2021. The increase in income from operations, as discussed above, in addition to a net loss on early extinguishment of debt of $220 million in 2021 that did not repeat in 2022, drove an increase in net income;</w:t>
      </w:r>
    </w:p>
    <w:p>
      <w:pPr>
        <w:spacing w:after="0" w:line="78" w:lineRule="exact"/>
        <w:rPr>
          <w:rFonts w:ascii="Arial" w:cs="Arial" w:eastAsia="Arial" w:hAnsi="Arial"/>
          <w:sz w:val="18"/>
          <w:szCs w:val="18"/>
          <w:color w:val="auto"/>
        </w:rPr>
      </w:pPr>
    </w:p>
    <w:p>
      <w:pPr>
        <w:jc w:val="both"/>
        <w:ind w:left="720" w:right="79" w:hanging="319"/>
        <w:spacing w:after="0" w:line="272"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Net cash provided by operating activities was $4,536 million in 2022, compared with $4,338 million in 2021. The increase in net cash provided by operating activities was driven by (i) an increase in earnings and (ii) lower interest payments during 2022. These results were partially offset by higher income tax payments in 2022 primarily as a result of higher pre-tax earnings and a deposit of approximately $103 million that was made to the Internal Revenue Service (“IRS”) related to a disputed tax matter. The Company expects to seek a refund of the entire amount deposited with the IRS and litigate any denial of the claim for refund. See Note 8 to the Consolidated Financial Statements for further discussion; and</w:t>
      </w:r>
    </w:p>
    <w:p>
      <w:pPr>
        <w:spacing w:after="0" w:line="69" w:lineRule="exact"/>
        <w:rPr>
          <w:rFonts w:ascii="Arial" w:cs="Arial" w:eastAsia="Arial" w:hAnsi="Arial"/>
          <w:sz w:val="17"/>
          <w:szCs w:val="17"/>
          <w:color w:val="auto"/>
        </w:rPr>
      </w:pPr>
    </w:p>
    <w:p>
      <w:pPr>
        <w:jc w:val="both"/>
        <w:ind w:left="720" w:right="79" w:hanging="319"/>
        <w:spacing w:after="0" w:line="272"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Free cash flow was $1,976 million in 2022, compared with $2,530 million in 2021. The decrease in free cash flow is primarily attributable to (i) an increase in capital spending, primarily driven by our intentional investment in sustainability growth projects as well as timing differences in our fixed asset purchases to support our ongoing operations and (ii) higher income tax payments in 2022. This decrease was partially offset by increased earnings in 2022. Free cash flow is a non-GAAP measure of liquidity. Refer to </w:t>
      </w:r>
      <w:r>
        <w:rPr>
          <w:rFonts w:ascii="Arial" w:cs="Arial" w:eastAsia="Arial" w:hAnsi="Arial"/>
          <w:sz w:val="17"/>
          <w:szCs w:val="17"/>
          <w:i w:val="1"/>
          <w:iCs w:val="1"/>
          <w:color w:val="auto"/>
        </w:rPr>
        <w:t>Free Cash Flow</w:t>
      </w:r>
      <w:r>
        <w:rPr>
          <w:rFonts w:ascii="Arial" w:cs="Arial" w:eastAsia="Arial" w:hAnsi="Arial"/>
          <w:sz w:val="17"/>
          <w:szCs w:val="17"/>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We also provide additional services that are not managed through our Solid Waste business, including both our Strategic Business Solutions (“WMSBS”) and Sustainability and Environmental Services (“SES”) businesses, which include landfill gas-to-energy services, environmental solutions services and recycling brokerage services. We also offer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certain other expanded service offerings and solutions. The mix of operating revenues from our major lines of business for the year ended December 31 are as follows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Industrial</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4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13,169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10,053</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3,667</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(4,320)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19,698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17,931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15,218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line of business includes (i) certain services provided by our WMSBS business; (ii) certain services within our sustainability business including our landfill gas to energy operations managed by our WM Renewable Energy business and (iii) certain other expanded service offerings and solutions and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17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and average yield for the year ended December 31 (dollars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2022 vs. 2021</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2021 vs. 2020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As a % of</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As a % of</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Related</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Total</w:t>
            </w:r>
          </w:p>
        </w:tc>
        <w:tc>
          <w:tcPr>
            <w:tcW w:w="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Related</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Business(a)</w:t>
            </w:r>
          </w:p>
        </w:tc>
        <w:tc>
          <w:tcPr>
            <w:tcW w:w="740" w:type="dxa"/>
            <w:vAlign w:val="bottom"/>
            <w:gridSpan w:val="2"/>
            <w:vMerge w:val="continue"/>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Company(b)</w:t>
            </w:r>
          </w:p>
        </w:tc>
        <w:tc>
          <w:tcPr>
            <w:tcW w:w="660" w:type="dxa"/>
            <w:vAlign w:val="bottom"/>
            <w:gridSpan w:val="4"/>
            <w:vMerge w:val="continue"/>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Business(a)</w:t>
            </w:r>
          </w:p>
        </w:tc>
        <w:tc>
          <w:tcPr>
            <w:tcW w:w="740" w:type="dxa"/>
            <w:vAlign w:val="bottom"/>
            <w:gridSpan w:val="2"/>
            <w:vMerge w:val="continue"/>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0"/>
        </w:trPr>
        <w:tc>
          <w:tcPr>
            <w:tcW w:w="2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$ 1,025</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6.7 %</w:t>
            </w: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468</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3.5 %</w:t>
            </w: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Recycling (c)</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537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8"/>
              </w:rPr>
              <w:t>Fuel surcharges and other</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80" w:type="dxa"/>
            <w:vAlign w:val="bottom"/>
          </w:tcPr>
          <w:p>
            <w:pPr>
              <w:ind w:left="140"/>
              <w:spacing w:after="0"/>
              <w:rPr>
                <w:sz w:val="20"/>
                <w:szCs w:val="20"/>
                <w:color w:val="auto"/>
              </w:rPr>
            </w:pPr>
            <w:r>
              <w:rPr>
                <w:rFonts w:ascii="Arial" w:cs="Arial" w:eastAsia="Arial" w:hAnsi="Arial"/>
                <w:sz w:val="18"/>
                <w:szCs w:val="18"/>
                <w:color w:val="auto"/>
              </w:rPr>
              <w:t>Total average yield (d)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$ 1,518</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$ 1,245</w:t>
            </w:r>
          </w:p>
        </w:tc>
        <w:tc>
          <w:tcPr>
            <w:tcW w:w="1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Volume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80" w:type="dxa"/>
            <w:vAlign w:val="bottom"/>
          </w:tcPr>
          <w:p>
            <w:pPr>
              <w:ind w:left="140"/>
              <w:spacing w:after="0"/>
              <w:rPr>
                <w:sz w:val="20"/>
                <w:szCs w:val="20"/>
                <w:color w:val="auto"/>
              </w:rPr>
            </w:pPr>
            <w:r>
              <w:rPr>
                <w:rFonts w:ascii="Arial" w:cs="Arial" w:eastAsia="Arial" w:hAnsi="Arial"/>
                <w:sz w:val="18"/>
                <w:szCs w:val="18"/>
                <w:color w:val="auto"/>
              </w:rPr>
              <w:t>Internal revenue growth</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1,751</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8"/>
                <w:szCs w:val="18"/>
                <w:color w:val="auto"/>
              </w:rPr>
              <w:t>Divestitures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Foreign currency</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translation</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8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$ 1,767</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$ 2,713</w:t>
            </w:r>
          </w:p>
        </w:tc>
        <w:tc>
          <w:tcPr>
            <w:tcW w:w="1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total Company revenue adjusted to exclude the impacts of divestitures for the current year.</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117"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reported herein represent the changes in our revenue attributable to average yield for the total Company.</w:t>
      </w:r>
    </w:p>
    <w:p>
      <w:pPr>
        <w:sectPr>
          <w:pgSz w:w="11900" w:h="16838" w:orient="portrait"/>
          <w:cols w:equalWidth="0" w:num="1">
            <w:col w:w="9019"/>
          </w:cols>
          <w:pgMar w:left="1440" w:top="611"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provides further details about our period-to-period change in 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16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details of our revenue growth from collection and disposal average yield for the year ended December 31 are as follows (dollars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2022 vs. 2021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2021 vs. 2020</w:t>
            </w:r>
          </w:p>
        </w:tc>
      </w:tr>
      <w:tr>
        <w:trPr>
          <w:trHeight w:val="119"/>
        </w:trPr>
        <w:tc>
          <w:tcPr>
            <w:tcW w:w="3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4"/>
              </w:rPr>
              <w:t>Related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4"/>
              </w:rPr>
              <w:t>Related</w:t>
            </w:r>
          </w:p>
        </w:tc>
      </w:tr>
      <w:tr>
        <w:trPr>
          <w:trHeight w:val="171"/>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8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3"/>
              </w:rPr>
              <w:t>Business</w:t>
            </w:r>
          </w:p>
        </w:tc>
        <w:tc>
          <w:tcPr>
            <w:tcW w:w="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8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3"/>
              </w:rPr>
              <w:t>Business</w:t>
            </w: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Industrial</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126</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397</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1,025</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1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w w:val="91"/>
              </w:rPr>
              <w:t>3.5 %</w:t>
            </w:r>
          </w:p>
        </w:tc>
      </w:tr>
      <w:tr>
        <w:trPr>
          <w:trHeight w:val="20"/>
        </w:trPr>
        <w:tc>
          <w:tcPr>
            <w:tcW w:w="3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overall strategic pricing efforts are focused on recovering our higher cost to service our customers that we experience in our business by increasing our average unit rate. We experienced strong average yield growth in our collection line of business of 8.2% in 2022, up from 4.2% in 2021, illustrating our focus on our pricing efforts in this inflationary environment. We are driving improvements in our residential line of business, aligning the price charged for services we provide to our customers with the costs to provide the services, resulting in increased average yield in 2022 of 6.1%, up from 4.5% in 2021. We are also continuing to see growth in our disposal business with our municipal solid waste business experiencing average yield of 6.2% in 2022, up from 3.2% in 2021.</w:t>
      </w:r>
    </w:p>
    <w:p>
      <w:pPr>
        <w:spacing w:after="0" w:line="17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Recycling — </w:t>
      </w:r>
      <w:r>
        <w:rPr>
          <w:rFonts w:ascii="Arial" w:cs="Arial" w:eastAsia="Arial" w:hAnsi="Arial"/>
          <w:sz w:val="18"/>
          <w:szCs w:val="18"/>
          <w:color w:val="auto"/>
        </w:rPr>
        <w:t>Recycling revenues attributable to yield increased $19 million and $537 million in 2022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as compared with the prior year periods, primarily from higher market prices for recycling commodities in 2021 and the first half of 2022, before the significant downturn in the second half of 2022.</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Demand for recycled materials strengthened through 2021 and into early 2022, primarily driven by the growth in e-commerce, businesses re-opening, and manufacturers committing to use more recycled content in their packaging. In 2022, we experienced all-time high recycling commodity pricing in the first half of the year to be followed by historically low pricing through the second half of the year, resulting from the slowdown in the global economy, which reduced retail demand and the corresponding need for cardboard packaging to ship retail goods. We expect significant commodity price headwinds to continue into 2023. Average market prices for recycling commodities at the Company’s facilities were approximately 10% lower and 115% higher in 2022 and 2021, respectively, when compared with the prior year periods. Revenue decline from lower commodity pricing was offset by higher pricing in our recycling brokerage business as well as our continued focus on a fee-based pricing model that ensures fees paid by customers cover the cost of processing materials and the impact on our cost structure of managing contamination in the recycling stream.</w:t>
      </w:r>
    </w:p>
    <w:p>
      <w:pPr>
        <w:spacing w:after="0" w:line="16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Fuel Surcharges and Other — </w:t>
      </w:r>
      <w:r>
        <w:rPr>
          <w:rFonts w:ascii="Arial" w:cs="Arial" w:eastAsia="Arial" w:hAnsi="Arial"/>
          <w:sz w:val="16"/>
          <w:szCs w:val="16"/>
          <w:color w:val="auto"/>
        </w:rPr>
        <w:t>These fees, which include (i) our fuel surcharge program, (ii) yield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WM Renewable Energy business and (iii) other mandated fees, increased $474 million and $240 million in 2022 and 2021, respectively, as compared to the prior year periods. Fuel surcharge revenues are based on and fluctuate in response to changes in the national average prices for diesel fuel, and also vary with changes in our volume-based revenue activity. Market prices for diesel fuel were over 50% and 30% higher in 2022 and 2021, as compared to the prior year periods. Revenue from yield growth in our WM Renewable Energy business increased $48 million and $85 million in 2022 and 2021, respectively, as compared to the prior year period, primarily driven by increases in the value for electricity and</w:t>
      </w:r>
    </w:p>
    <w:p>
      <w:pPr>
        <w:sectPr>
          <w:pgSz w:w="11900" w:h="16838" w:orient="portrait"/>
          <w:cols w:equalWidth="0" w:num="1">
            <w:col w:w="9019"/>
          </w:cols>
          <w:pgMar w:left="1440" w:top="611"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renewable natural gas credits. The mandated fees are primarily related to fees and taxes assessed by various state, county and municipal government agencies at our landfills and transfer stations. These amounts have not significantly impacted the change in revenue for the periods presented.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revenues from volume (excluding volumes from acquisitions and divestitures) increased $233 million, or 1.3%, and $435 million, or 2.8%, in 2022 and 2021, respectively, as compared with the prior year periods. Our collection and disposal business volumes grew 1.8% and 3.0% in 2022 and 2021, respectively.</w:t>
      </w:r>
    </w:p>
    <w:p>
      <w:pPr>
        <w:spacing w:after="0" w:line="184" w:lineRule="exact"/>
        <w:rPr>
          <w:sz w:val="20"/>
          <w:szCs w:val="20"/>
          <w:color w:val="auto"/>
        </w:rPr>
      </w:pPr>
    </w:p>
    <w:p>
      <w:pPr>
        <w:jc w:val="both"/>
        <w:ind w:left="60" w:right="59" w:firstLine="259"/>
        <w:spacing w:after="0" w:line="275" w:lineRule="auto"/>
        <w:rPr>
          <w:sz w:val="20"/>
          <w:szCs w:val="20"/>
          <w:color w:val="auto"/>
        </w:rPr>
      </w:pPr>
      <w:r>
        <w:rPr>
          <w:rFonts w:ascii="Arial" w:cs="Arial" w:eastAsia="Arial" w:hAnsi="Arial"/>
          <w:sz w:val="17"/>
          <w:szCs w:val="17"/>
          <w:color w:val="auto"/>
        </w:rPr>
        <w:t>Our 2022 volume growth has moderated when compared to the accelerated volume recovery from COVID-related impacts experienced in 2021. Special waste volumes at our landfills have been the most significant driver of volume growth, primarily due to an increase in event-driven projects. In addition, our WMSBS business volumes grew as a result of our continued focus on a differentiated service model for national accounts customers. Our volumes have been impacted by our intentional efforts to reduce unprofitable residential and industrial collection volumes.</w:t>
      </w:r>
    </w:p>
    <w:p>
      <w:pPr>
        <w:spacing w:after="0" w:line="176" w:lineRule="exact"/>
        <w:rPr>
          <w:sz w:val="20"/>
          <w:szCs w:val="20"/>
          <w:color w:val="auto"/>
        </w:rPr>
      </w:pPr>
    </w:p>
    <w:p>
      <w:pPr>
        <w:jc w:val="both"/>
        <w:ind w:left="60" w:right="59" w:firstLine="259"/>
        <w:spacing w:after="0" w:line="296" w:lineRule="auto"/>
        <w:rPr>
          <w:sz w:val="20"/>
          <w:szCs w:val="20"/>
          <w:color w:val="auto"/>
        </w:rPr>
      </w:pPr>
      <w:r>
        <w:rPr>
          <w:rFonts w:ascii="Arial" w:cs="Arial" w:eastAsia="Arial" w:hAnsi="Arial"/>
          <w:sz w:val="16"/>
          <w:szCs w:val="16"/>
          <w:color w:val="auto"/>
        </w:rPr>
        <w:t>We experienced higher volume growth in 2021 relative to the sharp decline experienced in April 2020 as a result of COVID-related impacts. The pace of recovery in our volumes accelerated in the second quarter of 2021 and continued in the second half of 2021 with minimal impact from periodic resurgences in transmission of COVID-19 virus variants as communities and businesses have remained open. The portions of our business that had the most pronounced decreases in volume due to the pandemic were our industrial and commercial collection businesses and our landfill volumes.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Acquisitions and Divestitures</w:t>
      </w:r>
    </w:p>
    <w:p>
      <w:pPr>
        <w:spacing w:after="0" w:line="225" w:lineRule="exact"/>
        <w:rPr>
          <w:sz w:val="20"/>
          <w:szCs w:val="20"/>
          <w:color w:val="auto"/>
        </w:rPr>
      </w:pPr>
    </w:p>
    <w:p>
      <w:pPr>
        <w:jc w:val="both"/>
        <w:ind w:left="60" w:right="59" w:firstLine="259"/>
        <w:spacing w:after="0" w:line="263" w:lineRule="auto"/>
        <w:rPr>
          <w:sz w:val="20"/>
          <w:szCs w:val="20"/>
          <w:color w:val="auto"/>
        </w:rPr>
      </w:pPr>
      <w:r>
        <w:rPr>
          <w:rFonts w:ascii="Arial" w:cs="Arial" w:eastAsia="Arial" w:hAnsi="Arial"/>
          <w:sz w:val="18"/>
          <w:szCs w:val="18"/>
          <w:color w:val="auto"/>
        </w:rPr>
        <w:t>Acquisitions and divestitures resulted in a net increase in revenues of $47 million, or 0.3%, and $983 million, or 6.5%, in 2022 and 2021, respectively, as compared with the prior year periods, with the increase in 2021 primarily due to our acquisition of Advanced Disposal.</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 xml:space="preserve">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line of business, including certain rebates paid to suppliers; (vi) fuel costs, net of tax credits for alternative fuel, which represent the costs of fuel to operate our truck fleet and landfill operating equipment; (vii) disposal and franchise fees and taxes, which include landfill taxes, municipal franchise fees, host community fees, contingent landfill 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in addition to cost inflation, affect the comparability of the components of our operating expenses.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60" w:type="dxa"/>
            <w:vAlign w:val="bottom"/>
            <w:gridSpan w:val="13"/>
          </w:tcPr>
          <w:p>
            <w:pPr>
              <w:ind w:left="320"/>
              <w:spacing w:after="0"/>
              <w:rPr>
                <w:sz w:val="20"/>
                <w:szCs w:val="20"/>
                <w:color w:val="auto"/>
              </w:rPr>
            </w:pPr>
            <w:r>
              <w:rPr>
                <w:rFonts w:ascii="Arial" w:cs="Arial" w:eastAsia="Arial" w:hAnsi="Arial"/>
                <w:sz w:val="18"/>
                <w:szCs w:val="18"/>
                <w:color w:val="auto"/>
                <w:w w:val="98"/>
              </w:rPr>
              <w:t>The  following  table  summarizes  the  major  components  of  our  operating  expenses  for</w:t>
            </w:r>
          </w:p>
        </w:tc>
        <w:tc>
          <w:tcPr>
            <w:tcW w:w="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the  year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ended</w:t>
            </w:r>
          </w:p>
        </w:tc>
      </w:tr>
      <w:tr>
        <w:trPr>
          <w:trHeight w:val="230"/>
        </w:trPr>
        <w:tc>
          <w:tcPr>
            <w:tcW w:w="5340" w:type="dxa"/>
            <w:vAlign w:val="bottom"/>
            <w:gridSpan w:val="5"/>
          </w:tcPr>
          <w:p>
            <w:pPr>
              <w:spacing w:after="0"/>
              <w:rPr>
                <w:sz w:val="20"/>
                <w:szCs w:val="20"/>
                <w:color w:val="auto"/>
              </w:rPr>
            </w:pPr>
            <w:r>
              <w:rPr>
                <w:rFonts w:ascii="Arial" w:cs="Arial" w:eastAsia="Arial" w:hAnsi="Arial"/>
                <w:sz w:val="18"/>
                <w:szCs w:val="18"/>
                <w:color w:val="auto"/>
                <w:w w:val="99"/>
              </w:rPr>
              <w:t>December 31 (dollars in millions and as a percentage of revenues):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78"/>
        </w:trPr>
        <w:tc>
          <w:tcPr>
            <w:tcW w:w="36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42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17.5 %</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18.0 %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$ 2,746</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18.1 %</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4"/>
                <w:szCs w:val="24"/>
                <w:color w:val="auto"/>
              </w:rPr>
            </w:pPr>
          </w:p>
        </w:tc>
      </w:tr>
      <w:tr>
        <w:trPr>
          <w:trHeight w:val="432"/>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24"/>
                <w:szCs w:val="24"/>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Subcontractor costs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10.0</w:t>
            </w:r>
          </w:p>
        </w:tc>
        <w:tc>
          <w:tcPr>
            <w:tcW w:w="160" w:type="dxa"/>
            <w:vAlign w:val="bottom"/>
          </w:tcPr>
          <w:p>
            <w:pPr>
              <w:spacing w:after="0"/>
              <w:rPr>
                <w:sz w:val="24"/>
                <w:szCs w:val="24"/>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Fuel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tcPr>
          <w:p>
            <w:pPr>
              <w:spacing w:after="0"/>
              <w:rPr>
                <w:sz w:val="18"/>
                <w:szCs w:val="18"/>
                <w:color w:val="auto"/>
              </w:rPr>
            </w:pPr>
          </w:p>
        </w:tc>
      </w:tr>
      <w:tr>
        <w:trPr>
          <w:trHeight w:val="425"/>
        </w:trPr>
        <w:tc>
          <w:tcPr>
            <w:tcW w:w="36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12,294</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62.4 %</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11,111</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62.</w:t>
            </w:r>
            <w:r>
              <w:rPr>
                <w:rFonts w:ascii="Arial" w:cs="Arial" w:eastAsia="Arial" w:hAnsi="Arial"/>
                <w:sz w:val="18"/>
                <w:szCs w:val="18"/>
                <w:u w:val="single" w:color="auto"/>
                <w:color w:val="auto"/>
                <w:w w:val="89"/>
              </w:rPr>
              <w:t>0</w:t>
            </w:r>
            <w:r>
              <w:rPr>
                <w:rFonts w:ascii="Arial" w:cs="Arial" w:eastAsia="Arial" w:hAnsi="Arial"/>
                <w:sz w:val="18"/>
                <w:szCs w:val="18"/>
                <w:color w:val="auto"/>
                <w:w w:val="89"/>
              </w:rPr>
              <w:t xml:space="preserve">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$ 9,341</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61.</w:t>
            </w:r>
            <w:r>
              <w:rPr>
                <w:rFonts w:ascii="Arial" w:cs="Arial" w:eastAsia="Arial" w:hAnsi="Arial"/>
                <w:sz w:val="18"/>
                <w:szCs w:val="18"/>
                <w:u w:val="single" w:color="auto"/>
                <w:color w:val="auto"/>
                <w:w w:val="89"/>
              </w:rPr>
              <w:t>4</w:t>
            </w:r>
            <w:r>
              <w:rPr>
                <w:rFonts w:ascii="Arial" w:cs="Arial" w:eastAsia="Arial" w:hAnsi="Arial"/>
                <w:sz w:val="18"/>
                <w:szCs w:val="18"/>
                <w:color w:val="auto"/>
                <w:w w:val="89"/>
              </w:rPr>
              <w:t xml:space="preserve">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operating expenses in 2022 increased, as compared with 2021, primarily due to (i) inflationary cost pressures, particularly for maintenance and repairs and subcontractor costs; (ii) commodity-driven business impacts from higher fuel prices and recycling and (iii) labor cost pressure from frontline employee wage adjustments. We also continue to focus on operating efficiency and efforts to control costs.</w:t>
      </w:r>
    </w:p>
    <w:p>
      <w:pPr>
        <w:spacing w:after="0" w:line="18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operating expenses in 2021 increased, as compared with 2020, primarily due to (i) increased volumes from the acquisition of Advanced Disposal; (ii) commodity-driven business impacts, particularly from recycling brokerage rebates and higher fuel prices; (iii) volume recovery from earlier pandemic-driven lows; (iv) labor cost pressure from frontline employee wage adjustments, increased turnover driving up training costs and higher overtime due to driver shortages and volume growth and (v) inflationary cost pressures, primarily in the second half of 2021. These impacts were partially offset by our continued focus on operating efficiency and efforts to control costs as volumes grow.</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comparison of operating expenses between reported periods include:</w:t>
      </w:r>
    </w:p>
    <w:p>
      <w:pPr>
        <w:spacing w:after="0" w:line="22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increase in labor and related benefits costs in 2022, as compared with 2021,was</w:t>
      </w:r>
      <w:r>
        <w:rPr>
          <w:rFonts w:ascii="Arial" w:cs="Arial" w:eastAsia="Arial" w:hAnsi="Arial"/>
          <w:sz w:val="16"/>
          <w:szCs w:val="16"/>
          <w:i w:val="1"/>
          <w:iCs w:val="1"/>
          <w:color w:val="auto"/>
        </w:rPr>
        <w:t xml:space="preserve"> </w:t>
      </w:r>
      <w:r>
        <w:rPr>
          <w:rFonts w:ascii="Arial" w:cs="Arial" w:eastAsia="Arial" w:hAnsi="Arial"/>
          <w:sz w:val="16"/>
          <w:szCs w:val="16"/>
          <w:color w:val="auto"/>
        </w:rPr>
        <w:t>largely driven by (i) proactive market wage adjustments to hire and retain talent; (ii) annual merit and annual incentive compensation cost increases and (iii) increases in health and welfare costs attributable to our intentional investment in delivering a leading benefits program for our employees and increases in medical care activity. The increase in labor and related benefits costs in 2021, as compared with 2020, was largely driven by (i) increased labor and related benefits costs related to our acquisition of Advanced Disposal; (ii) merit and proactive market wage adjustments to hire and retain talent;</w:t>
      </w:r>
    </w:p>
    <w:p>
      <w:pPr>
        <w:spacing w:after="0" w:line="4" w:lineRule="exact"/>
        <w:rPr>
          <w:sz w:val="20"/>
          <w:szCs w:val="20"/>
          <w:color w:val="auto"/>
        </w:rPr>
      </w:pPr>
    </w:p>
    <w:p>
      <w:pPr>
        <w:jc w:val="both"/>
        <w:ind w:left="60" w:right="59" w:hanging="10"/>
        <w:spacing w:after="0" w:line="253" w:lineRule="auto"/>
        <w:tabs>
          <w:tab w:leader="none" w:pos="4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volume increases, particularly in our commercial and industrial collection businesses, which when combined with driver shortages and turnover in certain markets, increased overtime and training hours; (iv) higher annual incentive compensation and (v) increases in health and welfare costs attributable to medical care activity generally returning to pre-pandemic levels.</w:t>
      </w:r>
    </w:p>
    <w:p>
      <w:pPr>
        <w:spacing w:after="0" w:line="193"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Transfer and Disposal Costs </w:t>
      </w:r>
      <w:r>
        <w:rPr>
          <w:rFonts w:ascii="Arial" w:cs="Arial" w:eastAsia="Arial" w:hAnsi="Arial"/>
          <w:sz w:val="17"/>
          <w:szCs w:val="17"/>
          <w:color w:val="auto"/>
        </w:rPr>
        <w:t>— The increase in transfer and disposal costs in 2022, as compared with 2021,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driven by inflationary cost increases, which includes increased disposal fees at third-party sites and higher fuel from our third-party haulers offset, in part, by decreases in residential collection and transfer volume. The increase in transfer and disposal costs in 2021, as compared with 2020, was largely driven by increased volume, which includes the volumes from our acquisition of Advanced Disposal and inflationary cost increases from our third-party haulers.</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The increase in maintenance and repairs costs in 2022, as compared with 2021,was</w:t>
      </w:r>
      <w:r>
        <w:rPr>
          <w:rFonts w:ascii="Arial" w:cs="Arial" w:eastAsia="Arial" w:hAnsi="Arial"/>
          <w:sz w:val="16"/>
          <w:szCs w:val="16"/>
          <w:i w:val="1"/>
          <w:iCs w:val="1"/>
          <w:color w:val="auto"/>
        </w:rPr>
        <w:t xml:space="preserve"> </w:t>
      </w:r>
      <w:r>
        <w:rPr>
          <w:rFonts w:ascii="Arial" w:cs="Arial" w:eastAsia="Arial" w:hAnsi="Arial"/>
          <w:sz w:val="16"/>
          <w:szCs w:val="16"/>
          <w:color w:val="auto"/>
        </w:rPr>
        <w:t>largely driven by (i) inflationary cost increases for parts, supplies and third-party services; (ii) additional fleet maintenance driven by supply chain constraints, which have delayed deliveries of new trucks; (iii) labor cost increases for our technicians, including higher overtime; (iv) increased building maintenance costs including improvements to facilities and</w:t>
      </w:r>
    </w:p>
    <w:p>
      <w:pPr>
        <w:spacing w:after="0" w:line="1" w:lineRule="exact"/>
        <w:rPr>
          <w:sz w:val="20"/>
          <w:szCs w:val="20"/>
          <w:color w:val="auto"/>
        </w:rPr>
      </w:pPr>
    </w:p>
    <w:p>
      <w:pPr>
        <w:jc w:val="both"/>
        <w:ind w:left="60" w:right="59" w:hanging="10"/>
        <w:spacing w:after="0" w:line="302" w:lineRule="auto"/>
        <w:tabs>
          <w:tab w:leader="none" w:pos="3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in container repairs driven by delays in delivery of steel containers due to supply chain constraints. The increase in maintenance and repairs costs in 2021, as compared with 2020, was largely driven by (i) our acquisition of Advanced Disposal, including intentional investments to bring the acquired fleet to our standards; (ii) inflationary cost</w:t>
      </w:r>
    </w:p>
    <w:p>
      <w:pPr>
        <w:sectPr>
          <w:pgSz w:w="11900" w:h="16838" w:orient="portrait"/>
          <w:cols w:equalWidth="0" w:num="1">
            <w:col w:w="9019"/>
          </w:cols>
          <w:pgMar w:left="1440" w:top="611"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increases for parts, supplies and third-party services; (iii) additional fleet maintenance driven by commercial and industrial collection volume increases; (iv) labor cost increases for our technicians, including higher overtime from labor shortages;</w:t>
      </w:r>
    </w:p>
    <w:p>
      <w:pPr>
        <w:jc w:val="both"/>
        <w:ind w:left="60" w:right="59" w:hanging="10"/>
        <w:spacing w:after="0" w:line="255" w:lineRule="auto"/>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container repairs driven by volume increases and delays in normal course capital expenditures for steel containers due to both steel costs and supply chain constraints and (vi) increased building maintenance costs including improvements to facilities.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Subcontractor Costs </w:t>
      </w:r>
      <w:r>
        <w:rPr>
          <w:rFonts w:ascii="Arial" w:cs="Arial" w:eastAsia="Arial" w:hAnsi="Arial"/>
          <w:sz w:val="17"/>
          <w:szCs w:val="17"/>
          <w:color w:val="auto"/>
        </w:rPr>
        <w:t>— The increase in subcontractor costs in 2022, as compared with 2021,was largely driven by</w:t>
      </w:r>
    </w:p>
    <w:p>
      <w:pPr>
        <w:spacing w:after="0" w:line="35" w:lineRule="exact"/>
        <w:rPr>
          <w:sz w:val="20"/>
          <w:szCs w:val="20"/>
          <w:color w:val="auto"/>
        </w:rPr>
      </w:pPr>
    </w:p>
    <w:p>
      <w:pPr>
        <w:jc w:val="both"/>
        <w:ind w:left="60" w:right="59" w:hanging="10"/>
        <w:spacing w:after="0" w:line="253" w:lineRule="auto"/>
        <w:tabs>
          <w:tab w:leader="none" w:pos="2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inflationary cost increases, particularly for fuel and labor costs from third-party haulers and (ii) an increase in volumes in our WMSBS business, which relies more extensively on subcontracted hauling than our collection and disposal business. The increase in subcontractor costs in 2021, as compared with 2020, was largely driven by (i) inflationary cost increases from third-party haulers and higher volumes; (ii) an increase in volumes in our WMSBS business and (iii) the acquisition of Advanced Disposal.</w:t>
      </w:r>
    </w:p>
    <w:p>
      <w:pPr>
        <w:spacing w:after="0" w:line="19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The increase in cost of goods sold in 2022, as compared with 2021, was primarily driven by all-time high recycling commodity pricing in the first half of the year offset, in part, by the historically low pricing through the second half of the year. The increase in cost of goods sold in 2021, as compared with 2020, was primarily driven by increases in market prices for recycling commodities of approximately 115% and to a lesser extent, higher recycling volumes.</w:t>
      </w:r>
    </w:p>
    <w:p>
      <w:pPr>
        <w:spacing w:after="0" w:line="18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Fuel — </w:t>
      </w:r>
      <w:r>
        <w:rPr>
          <w:rFonts w:ascii="Arial" w:cs="Arial" w:eastAsia="Arial" w:hAnsi="Arial"/>
          <w:sz w:val="17"/>
          <w:szCs w:val="17"/>
          <w:color w:val="auto"/>
        </w:rPr>
        <w:t>The increase in fuel costs in 2022, as compared with 2021, was primarily due to increases in market diesel and</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fuel prices as compared to the prior year. The increase in fuel costs in 2021, as compared with 2020, was primarily due to (i) increases in market diesel and natural gas fuel prices; (ii) the acquisition of Advanced Disposal and (iii) volume increases in our commercial and industrial collection businesses.</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Disposal and Franchise Fees and Taxes — </w:t>
      </w:r>
      <w:r>
        <w:rPr>
          <w:rFonts w:ascii="Arial" w:cs="Arial" w:eastAsia="Arial" w:hAnsi="Arial"/>
          <w:sz w:val="18"/>
          <w:szCs w:val="18"/>
          <w:color w:val="auto"/>
        </w:rPr>
        <w:t>The increase in disposal and franchise fees and taxes in 2022,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2021, was primarily driven by higher franchise fees, driven by an increase in landfill volumes, paid to certain municipalities where we operate and overall rate increases in our fees and taxes paid on our disposal volumes. The increase in disposal and franchise fees and taxes in 2021, as compared with 2020, was primarily driven by (i) landfill volume increases; (ii) disposal rate increases at certain landfills and (iii) additional costs attributable to our acquisition of Advanced Disposal.</w:t>
      </w:r>
    </w:p>
    <w:p>
      <w:pPr>
        <w:spacing w:after="0" w:line="19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Landfill Operating Costs — </w:t>
      </w:r>
      <w:r>
        <w:rPr>
          <w:rFonts w:ascii="Arial" w:cs="Arial" w:eastAsia="Arial" w:hAnsi="Arial"/>
          <w:sz w:val="16"/>
          <w:szCs w:val="16"/>
          <w:color w:val="auto"/>
        </w:rPr>
        <w:t>Our landfill operating costs increased in 2022, as compared with 2021,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in methane and leachate management costs and other site maintenance costs, in part due to inflation. The increase in landfill operating costs in 2021, as compared with 2020, was primarily due to volume increases, including from our acquisition of Advanced Disposal and increased testing and monitoring costs. These increases were partially offset by</w:t>
      </w:r>
    </w:p>
    <w:p>
      <w:pPr>
        <w:spacing w:after="0" w:line="1" w:lineRule="exact"/>
        <w:rPr>
          <w:sz w:val="20"/>
          <w:szCs w:val="20"/>
          <w:color w:val="auto"/>
        </w:rPr>
      </w:pPr>
    </w:p>
    <w:p>
      <w:pPr>
        <w:jc w:val="both"/>
        <w:ind w:left="60" w:right="59" w:hanging="10"/>
        <w:spacing w:after="0" w:line="288" w:lineRule="auto"/>
        <w:tabs>
          <w:tab w:leader="none" w:pos="279"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lower leachate management costs, primarily due to the cessation of certain transportation costs in our East Tier segment and (ii) changes in the measurement of our environmental remediation obligations and recovery assets. The increases in both 2022 and 2021 were offset, in part, by changes in the measurement of our environmental remediation obligations and recovery assets in each year. Our measurement of these balances includes application of a risk-free discount rate, which is based on the rate for U.S. Treasury bonds. The discount rate increased, which resulted in a reduction in the net liability balance and a credit to expense, in both 2021 and 2022 with more significant impact in 2022. Conversely, in 2020, there was a decrease in the discount rate, which resulted in an increase in the net liability balance and a charge to expense.</w:t>
      </w:r>
    </w:p>
    <w:p>
      <w:pPr>
        <w:spacing w:after="0" w:line="16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Risk management costs increased slightly in 2022, as compared with 2021,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in premiums. The increase in risk management costs in 2021, as compared with 2020, was primarily due to our acquisition of Advanced Disposal and overall economic recovery from COVID-driven impacts, increasing business activity and claim volumes and related costs.</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Other operating cost increases in 2022, as compared with 2021, were primarily due to (i) inflationary cost</w:t>
      </w:r>
      <w:r>
        <w:rPr>
          <w:rFonts w:ascii="Arial" w:cs="Arial" w:eastAsia="Arial" w:hAnsi="Arial"/>
          <w:sz w:val="16"/>
          <w:szCs w:val="16"/>
          <w:i w:val="1"/>
          <w:iCs w:val="1"/>
          <w:color w:val="auto"/>
        </w:rPr>
        <w:t xml:space="preserve"> </w:t>
      </w:r>
      <w:r>
        <w:rPr>
          <w:rFonts w:ascii="Arial" w:cs="Arial" w:eastAsia="Arial" w:hAnsi="Arial"/>
          <w:sz w:val="16"/>
          <w:szCs w:val="16"/>
          <w:color w:val="auto"/>
        </w:rPr>
        <w:t>pressures; (ii) higher equipment rental costs attributable, in part, to supply chain constraints slowing normal course fleet and equipment orders; (iii) higher utility costs at our facilities and (iv) an increase in business travel in 2022. Additionally, a favorable litigation settlement in 2021 impacted the comparison. Other operating cost increases in 2021, as compared with 2020, were due to our acquisition of Advanced Disposal and increased equipment rental costs attributable, in part, to increased volumes and supply chain constraints slowing normal course fleet and equipment orders. Additionally, during the second half of 2021, additional volumes and inflationary cost pressures drove an increase in various costs. Partially</w:t>
      </w:r>
    </w:p>
    <w:p>
      <w:pPr>
        <w:sectPr>
          <w:pgSz w:w="11900" w:h="16838" w:orient="portrait"/>
          <w:cols w:equalWidth="0" w:num="1">
            <w:col w:w="9019"/>
          </w:cols>
          <w:pgMar w:left="1440" w:top="611"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offsetting these was a favorable litigation settlement in 2021. Additionally, net gains on sales of certain assets during each year impacted the comparability of the reported periods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year ended December 31 (dollars in millions and as a percentage of revenues):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$ 1,195</w:t>
            </w: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6.1</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$ 1,215</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$ 1,057</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Professional fees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r>
      <w:tr>
        <w:trPr>
          <w:trHeight w:val="426"/>
        </w:trPr>
        <w:tc>
          <w:tcPr>
            <w:tcW w:w="32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$ 1,938</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9.8 %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$ 1,864</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10.4 %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$ 1,728</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11.4 %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Selling, general and administrative expenses in 2022, as compared with 2021, increased primarily due to (i) strategic investments in our digital platform, including those that support our ongoing sustainability initiatives; (ii) higher annual incentive compensation costs and merit increases for our employees; (iii) increased business travel and entertainment expense and (iv) an increase in provision for bad debts, partially offset by (i) lower long-term incentive compensation costs; (ii) market adjustments for deferred compensation plans related to investment performance and (iii) lower litigation costs.</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Selling, general and administrative expenses in 2021, as compared with 2020, increased primarily due to (i) higher incentive compensation costs; (ii) strategic investments in our digital platform and (iii) increased labor, support and integration costs following our acquisition of Advanced Disposal. Partially offsetting these increases are lower consulting, advisory and legal fees following the completion of our acquisition of Advanced Disposal in 2020 and improvements in our provision for bad debts as collections returned to pre-pandemic levels.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Although our costs increased in 2022 and 2021, the significant revenue increases positioned us to reduce our overall selling, general and administrative expenses as a percentage of revenues when compared with each of the prior year periods.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decrease in labor and related benefits costs in 2022, as compared with 2021,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 lower long-term incentive compensation costs; (ii) reductions in contract labor and (iii) market adjustments for deferred compensation plans related to investment performance, partially offset by higher annual incentive compensation and annual merit increases for our employees. The increase in labor and related benefits costs in 2021, as compared with 2020, was primarily due to (i) higher incentive compensation costs; (ii) additional headcount, including from our acquisition of Advanced Disposal; (iii) annual merit increases for our employees; (iv) costs associated with our strategic investments in our digital platform and (v) increases in health and welfare costs attributable to medical care activities generally returning to pre-pandemic levels from the lower level experienced during 2020.</w:t>
      </w:r>
    </w:p>
    <w:p>
      <w:pPr>
        <w:spacing w:after="0" w:line="16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Professional Fees </w:t>
      </w:r>
      <w:r>
        <w:rPr>
          <w:rFonts w:ascii="Arial" w:cs="Arial" w:eastAsia="Arial" w:hAnsi="Arial"/>
          <w:sz w:val="17"/>
          <w:szCs w:val="17"/>
          <w:color w:val="auto"/>
        </w:rPr>
        <w:t>— The increase in professional fees in 2022, as compared with 2021, was primarily driven by</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investments in our digital platform, including those that support our ongoing sustainability initiatives, partially</w:t>
      </w:r>
    </w:p>
    <w:p>
      <w:pPr>
        <w:sectPr>
          <w:pgSz w:w="11900" w:h="16838" w:orient="portrait"/>
          <w:cols w:equalWidth="0" w:num="1">
            <w:col w:w="9019"/>
          </w:cols>
          <w:pgMar w:left="1440" w:top="611"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offset by lower acquisition and integration costs. Professional fees decreased in 2021, as compared with 2020, primarily due to lower consulting, advisory and legal fees following the completion of our acquisition of Advanced Disposal in 2020, partially offset by increased strategic investments in our digital platform and integration costs related to our acquisition of Advanced Disposal.</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increase in provision for bad debts in 2022, as compared with 2021, is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(i) increased revenue; (ii) increased collection risk with certain customers and (iii) favorable adjustments to our reserves taken in 2021 as a result of improvement in customer account collections. The decrease in provision for bad debts in 2021, as compared with 2020, was primarily due to an overall improvement in customer account collections and decreased collection risk with certain customers.</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Other — </w:t>
      </w:r>
      <w:r>
        <w:rPr>
          <w:rFonts w:ascii="Arial" w:cs="Arial" w:eastAsia="Arial" w:hAnsi="Arial"/>
          <w:sz w:val="17"/>
          <w:szCs w:val="17"/>
          <w:color w:val="auto"/>
        </w:rPr>
        <w:t>The increase in other expenses in 2022, as compared with 2021, was primarily driven by costs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technology infrastructure to support our strategic investments in our digital platform and an increase in business travel and entertainment expense, partially offset by lower litigation costs. The increase in other expenses in 2021, as compared with 2020, was primarily driven by costs associated with our acquisition of Advanced Disposal and increased technology infrastructure costs to support our strategic investments in our digital platform.</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Depreciation, Depletion and Amortization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depletion and amortization expenses for the year ended December 31 (dollars in millions and as a percentage of revenues):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tangible property and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$ 1,155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$ 1,125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Depletion of landfill airspace</w:t>
            </w:r>
          </w:p>
        </w:tc>
        <w:tc>
          <w:tcPr>
            <w:tcW w:w="620" w:type="dxa"/>
            <w:vAlign w:val="bottom"/>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$ 2,038</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w:t>
            </w:r>
            <w:r>
              <w:rPr>
                <w:rFonts w:ascii="Arial" w:cs="Arial" w:eastAsia="Arial" w:hAnsi="Arial"/>
                <w:sz w:val="18"/>
                <w:szCs w:val="18"/>
                <w:u w:val="single" w:color="auto"/>
                <w:color w:val="auto"/>
                <w:w w:val="85"/>
              </w:rPr>
              <w:t>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$ 1,999</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11.</w:t>
            </w:r>
            <w:r>
              <w:rPr>
                <w:rFonts w:ascii="Arial" w:cs="Arial" w:eastAsia="Arial" w:hAnsi="Arial"/>
                <w:sz w:val="18"/>
                <w:szCs w:val="18"/>
                <w:u w:val="single" w:color="auto"/>
                <w:color w:val="auto"/>
                <w:w w:val="85"/>
              </w:rPr>
              <w:t>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1,671</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11.</w:t>
            </w:r>
            <w:r>
              <w:rPr>
                <w:rFonts w:ascii="Arial" w:cs="Arial" w:eastAsia="Arial" w:hAnsi="Arial"/>
                <w:sz w:val="18"/>
                <w:szCs w:val="18"/>
                <w:u w:val="single" w:color="auto"/>
                <w:color w:val="auto"/>
                <w:w w:val="85"/>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increase in depreciation of tangible property and equipment in 2022, as compared with 2021, was primarily driven by investments in capital assets, including containers to service our customers and strategic investments in our digital platform. The increase in depletion of landfill airspace in 2022, as compared with 2021, was primarily driven by changes in depletion rates from revisions in landfill cost estimates and increased volumes at our landfills, partially offset by a prior year charge due to management’s decision to close a landfill in our West Tier segment earlier than expected, resulting in the acceleration of the timing of capping, closure, and post-closure activities. The decrease in amortization of intangible assets in 2022, as compared with 2021, was primarily driven by the amortization of acquired intangible assets from the acquisition of Advanced Disposal.</w:t>
      </w:r>
    </w:p>
    <w:p>
      <w:pPr>
        <w:spacing w:after="0" w:line="17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increase in depreciation of tangible property and equipment in 2021, as compared with 2020, was related to our acquisition of Advanced Disposal and investments in capital assets, including our fleet, heavy equipment at our landfills and containers to service our customers. The increase in depletion of landfill airspace in 2021, as compared with 2020, was driven by (i) changes in depletion rates driven by revisions in landfill estimates, including a $15 million charge due to management’s decision to close a landfill in our West Tier segment earlier than expected; (ii) our acquisition of Advanced Disposal and (iii) landfill volume increases associated with the economic recovery from COVID-driven impacts. Additionally, 2020 benefited from a decrease in the inflation rate used to estimate capping, closure, and post-closure asset retirement obligations. The increase in amortization of intangible assets in 2021, as compared with 2020, was primarily driven by the amortization of acquired intangible assets related to the acquisition of Advanced Disposal.</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During the year ended December 31, 2021, we recognized $8 million of restructuring charges primarily related to our acquisition of Advanced Disposal. During the year ended December 31, 2020, we recognized $9 million of restructuring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charges primarily related to modifying our field sales and customer services structures to better support our strategic investments in our digital platform.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 ended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r>
      <w:tr>
        <w:trPr>
          <w:trHeight w:val="20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divestitures, net</w:t>
            </w: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040" w:type="dxa"/>
            <w:vAlign w:val="bottom"/>
          </w:tcPr>
          <w:p>
            <w:pPr>
              <w:spacing w:after="0"/>
              <w:rPr>
                <w:sz w:val="18"/>
                <w:szCs w:val="18"/>
                <w:color w:val="auto"/>
              </w:rPr>
            </w:pP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62</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For the year ended December 31, 2022, we recognized $62 million of net charges consisting of (i) $50 million of asset impairment charges primarily related to management’s decision to close two landfills within our East Tier segment and (ii) a $17 million charge pertaining to reserves for loss contingencies in our Corporate and Other segment to adjust an indirect wholly-owned subsidiary’s estimated potential share of the liability for a proposed environmental remediation plan at a closed site, as discussed in Note 10 to the Consolidated Financial Statements. These losses were partially offset by a $5 million gain from the divestiture of a solid waste business in our West Tier segment.</w:t>
      </w:r>
    </w:p>
    <w:p>
      <w:pPr>
        <w:spacing w:after="0" w:line="16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For the year ended December 31, 2021, we recognized net gains of $16 million primarily consisting of (i) a $35 million pre-tax gain from the recognition of cumulative translation adjustments on the divestiture of certain non-strategic Canadian operations in our East Tier segment and (ii) an $8 million gain from divestitures of certain ancillary operations in our Other segment. These gains were partially offset by (i) a $20 million charge pertaining to reserves for loss contingencies in our Corporate and Other segment and (ii) $8 million of asset impairment charges primarily related to our WM Renewable Energy business within our Other segment.</w:t>
      </w:r>
    </w:p>
    <w:p>
      <w:pPr>
        <w:spacing w:after="0" w:line="192"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6"/>
          <w:szCs w:val="16"/>
          <w:color w:val="auto"/>
        </w:rPr>
        <w:t>For the year ended December 31, 2020, we recognized $35 million of net charges primarily related to (i) a $33 million net gain associated with net asset divestitures executed to address requirements of the U.S. Department of Justice in connection with our acquisition of Advanced Disposal, primarily within our West Tier segment; (ii) $41 million of non-cash impairment charges primarily related to two landfills and an oil field waste injection facility in our West Tier segment;</w:t>
      </w:r>
    </w:p>
    <w:p>
      <w:pPr>
        <w:spacing w:after="0" w:line="1" w:lineRule="exact"/>
        <w:rPr>
          <w:sz w:val="20"/>
          <w:szCs w:val="20"/>
          <w:color w:val="auto"/>
        </w:rPr>
      </w:pPr>
    </w:p>
    <w:p>
      <w:pPr>
        <w:jc w:val="both"/>
        <w:ind w:left="60" w:right="59" w:hanging="10"/>
        <w:spacing w:after="0" w:line="253" w:lineRule="auto"/>
        <w:tabs>
          <w:tab w:leader="none" w:pos="3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$20 million non-cash impairment charge in our East Tier segment due to management’s decision to close a landfill once its constructed airspace is filled and abandon any remaining permitted airspace and (iv) $7 million of net charges primarily related to non-cash impairments of certain assets within our WM Renewable Energy business in our Other segment.</w:t>
      </w:r>
    </w:p>
    <w:p>
      <w:pPr>
        <w:spacing w:after="0" w:line="193"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See Note 2 to the Consolidated Financial Statements for additional information related to the accounting policy and analysis involved in identifying and calculating impairments.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income from operations for the year ended December 31 (dollars in millions):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88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tcPr>
          <w:p>
            <w:pPr>
              <w:ind w:left="140"/>
              <w:spacing w:after="0"/>
              <w:rPr>
                <w:sz w:val="20"/>
                <w:szCs w:val="20"/>
                <w:color w:val="auto"/>
              </w:rPr>
            </w:pPr>
            <w:r>
              <w:rPr>
                <w:rFonts w:ascii="Arial" w:cs="Arial" w:eastAsia="Arial" w:hAnsi="Arial"/>
                <w:sz w:val="18"/>
                <w:szCs w:val="18"/>
                <w:color w:val="auto"/>
              </w:rPr>
              <w:t>East Tier</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2,249</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$ 212</w:t>
            </w: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2,037</w:t>
            </w:r>
          </w:p>
        </w:tc>
        <w:tc>
          <w:tcPr>
            <w:tcW w:w="14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365</w:t>
            </w:r>
          </w:p>
        </w:tc>
        <w:tc>
          <w:tcPr>
            <w:tcW w:w="540" w:type="dxa"/>
            <w:vAlign w:val="bottom"/>
          </w:tcPr>
          <w:p>
            <w:pPr>
              <w:jc w:val="right"/>
              <w:spacing w:after="0"/>
              <w:rPr>
                <w:sz w:val="20"/>
                <w:szCs w:val="20"/>
                <w:color w:val="auto"/>
              </w:rPr>
            </w:pPr>
            <w:r>
              <w:rPr>
                <w:rFonts w:ascii="Arial" w:cs="Arial" w:eastAsia="Arial" w:hAnsi="Arial"/>
                <w:sz w:val="18"/>
                <w:szCs w:val="18"/>
                <w:color w:val="auto"/>
              </w:rPr>
              <w:t>21.8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8"/>
              </w:rPr>
              <w:t>% $ 1,672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 Tier</w:t>
            </w:r>
          </w:p>
        </w:tc>
        <w:tc>
          <w:tcPr>
            <w:tcW w:w="15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gridSpan w:val="2"/>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240" w:type="dxa"/>
            <w:vAlign w:val="bottom"/>
          </w:tcPr>
          <w:p>
            <w:pPr>
              <w:ind w:left="260"/>
              <w:spacing w:after="0"/>
              <w:rPr>
                <w:sz w:val="20"/>
                <w:szCs w:val="20"/>
                <w:color w:val="auto"/>
              </w:rPr>
            </w:pPr>
            <w:r>
              <w:rPr>
                <w:rFonts w:ascii="Arial" w:cs="Arial" w:eastAsia="Arial" w:hAnsi="Arial"/>
                <w:sz w:val="18"/>
                <w:szCs w:val="18"/>
                <w:color w:val="auto"/>
              </w:rPr>
              <w:t>Solid Waste</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4,595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455</w:t>
            </w: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668</w:t>
            </w:r>
          </w:p>
        </w:tc>
        <w:tc>
          <w:tcPr>
            <w:tcW w:w="540" w:type="dxa"/>
            <w:vAlign w:val="bottom"/>
          </w:tcPr>
          <w:p>
            <w:pPr>
              <w:jc w:val="right"/>
              <w:spacing w:after="0"/>
              <w:rPr>
                <w:sz w:val="20"/>
                <w:szCs w:val="20"/>
                <w:color w:val="auto"/>
              </w:rPr>
            </w:pPr>
            <w:r>
              <w:rPr>
                <w:rFonts w:ascii="Arial" w:cs="Arial" w:eastAsia="Arial" w:hAnsi="Arial"/>
                <w:sz w:val="18"/>
                <w:szCs w:val="18"/>
                <w:color w:val="auto"/>
              </w:rPr>
              <w:t>19.2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3,472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and Other (b)</w:t>
            </w:r>
          </w:p>
        </w:tc>
        <w:tc>
          <w:tcPr>
            <w:tcW w:w="15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(1,256)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(1,209)</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(213)</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Borders>
              <w:bottom w:val="single" w:sz="8" w:color="CCEEFF"/>
            </w:tcBorders>
            <w:gridSpan w:val="2"/>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$ 400</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13.5 %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4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21.8 % $ 2,434</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revenues</w:t>
            </w: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20" w:type="dxa"/>
            <w:vAlign w:val="bottom"/>
            <w:tcBorders>
              <w:bottom w:val="single" w:sz="8" w:color="auto"/>
            </w:tcBorders>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117" w:lineRule="exact"/>
        <w:rPr>
          <w:sz w:val="20"/>
          <w:szCs w:val="20"/>
          <w:color w:val="auto"/>
        </w:rPr>
      </w:pPr>
    </w:p>
    <w:p>
      <w:pPr>
        <w:jc w:val="both"/>
        <w:ind w:left="380" w:right="79" w:hanging="330"/>
        <w:spacing w:after="0" w:line="255"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includes (i) elements of our WMSBS business that are not included in the operations of our reportable segments; (ii) elements of our sustainability business that includes landfill gas-to-energy operations managed by our WM Renewable Energy business, our SES business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84"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8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ended December 31, 2022 are summarized below:</w:t>
      </w:r>
    </w:p>
    <w:p>
      <w:pPr>
        <w:spacing w:after="0" w:line="62" w:lineRule="exact"/>
        <w:rPr>
          <w:sz w:val="20"/>
          <w:szCs w:val="20"/>
          <w:color w:val="auto"/>
        </w:rPr>
      </w:pPr>
    </w:p>
    <w:p>
      <w:pPr>
        <w:jc w:val="both"/>
        <w:ind w:left="720" w:right="79" w:hanging="319"/>
        <w:spacing w:after="0" w:line="293"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Income from operations in our Solid Waste business increased in 2022, as compared with 2021, primarily due to revenue growth in our collection and disposal businesses driven by both yield and volume. This increase was partially offset by (i) inflationary cost pressures; (ii) labor cost increases from frontline employee wage adjustments; (iii) divestitures, asset impairments and unusual items discussed above in </w:t>
      </w:r>
      <w:r>
        <w:rPr>
          <w:rFonts w:ascii="Arial" w:cs="Arial" w:eastAsia="Arial" w:hAnsi="Arial"/>
          <w:sz w:val="16"/>
          <w:szCs w:val="16"/>
          <w:i w:val="1"/>
          <w:iCs w:val="1"/>
          <w:color w:val="auto"/>
        </w:rPr>
        <w:t>(Gain) Loss from</w:t>
      </w:r>
      <w:r>
        <w:rPr>
          <w:rFonts w:ascii="Arial" w:cs="Arial" w:eastAsia="Arial" w:hAnsi="Arial"/>
          <w:sz w:val="16"/>
          <w:szCs w:val="16"/>
          <w:color w:val="auto"/>
        </w:rPr>
        <w:t xml:space="preserve"> </w:t>
      </w:r>
      <w:r>
        <w:rPr>
          <w:rFonts w:ascii="Arial" w:cs="Arial" w:eastAsia="Arial" w:hAnsi="Arial"/>
          <w:sz w:val="16"/>
          <w:szCs w:val="16"/>
          <w:i w:val="1"/>
          <w:iCs w:val="1"/>
          <w:color w:val="auto"/>
        </w:rPr>
        <w:t>Divestitures, Asset Impairments and Unusual Items, Net</w:t>
      </w:r>
      <w:r>
        <w:rPr>
          <w:rFonts w:ascii="Arial" w:cs="Arial" w:eastAsia="Arial" w:hAnsi="Arial"/>
          <w:sz w:val="16"/>
          <w:szCs w:val="16"/>
          <w:color w:val="auto"/>
        </w:rPr>
        <w:t>; that impacted our East Tier results and (iv)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profitability in our recycling business from the decline in recycling commodity prices and lower volumes.</w:t>
      </w:r>
    </w:p>
    <w:p>
      <w:pPr>
        <w:spacing w:after="0" w:line="56" w:lineRule="exact"/>
        <w:rPr>
          <w:rFonts w:ascii="Arial" w:cs="Arial" w:eastAsia="Arial" w:hAnsi="Arial"/>
          <w:sz w:val="16"/>
          <w:szCs w:val="16"/>
          <w:color w:val="auto"/>
        </w:rPr>
      </w:pPr>
    </w:p>
    <w:p>
      <w:pPr>
        <w:ind w:left="720" w:hanging="319"/>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Income from operations in our Solid Waste business increased in 2021, as compared with 2020, primarily due to</w:t>
      </w:r>
    </w:p>
    <w:p>
      <w:pPr>
        <w:spacing w:after="0" w:line="46" w:lineRule="exact"/>
        <w:rPr>
          <w:rFonts w:ascii="Arial" w:cs="Arial" w:eastAsia="Arial" w:hAnsi="Arial"/>
          <w:sz w:val="16"/>
          <w:szCs w:val="16"/>
          <w:color w:val="auto"/>
        </w:rPr>
      </w:pPr>
    </w:p>
    <w:p>
      <w:pPr>
        <w:jc w:val="both"/>
        <w:ind w:left="720" w:right="79" w:firstLine="5"/>
        <w:spacing w:after="0" w:line="281" w:lineRule="auto"/>
        <w:tabs>
          <w:tab w:leader="none" w:pos="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revenue growth in our collection and disposal businesses driven by both yield and volume, as well as the acquisition of Advanced Disposal; (ii) improved profitability in our recycling business from higher market prices for recycling commodities and improved costs at facilities where we have made investments in enhanced technology and equipment and (iii) changes from divestitures, asset impairments and unusual items discussed above in </w:t>
      </w:r>
      <w:r>
        <w:rPr>
          <w:rFonts w:ascii="Arial" w:cs="Arial" w:eastAsia="Arial" w:hAnsi="Arial"/>
          <w:sz w:val="16"/>
          <w:szCs w:val="16"/>
          <w:i w:val="1"/>
          <w:iCs w:val="1"/>
          <w:color w:val="auto"/>
        </w:rPr>
        <w:t>(Gain) Loss from Divestitures, Asset Impairments and Unusual Items, Net</w:t>
      </w:r>
      <w:r>
        <w:rPr>
          <w:rFonts w:ascii="Arial" w:cs="Arial" w:eastAsia="Arial" w:hAnsi="Arial"/>
          <w:sz w:val="16"/>
          <w:szCs w:val="16"/>
          <w:color w:val="auto"/>
        </w:rPr>
        <w:t xml:space="preserve"> that impacted both Tiers’ results. These increases were partially offset by (i) labor cost pressure from frontline employee wage adjustments, increased turnover driving up training costs and higher overtime due to driver shortages and volume growth;</w:t>
      </w:r>
    </w:p>
    <w:p>
      <w:pPr>
        <w:spacing w:after="0" w:line="4" w:lineRule="exact"/>
        <w:rPr>
          <w:rFonts w:ascii="Arial" w:cs="Arial" w:eastAsia="Arial" w:hAnsi="Arial"/>
          <w:sz w:val="16"/>
          <w:szCs w:val="16"/>
          <w:color w:val="auto"/>
        </w:rPr>
      </w:pPr>
    </w:p>
    <w:p>
      <w:pPr>
        <w:jc w:val="both"/>
        <w:ind w:left="720" w:right="79" w:firstLine="5"/>
        <w:spacing w:after="0" w:line="271" w:lineRule="auto"/>
        <w:tabs>
          <w:tab w:leader="none" w:pos="993" w:val="left"/>
        </w:tabs>
        <w:numPr>
          <w:ilvl w:val="1"/>
          <w:numId w:val="27"/>
        </w:numPr>
        <w:rPr>
          <w:rFonts w:ascii="Arial" w:cs="Arial" w:eastAsia="Arial" w:hAnsi="Arial"/>
          <w:sz w:val="17"/>
          <w:szCs w:val="17"/>
          <w:color w:val="auto"/>
        </w:rPr>
      </w:pPr>
      <w:r>
        <w:rPr>
          <w:rFonts w:ascii="Arial" w:cs="Arial" w:eastAsia="Arial" w:hAnsi="Arial"/>
          <w:sz w:val="17"/>
          <w:szCs w:val="17"/>
          <w:color w:val="auto"/>
        </w:rPr>
        <w:t>increased landfill depletion from higher volumes and revisions in landfill estimates, including the anticipated timing of capping, closure and post-closure activities at certain landfills and adjustments in 2020 to the inflation rate used to estimate capping, closure, and post-closure asset retirement obligations that benefitted costs in 2020 and (iii) inflationary cost pressures. During 2021, the positive earnings contributions from Advanced Disposal were offset by elevated depreciation, depletion and amortization of acquired assets.</w:t>
      </w:r>
    </w:p>
    <w:p>
      <w:pPr>
        <w:sectPr>
          <w:pgSz w:w="11900" w:h="16838" w:orient="portrait"/>
          <w:cols w:equalWidth="0" w:num="1">
            <w:col w:w="9019"/>
          </w:cols>
          <w:pgMar w:left="1440" w:top="611"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decrease in income from operations in 2022, as compared with 2021, was due to the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acquisition and integration-related costs, as well as, a prior year gain from divestitures of certain ancillary operations in our Other segment, discussed above in </w:t>
      </w:r>
      <w:r>
        <w:rPr>
          <w:rFonts w:ascii="Arial" w:cs="Arial" w:eastAsia="Arial" w:hAnsi="Arial"/>
          <w:sz w:val="18"/>
          <w:szCs w:val="18"/>
          <w:i w:val="1"/>
          <w:iCs w:val="1"/>
          <w:color w:val="auto"/>
        </w:rPr>
        <w:t>(Gain) Loss from Divestitures, Asset Impairments and Unusual Items, Net</w:t>
      </w:r>
      <w:r>
        <w:rPr>
          <w:rFonts w:ascii="Arial" w:cs="Arial" w:eastAsia="Arial" w:hAnsi="Arial"/>
          <w:sz w:val="18"/>
          <w:szCs w:val="18"/>
          <w:color w:val="auto"/>
        </w:rPr>
        <w:t>, partially offset by improved profitability in our SES and WMSBS businesses. The increase in income from operations for 2021, as compared to 2020, was primarily driven by increased market values for renewable energy credits generated by our WM Renewable Energy business.</w:t>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most significant items affecting the results of operations for Corporate and Other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years ended December 31, 2022 are summarized below:</w:t>
      </w:r>
    </w:p>
    <w:p>
      <w:pPr>
        <w:spacing w:after="0" w:line="62" w:lineRule="exact"/>
        <w:rPr>
          <w:sz w:val="20"/>
          <w:szCs w:val="20"/>
          <w:color w:val="auto"/>
        </w:rPr>
      </w:pPr>
    </w:p>
    <w:p>
      <w:pPr>
        <w:ind w:left="720" w:right="79" w:hanging="319"/>
        <w:spacing w:after="0" w:line="308"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These costs increased in 2022, as compared with 2021, primarily due to strategic investments in our digital platform and sustainability initiatives, partially offset by lower acquisition and integration related costs.</w:t>
      </w:r>
    </w:p>
    <w:p>
      <w:pPr>
        <w:spacing w:after="0" w:line="38" w:lineRule="exact"/>
        <w:rPr>
          <w:rFonts w:ascii="Arial" w:cs="Arial" w:eastAsia="Arial" w:hAnsi="Arial"/>
          <w:sz w:val="17"/>
          <w:szCs w:val="17"/>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costs increased in 2021, as compared with 2020, due to (i) higher incentive compensation costs;</w:t>
      </w:r>
    </w:p>
    <w:p>
      <w:pPr>
        <w:spacing w:after="0" w:line="23" w:lineRule="exact"/>
        <w:rPr>
          <w:rFonts w:ascii="Arial" w:cs="Arial" w:eastAsia="Arial" w:hAnsi="Arial"/>
          <w:sz w:val="18"/>
          <w:szCs w:val="18"/>
          <w:color w:val="auto"/>
        </w:rPr>
      </w:pPr>
    </w:p>
    <w:p>
      <w:pPr>
        <w:jc w:val="both"/>
        <w:ind w:left="720" w:right="79" w:firstLine="5"/>
        <w:spacing w:after="0" w:line="252" w:lineRule="auto"/>
        <w:tabs>
          <w:tab w:leader="none" w:pos="997"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increased labor, support and integration costs following our acquisition of Advanced Disposal; (iii) strategic investments in our digital platform; (iv) increased health and welfare costs attributable to medical care activity generally returning to pre-pandemic levels from the lower levels experienced during 2020 and (v) charges pertaining to reserves for certain loss contingencies during 2021. These increases were partially offset by lower consulting, advisory and legal fees following the completion of our acquisition of Advanced Disposal in the fourth quarter of 2020 and changes in the measurement of our environmental remediation obligations and recovery assets in both 2020 and 2021.</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interest expense, net was $378 million, $365 million and $425 million in 2022, 2021 and 2020, respectively. The increase in interest expense, net for 2022 was primarily related to borrowings incurred under our $1.0 billion two-year, U.S. term credit agreement (“Term Loan”) and increases in interest rates on our floating-rate debt, including commercial paper and variable-rate tax-exempt bonds. Partially offsetting these increases were benefits from higher capitalized interest and increases in interest income as a result of higher cash and cash equivalent balances.</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decrease in interest expense, net for 2021 was primarily due to certain refinancing activities, as discussed further below, including (i) the redemption of $3.0 billion of senior notes in July 2020 and the issuance of $2.5 billion of senior notes in November 2020 at lower rates and (ii) the retirement of $1.3 billion of certain high-coupon senior notes and concurrent issuance of $950 million of lower coupon senior notes in May 2021. The decreases were partially offset by decreases in interest income as a result of lower cash and cash equivalents balances in 2021. See Note 6 to the Consolidated Financial Statements for more information related to our debt balances.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Loss on Early Extinguishment of Debt, Net</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May 2021, WMI issued $950 million of senior notes. Concurrently, we used the net proceeds from the newly issued senior notes of $942 million and available cash on hand to retire $1.3 billion of certain high-coupon senior notes. The loss on early extinguishment of debt for 2021 includes $220 million of charges related to this tender offer, including cash paid of $211 million related to premiums and other third-party costs, and $9 million primarily related to unamortized discounts and debt issuance costs. See Note 6 to the Consolidated Financial Statements for more information related to these transactions.</w:t>
      </w:r>
    </w:p>
    <w:p>
      <w:pPr>
        <w:spacing w:after="0" w:line="19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July 2020, we recognized a $52 million loss on early extinguishment of debt in our Consolidated Statement of Operations related to the mandatory redemption of $3.0 billion of senior notes with a special mandatory redemption feature (the “SMR Notes”). The loss includes $30 million of premiums paid and $22 million of unamortized discounts and debt issuance costs. Pursuant to the terms of the SMR Notes, we were required to redeem all of such outstanding notes paying debt holders 101% of the aggregate principal amounts of such notes, plus accrued but unpaid interest, as a result of the Advanced Disposal acquisition not being completed by July 14, 2020. Accordingly, the redemption was completed 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July 20, 2020 using available cash on hand and, to a lesser extent, commercial paper borrowings. The cash paid included the $3.0 billion principal amount of debt redeemed, $30 million of related premiums and $8 million of accrued interest.</w:t>
      </w:r>
    </w:p>
    <w:p>
      <w:pPr>
        <w:spacing w:after="0" w:line="12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During the fourth quarter of 2020, we repaid the outstanding borrowings under a 364-day revolving credit facility and contemporaneously terminated the facility, at which time we recognized a $2 million loss on early extinguishment of debt in our Consolidated Statement of Operations related to unamortized debt issuance costs. Additionally, at the time of acquisition, Advanced Disposal had outstanding $425 million of 5.625% senior notes due November 2024. In November 2020, we redeemed the notes pursuant to an optional redemption feature upon which we recognized a $1 million gain on early extinguishment of debt in our Consolidated Statement of Operations due to the difference in carrying value and redemption price.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recognized equity in net losses of unconsolidated entities of $67 million, $36 million and $68 million in 2022, 2021 and 2020, respectively. The losses for each period were primarily related to our noncontrolling interests in entities established to invest in and manage low-income housing properties. We generate tax benefits, including tax credits, from the losses incurred from these investments, which are discussed further in Notes 8 and 18 to the Consolidated Financial Statements. We also held a residual financial interest in an entity that owned a refined coal facility that qualified for federal tax credits. In 2020, the entity sold the majority of its assets resulting in a $7 million non-cash impairment charge at that time.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recorded income tax expense of $678 million, $532 million and $397 million in 2022, 2021 and 2020, respectively, resulting in effective income tax rates of 23.2%, 22.6% and 20.9% for the years ended December 31, 2022, 2021 and 2020, respectively. The comparability of our income tax expense for the reported periods has been primarily affected by the following:</w:t>
      </w:r>
    </w:p>
    <w:p>
      <w:pPr>
        <w:spacing w:after="0" w:line="187" w:lineRule="exact"/>
        <w:rPr>
          <w:sz w:val="20"/>
          <w:szCs w:val="20"/>
          <w:color w:val="auto"/>
        </w:rPr>
      </w:pPr>
    </w:p>
    <w:p>
      <w:pPr>
        <w:jc w:val="both"/>
        <w:ind w:left="720" w:right="79" w:hanging="319"/>
        <w:spacing w:after="0" w:line="25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Our low-income housing properties investments reduced our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by $99 million, $74 million and $87 million, primarily due to tax credits realized from these investments for the years ended December 31, 2022, 2021 and 2020, respectively. See Note 18 to the Consolidated Financial Statements for additional information related to these unconsolidated variable interest entities;</w:t>
      </w:r>
    </w:p>
    <w:p>
      <w:pPr>
        <w:spacing w:after="0" w:line="7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2022, 2021 and 2020, we recognized a reduction in our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$17 million, $18 million and $27 million, respectively, for excess tax benefits related to the vesting or exercise of equity-based compensation awards;</w:t>
      </w:r>
    </w:p>
    <w:p>
      <w:pPr>
        <w:spacing w:after="0" w:line="7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State Net Operating Losses and Credits </w:t>
      </w:r>
      <w:r>
        <w:rPr>
          <w:rFonts w:ascii="Arial" w:cs="Arial" w:eastAsia="Arial" w:hAnsi="Arial"/>
          <w:sz w:val="18"/>
          <w:szCs w:val="18"/>
          <w:color w:val="auto"/>
        </w:rPr>
        <w:t>— During 2022, 2021 and 2020, we recognized state net 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credits resulting in a reduction in our income tax expense of $8 million, $15 million and $12 million, respectively;</w:t>
      </w:r>
    </w:p>
    <w:p>
      <w:pPr>
        <w:spacing w:after="0" w:line="75"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Tax Audit Settlements — </w:t>
      </w:r>
      <w:r>
        <w:rPr>
          <w:rFonts w:ascii="Arial" w:cs="Arial" w:eastAsia="Arial" w:hAnsi="Arial"/>
          <w:sz w:val="18"/>
          <w:szCs w:val="18"/>
          <w:color w:val="auto"/>
        </w:rPr>
        <w:t>We file income tax returns in the U.S. and Canada, as well as other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We are currently under audit by various taxing authorities and our audits are in various stages of completion. During the reported periods, we settled various tax audits, which resulted in a reduction in our income tax expense of $6 million, $13 million and $10 million for the years ended December 31, 2022, 2021 and 2020, respectively;</w:t>
      </w:r>
    </w:p>
    <w:p>
      <w:pPr>
        <w:spacing w:after="0" w:line="79"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Adjustments to Accruals and Related Deferred Taxes </w:t>
      </w:r>
      <w:r>
        <w:rPr>
          <w:rFonts w:ascii="Arial" w:cs="Arial" w:eastAsia="Arial" w:hAnsi="Arial"/>
          <w:sz w:val="17"/>
          <w:szCs w:val="17"/>
          <w:color w:val="auto"/>
        </w:rPr>
        <w:t>— Adjustments to our accruals and related deferred taxes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filing of our income tax returns, analysis of our deferred tax balances and uncertain tax positions, and changes in state and foreign laws resulted in an increase in our income tax expense of $1 million and $17 million for the years ended December 31, 2022 and 2021, respectively, and a reduction in our income tax expense of $3 million for the year ended December 31, 2020;</w:t>
      </w:r>
    </w:p>
    <w:p>
      <w:pPr>
        <w:spacing w:after="0" w:line="68" w:lineRule="exact"/>
        <w:rPr>
          <w:rFonts w:ascii="Arial" w:cs="Arial" w:eastAsia="Arial" w:hAnsi="Arial"/>
          <w:sz w:val="17"/>
          <w:szCs w:val="17"/>
          <w:color w:val="auto"/>
        </w:rPr>
      </w:pPr>
    </w:p>
    <w:p>
      <w:pPr>
        <w:jc w:val="both"/>
        <w:ind w:left="720" w:right="79" w:hanging="319"/>
        <w:spacing w:after="0" w:line="286"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Tax Implications of Divestitures </w:t>
      </w:r>
      <w:r>
        <w:rPr>
          <w:rFonts w:ascii="Arial" w:cs="Arial" w:eastAsia="Arial" w:hAnsi="Arial"/>
          <w:sz w:val="17"/>
          <w:szCs w:val="17"/>
          <w:color w:val="auto"/>
        </w:rPr>
        <w:t>– During 2021, we recognized a pre-tax gain from the recognition of cumulative</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translation adjustments on the divestiture of certain non-strategic Canadian operations. This gain was not taxable, which benefited our effective income tax rate for the year ended December 31, 2021;</w:t>
      </w:r>
    </w:p>
    <w:p>
      <w:pPr>
        <w:sectPr>
          <w:pgSz w:w="11900" w:h="16838" w:orient="portrait"/>
          <w:cols w:equalWidth="0" w:num="1">
            <w:col w:w="9019"/>
          </w:cols>
          <w:pgMar w:left="1440" w:top="611"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9"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Non-Deductible Transaction Costs </w:t>
      </w:r>
      <w:r>
        <w:rPr>
          <w:rFonts w:ascii="Arial" w:cs="Arial" w:eastAsia="Arial" w:hAnsi="Arial"/>
          <w:sz w:val="18"/>
          <w:szCs w:val="18"/>
          <w:color w:val="auto"/>
        </w:rPr>
        <w:t>— During 2020, we recognized the detrimental tax impact of $27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non-deductible transaction costs related to our acquisition of Advanced Disposal. The tax rules require the capitalization of certain facilitative costs on the acquisition of stock of a company resulting in the applicable costs not being deductible for tax purposes; and</w:t>
      </w:r>
    </w:p>
    <w:p>
      <w:pPr>
        <w:spacing w:after="0" w:line="78" w:lineRule="exact"/>
        <w:rPr>
          <w:rFonts w:ascii="Arial" w:cs="Arial" w:eastAsia="Arial" w:hAnsi="Arial"/>
          <w:sz w:val="18"/>
          <w:szCs w:val="18"/>
          <w:color w:val="auto"/>
        </w:rPr>
      </w:pPr>
    </w:p>
    <w:p>
      <w:pPr>
        <w:jc w:val="both"/>
        <w:ind w:left="720" w:right="79" w:hanging="319"/>
        <w:spacing w:after="0" w:line="285"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Tax Legislation </w:t>
      </w:r>
      <w:r>
        <w:rPr>
          <w:rFonts w:ascii="Arial" w:cs="Arial" w:eastAsia="Arial" w:hAnsi="Arial"/>
          <w:sz w:val="16"/>
          <w:szCs w:val="16"/>
          <w:color w:val="auto"/>
        </w:rPr>
        <w:t>— The Inflation Reduction Act of 2022 (“IRA”) was signed into law by President Biden on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16, 2022 and contains a number of tax-related provisions. The provisions of the IRA related to alternative fuel tax credits secure approximately $55 million of annual pre-tax benefit (to be recorded as a reduction in our operating expense) from tax credits through 2024, which is in line with the benefit we have realized from our alternative fuel tax credits in prior years. Additionally, we will incur an excise tax of 1% for future common stock repurchases, which will be reflected in the cost of purchasing the underlying shares as a component of treasury stock. The IRA contains a number of additional provisions related to tax incentives for investments in renewable energy production, carbon capture, and other climate actions, as well as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current expectation is the minimum corporate tax will not have an impact on the Company. With respect to only the investment tax credit aspect of the IRA, we expect the cumulative benefit to be between $250 million and $350 million, a large portion of which is anticipated to be realized in 2025. Additionally, the production tax credit incentives for investments in renewable energy and the carbon capture provisions of the IRA will likely result in incremental benefit, although at this time the amount of those benefits have not been quantified.</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8 to the Consolidated Financial Statements for more information related to income taxes.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owned or operated 254 solid waste landfills and five secure hazardous waste landfills as of December 31, 2022 and 255 solid waste landfills and five secure hazardous waste landfills as of December 31, 2021. For these landfills, the following table reflects changes in capacity, as measured in tons of waste, for the year ended December 31 and remaining airspace, measured in cubic yards of waste, as of December 31 (in millions):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Expansion</w:t>
            </w: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Remaining</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Expansion</w:t>
            </w:r>
          </w:p>
        </w:tc>
        <w:tc>
          <w:tcPr>
            <w:tcW w:w="5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Permitted</w:t>
            </w:r>
          </w:p>
        </w:tc>
        <w:tc>
          <w:tcPr>
            <w:tcW w:w="7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Permitted</w:t>
            </w:r>
          </w:p>
        </w:tc>
        <w:tc>
          <w:tcPr>
            <w:tcW w:w="7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Capacity</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Capacity</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Capacity</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Capacity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9"/>
              </w:rPr>
              <w:t>Capacity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beginning of year (in tons)</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tcPr>
          <w:p>
            <w:pPr>
              <w:spacing w:after="0" w:line="201" w:lineRule="exact"/>
              <w:rPr>
                <w:sz w:val="20"/>
                <w:szCs w:val="20"/>
                <w:color w:val="auto"/>
              </w:rPr>
            </w:pPr>
            <w:r>
              <w:rPr>
                <w:rFonts w:ascii="Arial" w:cs="Arial" w:eastAsia="Arial" w:hAnsi="Arial"/>
                <w:sz w:val="18"/>
                <w:szCs w:val="18"/>
                <w:color w:val="auto"/>
                <w:w w:val="99"/>
              </w:rPr>
              <w:t>Acquisitions, divestitures, newly permitted landfills and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closures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 (a)</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Expansion permits granted (b)</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Depletable tons received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Changes in engineering estimates and other (c) (d)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end of year (in tons) (e)</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ind w:left="20"/>
              <w:spacing w:after="0"/>
              <w:rPr>
                <w:sz w:val="20"/>
                <w:szCs w:val="20"/>
                <w:color w:val="auto"/>
              </w:rPr>
            </w:pPr>
            <w:r>
              <w:rPr>
                <w:rFonts w:ascii="Arial" w:cs="Arial" w:eastAsia="Arial" w:hAnsi="Arial"/>
                <w:sz w:val="18"/>
                <w:szCs w:val="18"/>
                <w:color w:val="auto"/>
              </w:rPr>
              <w:t>Balance as of end of year (in cubic yards) (e)</w:t>
            </w:r>
          </w:p>
        </w:tc>
        <w:tc>
          <w:tcPr>
            <w:tcW w:w="34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3"/>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5,079</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5,259</w:t>
            </w:r>
          </w:p>
        </w:tc>
        <w:tc>
          <w:tcPr>
            <w:tcW w:w="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4,808</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311"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40" w:lineRule="exact"/>
        <w:rPr>
          <w:rFonts w:ascii="Arial" w:cs="Arial" w:eastAsia="Arial" w:hAnsi="Arial"/>
          <w:sz w:val="16"/>
          <w:szCs w:val="16"/>
          <w:color w:val="auto"/>
        </w:rPr>
      </w:pPr>
    </w:p>
    <w:p>
      <w:pPr>
        <w:jc w:val="both"/>
        <w:ind w:left="380" w:right="79" w:hanging="330"/>
        <w:spacing w:after="0" w:line="263"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received expansion permits at 12 of our landfills during 2022 and seven of our landfills during 2021, demonstrating our continued success in working with municipalities and regulatory agencies to expand the disposal airspace of our existing landfills.</w:t>
      </w:r>
    </w:p>
    <w:p>
      <w:pPr>
        <w:spacing w:after="0" w:line="75" w:lineRule="exact"/>
        <w:rPr>
          <w:rFonts w:ascii="Arial" w:cs="Arial" w:eastAsia="Arial" w:hAnsi="Arial"/>
          <w:sz w:val="18"/>
          <w:szCs w:val="18"/>
          <w:color w:val="auto"/>
        </w:rPr>
      </w:pPr>
    </w:p>
    <w:p>
      <w:pPr>
        <w:jc w:val="both"/>
        <w:ind w:left="380" w:right="79" w:hanging="330"/>
        <w:spacing w:after="0" w:line="301"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w:t>
      </w:r>
    </w:p>
    <w:p>
      <w:pPr>
        <w:sectPr>
          <w:pgSz w:w="11900" w:h="16838" w:orient="portrait"/>
          <w:cols w:equalWidth="0" w:num="1">
            <w:col w:w="9019"/>
          </w:cols>
          <w:pgMar w:left="1440" w:top="611"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80" w:right="79"/>
        <w:spacing w:after="0" w:line="275" w:lineRule="auto"/>
        <w:rPr>
          <w:sz w:val="20"/>
          <w:szCs w:val="20"/>
          <w:color w:val="auto"/>
        </w:rPr>
      </w:pPr>
      <w:r>
        <w:rPr>
          <w:rFonts w:ascii="Arial" w:cs="Arial" w:eastAsia="Arial" w:hAnsi="Arial"/>
          <w:sz w:val="17"/>
          <w:szCs w:val="17"/>
          <w:color w:val="auto"/>
        </w:rPr>
        <w:t>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68" w:lineRule="exact"/>
        <w:rPr>
          <w:sz w:val="20"/>
          <w:szCs w:val="20"/>
          <w:color w:val="auto"/>
        </w:rPr>
      </w:pPr>
    </w:p>
    <w:p>
      <w:pPr>
        <w:ind w:left="380" w:hanging="330"/>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2022, a change in accounting estimate resulted in an increase of 190 million tons across certain landfills.</w:t>
      </w:r>
    </w:p>
    <w:p>
      <w:pPr>
        <w:spacing w:after="0" w:line="117"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2 to the Consolidated Financial Statements for discussion of converting remaining cubic yards of airspace to tons of capacity.</w:t>
      </w:r>
    </w:p>
    <w:p>
      <w:pPr>
        <w:spacing w:after="0" w:line="17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6"/>
          <w:szCs w:val="16"/>
          <w:color w:val="auto"/>
        </w:rPr>
        <w:t>The depletable tons received at our landfills for the year ended December 31 are shown below (tons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700" w:type="dxa"/>
            <w:vAlign w:val="bottom"/>
            <w:gridSpan w:val="2"/>
          </w:tcPr>
          <w:p>
            <w:pPr>
              <w:jc w:val="center"/>
              <w:ind w:right="150"/>
              <w:spacing w:after="0" w:line="119" w:lineRule="exact"/>
              <w:rPr>
                <w:sz w:val="20"/>
                <w:szCs w:val="20"/>
                <w:color w:val="auto"/>
              </w:rPr>
            </w:pPr>
            <w:r>
              <w:rPr>
                <w:rFonts w:ascii="Arial" w:cs="Arial" w:eastAsia="Arial" w:hAnsi="Arial"/>
                <w:sz w:val="13"/>
                <w:szCs w:val="13"/>
                <w:b w:val="1"/>
                <w:bCs w:val="1"/>
                <w:color w:val="auto"/>
                <w:w w:val="94"/>
              </w:rPr>
              <w:t># of</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Depletable</w:t>
            </w:r>
          </w:p>
        </w:tc>
        <w:tc>
          <w:tcPr>
            <w:tcW w:w="1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0"/>
              </w:rPr>
              <w:t>Tons per</w:t>
            </w:r>
          </w:p>
        </w:tc>
        <w:tc>
          <w:tcPr>
            <w:tcW w:w="160" w:type="dxa"/>
            <w:vAlign w:val="bottom"/>
          </w:tcPr>
          <w:p>
            <w:pPr>
              <w:spacing w:after="0"/>
              <w:rPr>
                <w:sz w:val="10"/>
                <w:szCs w:val="10"/>
                <w:color w:val="auto"/>
              </w:rPr>
            </w:pPr>
          </w:p>
        </w:tc>
        <w:tc>
          <w:tcPr>
            <w:tcW w:w="5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 of</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Depletable</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0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3"/>
              </w:rPr>
              <w:t>Sites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Tons</w:t>
            </w:r>
          </w:p>
        </w:tc>
        <w:tc>
          <w:tcPr>
            <w:tcW w:w="16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4"/>
                <w:szCs w:val="14"/>
                <w:b w:val="1"/>
                <w:bCs w:val="1"/>
                <w:color w:val="auto"/>
              </w:rPr>
              <w:t>Day</w:t>
            </w:r>
          </w:p>
        </w:tc>
        <w:tc>
          <w:tcPr>
            <w:tcW w:w="16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Sites</w:t>
            </w:r>
          </w:p>
        </w:tc>
        <w:tc>
          <w:tcPr>
            <w:tcW w:w="680" w:type="dxa"/>
            <w:vAlign w:val="bottom"/>
          </w:tcPr>
          <w:p>
            <w:pPr>
              <w:jc w:val="right"/>
              <w:ind w:right="97"/>
              <w:spacing w:after="0"/>
              <w:rPr>
                <w:sz w:val="20"/>
                <w:szCs w:val="20"/>
                <w:color w:val="auto"/>
              </w:rPr>
            </w:pPr>
            <w:r>
              <w:rPr>
                <w:rFonts w:ascii="Arial" w:cs="Arial" w:eastAsia="Arial" w:hAnsi="Arial"/>
                <w:sz w:val="14"/>
                <w:szCs w:val="14"/>
                <w:b w:val="1"/>
                <w:bCs w:val="1"/>
                <w:color w:val="auto"/>
              </w:rPr>
              <w:t>Tons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rPr>
              <w:t>Day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waste landfills (a)</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(b)</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123,462</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123,163</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124,114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123,749</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Solid waste landfills closed, divested or lease or other</w:t>
            </w: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contractual agreement expired during related year</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124,747</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123,863</w:t>
            </w:r>
          </w:p>
        </w:tc>
        <w:tc>
          <w:tcPr>
            <w:tcW w:w="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75"/>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December 31, 2022 and 2021, we had 15 landfills and 14 landfills, respectively, which were not accepting waste.</w:t>
      </w:r>
    </w:p>
    <w:p>
      <w:pPr>
        <w:spacing w:after="0" w:line="140" w:lineRule="exact"/>
        <w:rPr>
          <w:rFonts w:ascii="Arial" w:cs="Arial" w:eastAsia="Arial" w:hAnsi="Arial"/>
          <w:sz w:val="16"/>
          <w:szCs w:val="16"/>
          <w:color w:val="auto"/>
        </w:rPr>
      </w:pPr>
    </w:p>
    <w:p>
      <w:pPr>
        <w:ind w:left="380" w:right="79" w:hanging="330"/>
        <w:spacing w:after="0" w:line="342" w:lineRule="auto"/>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2022, we (i) executed one new contractual agreement; (ii) reopened one previously closed landfill; (iii) developed one new landfill; (iv) closed three landfills and (v) closed one landfill operated under contractual agreement.</w:t>
      </w:r>
    </w:p>
    <w:p>
      <w:pPr>
        <w:spacing w:after="0" w:line="15" w:lineRule="exact"/>
        <w:rPr>
          <w:rFonts w:ascii="Arial" w:cs="Arial" w:eastAsia="Arial" w:hAnsi="Arial"/>
          <w:sz w:val="16"/>
          <w:szCs w:val="16"/>
          <w:color w:val="auto"/>
        </w:rPr>
      </w:pPr>
    </w:p>
    <w:p>
      <w:pPr>
        <w:jc w:val="both"/>
        <w:ind w:left="380" w:right="79" w:hanging="330"/>
        <w:spacing w:after="0" w:line="263"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December 31, 2021 tons have been restated for comparability purposes by removing 1.6 million tons received at the landfill that were not depleted as they were used for beneficial purposes and generally were redirected from the permitted airspace to other areas of the landfill.</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2022, we owned or controlled the management of 231 sites with remedial activities, are in closure or have received a certification of closure or post-closure from the applicable regulatory agency.</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Based on remaining permitted airspace as of December 31, 2022 and projected annual disposal volume, the weighted average remaining landfill life for all of our owned or operated landfills is approximately 39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16 of our landfills that meet the expansion criteria outlined in the </w:t>
      </w:r>
      <w:r>
        <w:rPr>
          <w:rFonts w:ascii="Arial" w:cs="Arial" w:eastAsia="Arial" w:hAnsi="Arial"/>
          <w:sz w:val="17"/>
          <w:szCs w:val="17"/>
          <w:i w:val="1"/>
          <w:iCs w:val="1"/>
          <w:color w:val="auto"/>
        </w:rPr>
        <w:t xml:space="preserve">Critical Accounting Estimates and Assumptions — Landfills </w:t>
      </w:r>
      <w:r>
        <w:rPr>
          <w:rFonts w:ascii="Arial" w:cs="Arial" w:eastAsia="Arial" w:hAnsi="Arial"/>
          <w:sz w:val="17"/>
          <w:szCs w:val="17"/>
          <w:color w:val="auto"/>
        </w:rPr>
        <w:t>section below. Although no assurances can be made that all</w:t>
      </w:r>
      <w:r>
        <w:rPr>
          <w:rFonts w:ascii="Arial" w:cs="Arial" w:eastAsia="Arial" w:hAnsi="Arial"/>
          <w:sz w:val="17"/>
          <w:szCs w:val="17"/>
          <w:i w:val="1"/>
          <w:iCs w:val="1"/>
          <w:color w:val="auto"/>
        </w:rPr>
        <w:t xml:space="preserve"> </w:t>
      </w:r>
      <w:r>
        <w:rPr>
          <w:rFonts w:ascii="Arial" w:cs="Arial" w:eastAsia="Arial" w:hAnsi="Arial"/>
          <w:sz w:val="17"/>
          <w:szCs w:val="17"/>
          <w:color w:val="auto"/>
        </w:rPr>
        <w:t>future expansions will be permitted or permitted as designed, the weighted average remaining landfill life for all owned or operated landfills is approximately 40 years when considering remaining permitted airspace, expansion airspace and projected annual disposal volume.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The number of landfills owned or operated as of December 31, 2022, segregated by their estimated operating lives based on remaining permitted and expansion airspace and projected annual disposal volume, was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 of Landfills</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to 5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6 to 10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to 20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21 to 40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 years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the 259 landfills, 218 are owned, 29 are operated under lease agreements and 12 are operated under other contractual agreements. For the landfills not owned, we are usually responsible for final capping, closure and post-closure obligations.</w:t>
      </w:r>
    </w:p>
    <w:p>
      <w:pPr>
        <w:spacing w:after="0" w:line="18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Landfill Assets — </w:t>
      </w:r>
      <w:r>
        <w:rPr>
          <w:rFonts w:ascii="Arial" w:cs="Arial" w:eastAsia="Arial" w:hAnsi="Arial"/>
          <w:sz w:val="16"/>
          <w:szCs w:val="16"/>
          <w:color w:val="auto"/>
        </w:rPr>
        <w:t>We capitalize various costs that we incur to prepare a landfill to accept waste. These costs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changes to the cost basis of our landfill assets and accumulated landfill airspace depletion for the year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are reflected in the table below (in millions):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7"/>
              </w:rPr>
              <w:t>Cost Basis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Landfill Airspace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Landfill Assets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Depletion</w:t>
            </w: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Landfill Assets</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Capital additions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retirement obligations incurred and capitalized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Depletion of landfill airspace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Asset retirements and other adjustments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As of December 31, 2022, we estimate that we will spend approximately $731 million in 2023, and approximately $1.6 billion in 2024 and 2025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5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Landfill and Environmental Remediation Liabilities — </w:t>
      </w:r>
      <w:r>
        <w:rPr>
          <w:rFonts w:ascii="Arial" w:cs="Arial" w:eastAsia="Arial" w:hAnsi="Arial"/>
          <w:sz w:val="16"/>
          <w:szCs w:val="16"/>
          <w:color w:val="auto"/>
        </w:rPr>
        <w:t>As we accept waste at our landfills, we incur significant asset</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2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2022 are reflected in the table below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Landfill</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Environmental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2021, the increase in our landfill liabilities for revisions in estimates and interest rate assumptions was $33 million. The increase in our landfill liabilities in 2022 is primarily due to inflationary cost pressures that are expected to impact costs over the remaining landfill lives.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following table summarizes our landfill operating costs for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on landfill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2"/>
        </w:trPr>
        <w:tc>
          <w:tcPr>
            <w:tcW w:w="6260" w:type="dxa"/>
            <w:vAlign w:val="bottom"/>
          </w:tcPr>
          <w:p>
            <w:pPr>
              <w:spacing w:after="0" w:line="201" w:lineRule="exact"/>
              <w:rPr>
                <w:sz w:val="20"/>
                <w:szCs w:val="20"/>
                <w:color w:val="auto"/>
              </w:rPr>
            </w:pPr>
            <w:r>
              <w:rPr>
                <w:rFonts w:ascii="Arial" w:cs="Arial" w:eastAsia="Arial" w:hAnsi="Arial"/>
                <w:sz w:val="18"/>
                <w:szCs w:val="18"/>
                <w:color w:val="auto"/>
                <w:w w:val="96"/>
              </w:rPr>
              <w:t>Interest accretion on and discount rate adjustments to environmental remediation</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6260" w:type="dxa"/>
            <w:vAlign w:val="bottom"/>
          </w:tcPr>
          <w:p>
            <w:pPr>
              <w:ind w:left="120"/>
              <w:spacing w:after="0"/>
              <w:rPr>
                <w:sz w:val="20"/>
                <w:szCs w:val="20"/>
                <w:color w:val="auto"/>
              </w:rPr>
            </w:pPr>
            <w:r>
              <w:rPr>
                <w:rFonts w:ascii="Arial" w:cs="Arial" w:eastAsia="Arial" w:hAnsi="Arial"/>
                <w:sz w:val="18"/>
                <w:szCs w:val="18"/>
                <w:color w:val="auto"/>
              </w:rPr>
              <w:t>liabilities and recovery assets</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6260" w:type="dxa"/>
            <w:vAlign w:val="bottom"/>
          </w:tcPr>
          <w:p>
            <w:pPr>
              <w:ind w:left="220"/>
              <w:spacing w:after="0"/>
              <w:rPr>
                <w:sz w:val="20"/>
                <w:szCs w:val="20"/>
                <w:color w:val="auto"/>
              </w:rPr>
            </w:pPr>
            <w:r>
              <w:rPr>
                <w:rFonts w:ascii="Arial" w:cs="Arial" w:eastAsia="Arial" w:hAnsi="Arial"/>
                <w:sz w:val="18"/>
                <w:szCs w:val="18"/>
                <w:color w:val="auto"/>
              </w:rPr>
              <w:t>Total landfill operating costs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Depletion of Landfill Airspace </w:t>
      </w:r>
      <w:r>
        <w:rPr>
          <w:rFonts w:ascii="Arial" w:cs="Arial" w:eastAsia="Arial" w:hAnsi="Arial"/>
          <w:sz w:val="18"/>
          <w:szCs w:val="18"/>
          <w:color w:val="auto"/>
        </w:rPr>
        <w:t>— Depletion of landfill airspace, which is included as a component of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depletion and amortization expenses, includes the following:</w:t>
      </w:r>
    </w:p>
    <w:p>
      <w:pPr>
        <w:spacing w:after="0" w:line="62" w:lineRule="exact"/>
        <w:rPr>
          <w:sz w:val="20"/>
          <w:szCs w:val="20"/>
          <w:color w:val="auto"/>
        </w:rPr>
      </w:pPr>
    </w:p>
    <w:p>
      <w:pPr>
        <w:jc w:val="both"/>
        <w:ind w:left="720" w:right="79" w:hanging="319"/>
        <w:spacing w:after="0" w:line="263"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depletion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7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depletion of asset retirement costs arising from landfill final capping, closure and post-closure obligations, including (i) costs that have been incurred and capitalized and (ii) projected asset retirement costs.</w:t>
      </w:r>
    </w:p>
    <w:p>
      <w:pPr>
        <w:spacing w:after="0" w:line="14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Depletion expense is recorded on a units-of-consumption basis, applying cost as a rate per ton. The rate per ton is calculated by dividing each component of the depletable basis of a landfill (net of accumulated depletion)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depleted on a per-ton basis using a landfill’s total permitted and expansion airspace. Final capping asset retirement costs are related to a specific final capping event and are, therefore, depleted on a per-ton basis using each discrete final capping event’s estimated permitted and expansion airspace. Accordingly, each landfill has multiple per-ton depletion rates.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our landfill airspace depletion expense on a per-ton basis for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Depletion of landfill airspace (in millions)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depletion expense per ton</w:t>
            </w:r>
          </w:p>
        </w:tc>
        <w:tc>
          <w:tcPr>
            <w:tcW w:w="1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bl>
    <w:p>
      <w:pPr>
        <w:spacing w:after="0" w:line="20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Different per-ton depletion rates are applied at each of our 259 landfills, and per-ton depletion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spacing w:after="0" w:line="2" w:lineRule="exact"/>
        <w:rPr>
          <w:sz w:val="20"/>
          <w:szCs w:val="20"/>
          <w:color w:val="auto"/>
        </w:rPr>
      </w:pPr>
    </w:p>
    <w:p>
      <w:pPr>
        <w:jc w:val="both"/>
        <w:ind w:left="60" w:right="59" w:hanging="10"/>
        <w:spacing w:after="0" w:line="255"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differences in the cost basis of landfills that we develop versus those that we acquire. Accordingly, our landfill airspace depletion expense measured on a per-ton basis can fluctuate due to changes in the mix of volumes we receive across the Company each year.</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consistently generates annual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large value of unencumbered assets and modest leverage enable it to obtain adequate financing to meet its ongoing capital, operating, strategic and other liquidity requirements.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Contractual Obligations</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following table summarizes our significant contractual obligations as of December 31, 2022 (other than recorded obligations related to liabilities associated with environmental remediation costs and non-cancelable operating lease obligations, which are discussed further in Notes 3 and 7 to the Consolidated Financial Statements, respectively) and the anticipated effect of these obligations on our liquidity in future years (in millions):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2027</w:t>
            </w:r>
          </w:p>
        </w:tc>
        <w:tc>
          <w:tcPr>
            <w:tcW w:w="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Recorded Obligations:</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7"/>
                <w:szCs w:val="17"/>
                <w:color w:val="auto"/>
              </w:rPr>
              <w:t>Final capping, closure and post-closure liabilities (a)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4,058</w:t>
            </w:r>
          </w:p>
        </w:tc>
      </w:tr>
      <w:tr>
        <w:trPr>
          <w:trHeight w:val="43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Debt payments (b)</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2,423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15,148</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7"/>
                <w:szCs w:val="17"/>
                <w:b w:val="1"/>
                <w:bCs w:val="1"/>
                <w:color w:val="auto"/>
              </w:rPr>
              <w:t>Unrecorded Obligations: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on debt (c)</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16"/>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Estimated unconditional purchase obligations (d)</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r>
      <w:tr>
        <w:trPr>
          <w:trHeight w:val="425"/>
        </w:trPr>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96"/>
              </w:rPr>
              <w:t>Anticipated liquidity impact as of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3,203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2,051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1,999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1,641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14,497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24,672</w:t>
            </w: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59"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liabilities for final capping, closure and post-closure costs recorded in our Consolidated Balance Sheet as of December 31, 2022, without the impact of discounting and inflation. Our recorded liabilities for final capping, closure and post-closure costs will increase as we continue to place additional tons within the permitted airspace at our landfills.</w:t>
      </w:r>
    </w:p>
    <w:p>
      <w:pPr>
        <w:spacing w:after="0" w:line="78"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amounts represent the scheduled principal payments based on their contractual maturities related to our long-term debt and financing leases, excluding interest. Refer to Note 6 to the Consolidated Financial Statements for additional information regarding our debt obligations.</w:t>
      </w:r>
    </w:p>
    <w:p>
      <w:pPr>
        <w:spacing w:after="0" w:line="75"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on our fixed-rate debt was calculated based on contractual rates and interest on our variable-rate debt was calculated based on interest rates as of December 31, 2022. As of December 31, 2022, we had $89 million of accrued interest related to our debt obligations.</w:t>
      </w:r>
    </w:p>
    <w:p>
      <w:pPr>
        <w:spacing w:after="0" w:line="75" w:lineRule="exact"/>
        <w:rPr>
          <w:rFonts w:ascii="Arial" w:cs="Arial" w:eastAsia="Arial" w:hAnsi="Arial"/>
          <w:sz w:val="18"/>
          <w:szCs w:val="18"/>
          <w:color w:val="auto"/>
        </w:rPr>
      </w:pPr>
    </w:p>
    <w:p>
      <w:pPr>
        <w:ind w:left="380" w:right="79" w:hanging="330"/>
        <w:spacing w:after="0" w:line="324"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unrecorded obligations represent purchase commitments from which we expect to realize an economic benefit in future periods. We have also made certain guarantees that we do not expect to materially affect our current or future</w:t>
      </w:r>
    </w:p>
    <w:p>
      <w:pPr>
        <w:sectPr>
          <w:pgSz w:w="11900" w:h="16838" w:orient="portrait"/>
          <w:cols w:equalWidth="0" w:num="1">
            <w:col w:w="9019"/>
          </w:cols>
          <w:pgMar w:left="1440" w:top="611"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financial position, results of operations or liquidity. See Note 10 to the Consolidated Financial Statements for discussion of the nature and terms of our unconditional purchase obligations and guarantees.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Funds and Debt Obligations</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funds and debt balances as of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funds:</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reserves</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restricted funds (a)</w:t>
            </w:r>
          </w:p>
        </w:tc>
        <w:tc>
          <w:tcPr>
            <w:tcW w:w="7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Current portion</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portion</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tcPr>
          <w:p>
            <w:pPr>
              <w:ind w:left="260"/>
              <w:spacing w:after="0"/>
              <w:rPr>
                <w:sz w:val="20"/>
                <w:szCs w:val="20"/>
                <w:color w:val="auto"/>
              </w:rPr>
            </w:pPr>
            <w:r>
              <w:rPr>
                <w:rFonts w:ascii="Arial" w:cs="Arial" w:eastAsia="Arial" w:hAnsi="Arial"/>
                <w:sz w:val="18"/>
                <w:szCs w:val="18"/>
                <w:color w:val="auto"/>
              </w:rPr>
              <w:t>Total debt</w:t>
            </w:r>
          </w:p>
        </w:tc>
        <w:tc>
          <w:tcPr>
            <w:tcW w:w="7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December 31, 2022 and 2021, $83 million and $80 million, respectively, of these account balances was included in other current assets in our Consolidated Balance Sheets.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We use long-term borrowings in addition to the cash we generate from operations as part of our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strategy to support and grow our business. We primarily use senior notes and tax-exempt bonds to borrow on a long-term basis, but we also use other instruments and facilities, when appropriate. The components of our borrowings as of December 31, 2022 are described in Note 6 to the Consolidated Financial Statements.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2022, we had approximately $3.1 billion of debt maturing within the next 12 months, including</w:t>
      </w:r>
    </w:p>
    <w:p>
      <w:pPr>
        <w:spacing w:after="0" w:line="35" w:lineRule="exact"/>
        <w:rPr>
          <w:sz w:val="20"/>
          <w:szCs w:val="20"/>
          <w:color w:val="auto"/>
        </w:rPr>
      </w:pPr>
    </w:p>
    <w:p>
      <w:pPr>
        <w:ind w:left="300" w:hanging="250"/>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$1.7 billion of short-term borrowings under our commercial paper program (net of related discount on issuance);</w:t>
      </w:r>
    </w:p>
    <w:p>
      <w:pPr>
        <w:spacing w:after="0" w:line="20" w:lineRule="exact"/>
        <w:rPr>
          <w:rFonts w:ascii="Arial" w:cs="Arial" w:eastAsia="Arial" w:hAnsi="Arial"/>
          <w:sz w:val="17"/>
          <w:szCs w:val="17"/>
          <w:color w:val="auto"/>
        </w:rPr>
      </w:pPr>
    </w:p>
    <w:p>
      <w:pPr>
        <w:jc w:val="both"/>
        <w:ind w:left="60" w:right="59" w:hanging="10"/>
        <w:spacing w:after="0" w:line="269" w:lineRule="auto"/>
        <w:tabs>
          <w:tab w:leader="none" w:pos="333" w:val="left"/>
        </w:tabs>
        <w:numPr>
          <w:ilvl w:val="0"/>
          <w:numId w:val="40"/>
        </w:numPr>
        <w:rPr>
          <w:rFonts w:ascii="Arial" w:cs="Arial" w:eastAsia="Arial" w:hAnsi="Arial"/>
          <w:sz w:val="17"/>
          <w:szCs w:val="17"/>
          <w:color w:val="auto"/>
        </w:rPr>
      </w:pPr>
      <w:r>
        <w:rPr>
          <w:rFonts w:ascii="Arial" w:cs="Arial" w:eastAsia="Arial" w:hAnsi="Arial"/>
          <w:sz w:val="17"/>
          <w:szCs w:val="17"/>
          <w:color w:val="auto"/>
        </w:rPr>
        <w:t>$725 million of tax-exempt bonds with term interest rate periods that expire within the next 12 months, which is prior to their scheduled maturities; (iii) $500 million of 2.4% senior notes that mature in May 2023 and (iv) $192 million of other debt with scheduled maturities within the next 12 months, including $65 million of tax-exempt bonds. As of December 31, 2022, we have classified $2.7 billion of debt maturing in the next 12 months as long term because we have the intent and ability to refinance these borrowings on a long-term basis as supported by the forecasted available capacity under our $3.5 billion long-term U.S. and Canadian revolving credit facility (“$3.5 billion revolving credit facility”). The remaining $414 million of debt maturing in the next 12 months is classified as current obligations.</w:t>
      </w:r>
    </w:p>
    <w:p>
      <w:pPr>
        <w:spacing w:after="0" w:line="180" w:lineRule="exact"/>
        <w:rPr>
          <w:sz w:val="20"/>
          <w:szCs w:val="20"/>
          <w:color w:val="auto"/>
        </w:rPr>
      </w:pPr>
    </w:p>
    <w:p>
      <w:pPr>
        <w:jc w:val="both"/>
        <w:ind w:left="60" w:right="59" w:firstLine="259"/>
        <w:spacing w:after="0" w:line="243" w:lineRule="auto"/>
        <w:rPr>
          <w:sz w:val="20"/>
          <w:szCs w:val="20"/>
          <w:color w:val="auto"/>
        </w:rPr>
      </w:pPr>
      <w:r>
        <w:rPr>
          <w:rFonts w:ascii="Arial" w:cs="Arial" w:eastAsia="Arial" w:hAnsi="Arial"/>
          <w:sz w:val="18"/>
          <w:szCs w:val="18"/>
          <w:color w:val="auto"/>
        </w:rPr>
        <w:t>In May 2022, WMI issued $1.0 billion of 4.15% senior notes due April 15, 2032, the net proceeds of which were $992 million. We used the net proceeds to redeem our $500 million of 2.9% senior notes due September 2022 in advance of their scheduled maturity, to repay a portion of outstanding borrowings under our commercial paper program and for general corporate purposes.</w:t>
      </w:r>
    </w:p>
    <w:p>
      <w:pPr>
        <w:spacing w:after="0" w:line="188" w:lineRule="exact"/>
        <w:rPr>
          <w:sz w:val="20"/>
          <w:szCs w:val="20"/>
          <w:color w:val="auto"/>
        </w:rPr>
      </w:pPr>
    </w:p>
    <w:p>
      <w:pPr>
        <w:jc w:val="both"/>
        <w:ind w:left="60" w:right="79" w:firstLine="259"/>
        <w:spacing w:after="0" w:line="324" w:lineRule="auto"/>
        <w:rPr>
          <w:sz w:val="20"/>
          <w:szCs w:val="20"/>
          <w:color w:val="auto"/>
        </w:rPr>
      </w:pPr>
      <w:r>
        <w:rPr>
          <w:rFonts w:ascii="Arial" w:cs="Arial" w:eastAsia="Arial" w:hAnsi="Arial"/>
          <w:sz w:val="16"/>
          <w:szCs w:val="16"/>
          <w:color w:val="auto"/>
        </w:rPr>
        <w:t>In May 2022, we entered into a Term Loan to be used for general corporate purposes and as of December 31, 2022, we had $1.0 billion of outstanding borrowings. WM Holdings guarantees all of the obligations under the Term Loan.</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Note 6 to the Consolidated Financial Statements for more information related to the debt transactions.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259"/>
        <w:spacing w:after="0" w:line="277" w:lineRule="auto"/>
        <w:rPr>
          <w:sz w:val="20"/>
          <w:szCs w:val="20"/>
          <w:color w:val="auto"/>
        </w:rPr>
      </w:pPr>
      <w:r>
        <w:rPr>
          <w:rFonts w:ascii="Arial" w:cs="Arial" w:eastAsia="Arial" w:hAnsi="Arial"/>
          <w:sz w:val="18"/>
          <w:szCs w:val="18"/>
          <w:color w:val="auto"/>
        </w:rPr>
        <w:t>We have credit lines in place to support our liquidity and financial assurance needs. The following table summarizes our outstanding letters of credit, categorized by type of facility as of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(a)</w:t>
            </w:r>
          </w:p>
        </w:tc>
        <w:tc>
          <w:tcPr>
            <w:tcW w:w="47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Other letter of credit lines (b)</w:t>
            </w:r>
          </w:p>
        </w:tc>
        <w:tc>
          <w:tcPr>
            <w:tcW w:w="4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ind w:left="380" w:hanging="330"/>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2022, we had an unused and available credit capacity of $1.6 billion.</w:t>
      </w:r>
    </w:p>
    <w:p>
      <w:pPr>
        <w:spacing w:after="0" w:line="117" w:lineRule="exact"/>
        <w:rPr>
          <w:rFonts w:ascii="Arial" w:cs="Arial" w:eastAsia="Arial" w:hAnsi="Arial"/>
          <w:sz w:val="18"/>
          <w:szCs w:val="18"/>
          <w:color w:val="auto"/>
        </w:rPr>
      </w:pPr>
    </w:p>
    <w:p>
      <w:pPr>
        <w:ind w:left="380" w:hanging="330"/>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of December 31, 2022, these other letter of credit lines are uncommitted with terms extending through April 2024.</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Amendment and Extension of Revolving Credit Facility</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May 2022, we amended and restated our $3.5 billion U.S. and Canadian revolving credit facility extending the term through May 2027.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 Refer to Note 6 to the Consolidated Financial Statements for additional information.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243"/>
        <w:spacing w:after="0" w:line="254" w:lineRule="auto"/>
        <w:rPr>
          <w:sz w:val="20"/>
          <w:szCs w:val="20"/>
          <w:color w:val="auto"/>
        </w:rPr>
      </w:pPr>
      <w:r>
        <w:rPr>
          <w:rFonts w:ascii="Arial" w:cs="Arial" w:eastAsia="Arial" w:hAnsi="Arial"/>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3420" w:type="dxa"/>
            <w:vAlign w:val="bottom"/>
            <w:tcBorders>
              <w:bottom w:val="single" w:sz="8" w:color="CCEEFF"/>
            </w:tcBorders>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7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19,740</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20" w:type="dxa"/>
            <w:vAlign w:val="bottom"/>
          </w:tcPr>
          <w:p>
            <w:pPr>
              <w:spacing w:after="0"/>
              <w:rPr>
                <w:sz w:val="18"/>
                <w:szCs w:val="18"/>
                <w:color w:val="auto"/>
              </w:rPr>
            </w:pPr>
          </w:p>
        </w:tc>
      </w:tr>
      <w:tr>
        <w:trPr>
          <w:trHeight w:val="355"/>
        </w:trPr>
        <w:tc>
          <w:tcPr>
            <w:tcW w:w="34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2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4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6"/>
              </w:rPr>
              <w:t>December 31, 2022</w:t>
            </w: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4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Revenue</w:t>
            </w:r>
          </w:p>
        </w:tc>
        <w:tc>
          <w:tcPr>
            <w:tcW w:w="45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r>
      <w:tr>
        <w:trPr>
          <w:trHeight w:val="647"/>
        </w:trPr>
        <w:tc>
          <w:tcPr>
            <w:tcW w:w="3420" w:type="dxa"/>
            <w:vAlign w:val="bottom"/>
          </w:tcPr>
          <w:p>
            <w:pPr>
              <w:spacing w:after="0"/>
              <w:rPr>
                <w:sz w:val="24"/>
                <w:szCs w:val="24"/>
                <w:color w:val="auto"/>
              </w:rPr>
            </w:pPr>
          </w:p>
        </w:tc>
        <w:tc>
          <w:tcPr>
            <w:tcW w:w="4180" w:type="dxa"/>
            <w:vAlign w:val="bottom"/>
          </w:tcPr>
          <w:p>
            <w:pPr>
              <w:jc w:val="right"/>
              <w:ind w:right="295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4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1"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year ended December 31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w w:val="87"/>
              </w:rPr>
              <w:t>(3,063)</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(1,894)</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w w:val="87"/>
              </w:rPr>
              <w:t>(1,216)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Our operating cash flows for 2022, as compared with 2021,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$198 million. The increase was largely driven by increased earnings in our collection and disposal and WM Renewable Energy businesses. We also experienced lower interest payments due to timing and refinancing activities in 2021 that reduced our overall interest rate. Partially offsetting our increase in cash from operating activities were higher income tax payments as a result of higher earnings in 2022 and a deposit of approximately $103 million that was made to the IRS related to a disputed tax matter. The Company expects to seek a refund of the entire amount deposited with the IRS and litigate any denial of the claim for refund. See Note 8 to the Consolidated Financial Statements for further details.</w:t>
      </w:r>
    </w:p>
    <w:p>
      <w:pPr>
        <w:spacing w:after="0" w:line="5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operating cash flows for 2021, as compared with 2020, increased by $935 million largely as a result of (i) an increase in earnings primarily attributable to our collection, disposal and recycling lines of business; (ii) our acquisition of Advanced Disposal; (iii) lower interest payments in 2021 primarily due to certain refinancing activities and the retirement of high-coupon debt during 2020 reducing our overall interest rates; (iv) lower income taxes paid in 2021 and (v) favorable changes in our working capital, net of effects of acquisitions and divestitures. Our working capital was favorably impacted by process improvements that contributed to a significant improvement in our days-to-collect metrics. These favorable impacts were partially offset by the timing of cash tax benefits received in 2020 associated with federal alternative fuel tax credits.</w:t>
      </w:r>
    </w:p>
    <w:p>
      <w:pPr>
        <w:spacing w:after="0" w:line="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affecting the comparison of our investing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periods presented are summarized below:</w:t>
      </w:r>
    </w:p>
    <w:p>
      <w:pPr>
        <w:spacing w:after="0" w:line="62" w:lineRule="exact"/>
        <w:rPr>
          <w:sz w:val="20"/>
          <w:szCs w:val="20"/>
          <w:color w:val="auto"/>
        </w:rPr>
      </w:pPr>
    </w:p>
    <w:p>
      <w:pPr>
        <w:jc w:val="both"/>
        <w:ind w:left="720" w:right="79" w:hanging="319"/>
        <w:spacing w:after="0" w:line="301"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 </w:t>
      </w:r>
      <w:r>
        <w:rPr>
          <w:rFonts w:ascii="Arial" w:cs="Arial" w:eastAsia="Arial" w:hAnsi="Arial"/>
          <w:sz w:val="16"/>
          <w:szCs w:val="16"/>
          <w:color w:val="auto"/>
        </w:rPr>
        <w:t>Our spending on acquisitions was $377 million, $76 million and $4,088 million in 2022,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2020, respectively, of which $377 million, $75 million and $4,085 million, respectively, are considered cash used in investing activities. The remaining spend is financing or operating activities related to the timing of contingent consideration paid. Substantially all of these acquisitions are related to our Solid Waste business.</w:t>
      </w:r>
    </w:p>
    <w:p>
      <w:pPr>
        <w:spacing w:after="0" w:line="49"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Our acquisition spending in 2022 was primarily attributable to the purchase of a controlling interest in a business intended to accelerate our film and plastic wrap recycling capabilities. Our acquisition spending in 2020 was primarily attributable to Advanced Disposal. See Note 17 to the Consolidated Financial Statements for additional information. We continue to focus on accretive acquisitions and growth opportunities that will enhance and expand our existing service offerings.</w:t>
      </w:r>
    </w:p>
    <w:p>
      <w:pPr>
        <w:spacing w:after="0" w:line="80" w:lineRule="exact"/>
        <w:rPr>
          <w:sz w:val="20"/>
          <w:szCs w:val="20"/>
          <w:color w:val="auto"/>
        </w:rPr>
      </w:pPr>
    </w:p>
    <w:p>
      <w:pPr>
        <w:jc w:val="both"/>
        <w:ind w:left="720" w:right="79" w:hanging="319"/>
        <w:spacing w:after="0" w:line="25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$2,587 million, $1,904 million and $1,632 million for capital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2021 and 2020, respectively. The increase in 2022 is primarily driven by our intentional investment in growth capital spending on recycling and renewable energy projects, as well as timing differences in our fixed asset purchases to support our ongoing operations. The increase in 2021 is due in part to intentional steps the Company took to accelerate growth capital spending on recycling and renewable energy projects. Additionally, in 2020 we took proactive steps to reduce the amount of capital spending required due to the decrease in volumes as a result of COVID-19.</w:t>
      </w:r>
    </w:p>
    <w:p>
      <w:pPr>
        <w:spacing w:after="0" w:line="87" w:lineRule="exact"/>
        <w:rPr>
          <w:sz w:val="20"/>
          <w:szCs w:val="20"/>
          <w:color w:val="auto"/>
        </w:rPr>
      </w:pPr>
    </w:p>
    <w:p>
      <w:pPr>
        <w:jc w:val="both"/>
        <w:ind w:left="700" w:right="59"/>
        <w:spacing w:after="0" w:line="293" w:lineRule="auto"/>
        <w:rPr>
          <w:sz w:val="20"/>
          <w:szCs w:val="20"/>
          <w:color w:val="auto"/>
        </w:rPr>
      </w:pPr>
      <w:r>
        <w:rPr>
          <w:rFonts w:ascii="Arial" w:cs="Arial" w:eastAsia="Arial" w:hAnsi="Arial"/>
          <w:sz w:val="16"/>
          <w:szCs w:val="16"/>
          <w:color w:val="auto"/>
        </w:rPr>
        <w:t>The Company continues to maintain a disciplined focus on capital management to prioritize investments for expansion, the replacement of aging assets and assets that support our strategy of continuous improvement through efficiency and innovation. In addition, we continue to make progress on our planned investments to expand our renewable energy and recycling businesses. We expect to spend between $2.0 billion and $2.1 billion on capital expenditures to support our normal course business in 2023. Additionally, we expect to spend approximately $1.1 billion on capital expenditures for recycling and renewable energy growth projects in 2023.</w:t>
      </w:r>
    </w:p>
    <w:p>
      <w:pPr>
        <w:spacing w:after="0" w:line="56" w:lineRule="exact"/>
        <w:rPr>
          <w:sz w:val="20"/>
          <w:szCs w:val="20"/>
          <w:color w:val="auto"/>
        </w:rPr>
      </w:pPr>
    </w:p>
    <w:p>
      <w:pPr>
        <w:jc w:val="both"/>
        <w:ind w:left="720" w:right="79" w:hanging="319"/>
        <w:spacing w:after="0" w:line="311"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Proceeds from Divestitures — </w:t>
      </w:r>
      <w:r>
        <w:rPr>
          <w:rFonts w:ascii="Arial" w:cs="Arial" w:eastAsia="Arial" w:hAnsi="Arial"/>
          <w:sz w:val="16"/>
          <w:szCs w:val="16"/>
          <w:color w:val="auto"/>
        </w:rPr>
        <w:t>Proceeds from divestitures of businesses and other assets, net of cash divested,</w:t>
      </w:r>
      <w:r>
        <w:rPr>
          <w:rFonts w:ascii="Arial" w:cs="Arial" w:eastAsia="Arial" w:hAnsi="Arial"/>
          <w:sz w:val="16"/>
          <w:szCs w:val="16"/>
          <w:i w:val="1"/>
          <w:iCs w:val="1"/>
          <w:color w:val="auto"/>
        </w:rPr>
        <w:t xml:space="preserve"> </w:t>
      </w:r>
      <w:r>
        <w:rPr>
          <w:rFonts w:ascii="Arial" w:cs="Arial" w:eastAsia="Arial" w:hAnsi="Arial"/>
          <w:sz w:val="16"/>
          <w:szCs w:val="16"/>
          <w:color w:val="auto"/>
        </w:rPr>
        <w:t>were $27 million, $96 million and $885 million in 2022, 2021 and 2020, respectively. In 2021, our proceeds are primarily the result of the sale of certain non-strategic Canadian operations. In 2020, our proceeds included</w:t>
      </w:r>
    </w:p>
    <w:p>
      <w:pPr>
        <w:sectPr>
          <w:pgSz w:w="11900" w:h="16838" w:orient="portrait"/>
          <w:cols w:equalWidth="0" w:num="1">
            <w:col w:w="9019"/>
          </w:cols>
          <w:pgMar w:left="1440" w:top="61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63" w:lineRule="auto"/>
        <w:rPr>
          <w:sz w:val="20"/>
          <w:szCs w:val="20"/>
          <w:color w:val="auto"/>
        </w:rPr>
      </w:pPr>
      <w:r>
        <w:rPr>
          <w:rFonts w:ascii="Arial" w:cs="Arial" w:eastAsia="Arial" w:hAnsi="Arial"/>
          <w:sz w:val="18"/>
          <w:szCs w:val="18"/>
          <w:color w:val="auto"/>
        </w:rPr>
        <w:t>$856 million related to the sale of assets required to be sold by the U.S. Department of Justice in connection with our acquisition of Advanced Disposal. The remaining amounts in 2022, 2021 and 2020 generally related to the sale of fixed assets.</w:t>
      </w:r>
    </w:p>
    <w:p>
      <w:pPr>
        <w:spacing w:after="0" w:line="76" w:lineRule="exact"/>
        <w:rPr>
          <w:sz w:val="20"/>
          <w:szCs w:val="20"/>
          <w:color w:val="auto"/>
        </w:rPr>
      </w:pPr>
    </w:p>
    <w:p>
      <w:pPr>
        <w:jc w:val="both"/>
        <w:ind w:left="720" w:right="79" w:hanging="319"/>
        <w:spacing w:after="0" w:line="273" w:lineRule="auto"/>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Other, Net — </w:t>
      </w:r>
      <w:r>
        <w:rPr>
          <w:rFonts w:ascii="Arial" w:cs="Arial" w:eastAsia="Arial" w:hAnsi="Arial"/>
          <w:sz w:val="17"/>
          <w:szCs w:val="17"/>
          <w:color w:val="auto"/>
        </w:rPr>
        <w:t>Our spending within other, net was $126 million, $11 million, and $15 million in 2022,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2020, respectively. During 2022, 2021 and 2020, we used $23 million, $32 million and $14 million, respectively, of cash from restricted cash and cash equivalents to invest in available-for-sale securities. In 2022, we used $67 million to fund secured convertible promissory notes associated with an acquisition and $28 million to make an initial cash payment associated with a low-income housing investment. Our 2021 cash spend was partially offset by proceeds received from the sale of an equity method investment.</w:t>
      </w:r>
    </w:p>
    <w:p>
      <w:pPr>
        <w:spacing w:after="0" w:line="178"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periods presented are summarized below:</w:t>
      </w:r>
    </w:p>
    <w:p>
      <w:pPr>
        <w:spacing w:after="0" w:line="62" w:lineRule="exact"/>
        <w:rPr>
          <w:sz w:val="20"/>
          <w:szCs w:val="20"/>
          <w:color w:val="auto"/>
        </w:rPr>
      </w:pPr>
    </w:p>
    <w:p>
      <w:pPr>
        <w:ind w:left="660" w:right="79" w:hanging="32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(Repayments) — </w:t>
      </w:r>
      <w:r>
        <w:rPr>
          <w:rFonts w:ascii="Arial" w:cs="Arial" w:eastAsia="Arial" w:hAnsi="Arial"/>
          <w:sz w:val="18"/>
          <w:szCs w:val="18"/>
          <w:color w:val="auto"/>
        </w:rPr>
        <w:t>The following summarizes our cash borrowings and repayments of debt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(in millions):</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2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2020</w:t>
            </w:r>
          </w:p>
        </w:tc>
      </w:tr>
      <w:tr>
        <w:trPr>
          <w:trHeight w:val="209"/>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Revolving credit facility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 program (a)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16"/>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364-day revolving credit facility (b)</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Senior notes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2,479</w:t>
            </w:r>
          </w:p>
        </w:tc>
      </w:tr>
      <w:tr>
        <w:trPr>
          <w:trHeight w:val="216"/>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Tax-exempt bonds</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10"/>
        </w:trPr>
        <w:tc>
          <w:tcPr>
            <w:tcW w:w="222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7,948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9,420</w:t>
            </w:r>
          </w:p>
        </w:tc>
      </w:tr>
      <w:tr>
        <w:trPr>
          <w:trHeight w:val="21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Revolving credit facility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 program (a)</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(6,664)</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(6,872)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(1,822)</w:t>
            </w:r>
          </w:p>
        </w:tc>
      </w:tr>
      <w:tr>
        <w:trPr>
          <w:trHeight w:val="432"/>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364-day revolving credit facility (b)</w:t>
            </w:r>
          </w:p>
        </w:tc>
        <w:tc>
          <w:tcPr>
            <w:tcW w:w="1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(3,000)</w:t>
            </w:r>
          </w:p>
        </w:tc>
      </w:tr>
      <w:tr>
        <w:trPr>
          <w:trHeight w:val="432"/>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notes</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(1,289)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(4,000)</w:t>
            </w:r>
          </w:p>
        </w:tc>
      </w:tr>
      <w:tr>
        <w:trPr>
          <w:trHeight w:val="216"/>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Advanced Disposal senior notes (c)</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Tax-exempt bonds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debt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426"/>
        </w:trPr>
        <w:tc>
          <w:tcPr>
            <w:tcW w:w="222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(7,328)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(8,404)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(9,629)</w:t>
            </w:r>
          </w:p>
        </w:tc>
      </w:tr>
      <w:tr>
        <w:trPr>
          <w:trHeight w:val="209"/>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Net cash borrowings (repayments)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2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95"/>
        </w:trPr>
        <w:tc>
          <w:tcPr>
            <w:tcW w:w="222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bl>
    <w:p>
      <w:pPr>
        <w:spacing w:after="0" w:line="67" w:lineRule="exact"/>
        <w:rPr>
          <w:sz w:val="20"/>
          <w:szCs w:val="20"/>
          <w:color w:val="auto"/>
        </w:rPr>
      </w:pPr>
    </w:p>
    <w:p>
      <w:pPr>
        <w:jc w:val="both"/>
        <w:ind w:left="1040" w:right="79" w:hanging="315"/>
        <w:spacing w:after="0" w:line="263"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Commercial paper borrowings incurred in 2022 and 2021 were primarily to support acquisitions and general corporate purposes. Commercial paper borrowings incurred in 2020 were used for the redemption of the SMR Notes and to partially fund our acquisition of Advanced Disposal.</w:t>
      </w:r>
    </w:p>
    <w:p>
      <w:pPr>
        <w:spacing w:after="0" w:line="75"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November 2020, we terminated our 364-day revolving facility contemporaneously with repayment of all outstanding borrowings with proceeds from our November 2020 senior notes issuance.</w:t>
      </w:r>
    </w:p>
    <w:p>
      <w:pPr>
        <w:spacing w:after="0" w:line="38" w:lineRule="exact"/>
        <w:rPr>
          <w:rFonts w:ascii="Arial" w:cs="Arial" w:eastAsia="Arial" w:hAnsi="Arial"/>
          <w:sz w:val="17"/>
          <w:szCs w:val="17"/>
          <w:color w:val="auto"/>
        </w:rPr>
      </w:pPr>
    </w:p>
    <w:p>
      <w:pPr>
        <w:ind w:left="1040" w:right="79" w:hanging="315"/>
        <w:spacing w:after="0" w:line="30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Advanced Disposal had certain outstanding senior notes which were redeemed in 2020 pursuant to an optional redemption feature as further discussed in Note 17 to the Consolidated Financial Statements.</w:t>
      </w:r>
    </w:p>
    <w:p>
      <w:pPr>
        <w:spacing w:after="0" w:line="146"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Refer to Note 6 to the Consolidated Financial Statements for additional information related to our debt borrowings and repayments.</w:t>
      </w:r>
    </w:p>
    <w:p>
      <w:pPr>
        <w:spacing w:after="0" w:line="62" w:lineRule="exact"/>
        <w:rPr>
          <w:sz w:val="20"/>
          <w:szCs w:val="20"/>
          <w:color w:val="auto"/>
        </w:rPr>
      </w:pPr>
    </w:p>
    <w:p>
      <w:pPr>
        <w:jc w:val="both"/>
        <w:ind w:left="720" w:right="79" w:hanging="319"/>
        <w:spacing w:after="0" w:line="275"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Premiums and Other Paid on Early Extinguishment of Debt — </w:t>
      </w:r>
      <w:r>
        <w:rPr>
          <w:rFonts w:ascii="Arial" w:cs="Arial" w:eastAsia="Arial" w:hAnsi="Arial"/>
          <w:sz w:val="17"/>
          <w:szCs w:val="17"/>
          <w:color w:val="auto"/>
        </w:rPr>
        <w:t xml:space="preserve">During 2021, we paid premiums and other third-party costs of $211 million to retire certain high-coupon notes as discussed further in Note 6 to the Consolidated Financial Statements. During 2020, we paid premiums of $30 million to redeem $3.0 billion of senior notes that contained a special mandatory redemption feature tied to the timing of the Advanced Disposal acquisition closing. See </w:t>
      </w:r>
      <w:r>
        <w:rPr>
          <w:rFonts w:ascii="Arial" w:cs="Arial" w:eastAsia="Arial" w:hAnsi="Arial"/>
          <w:sz w:val="17"/>
          <w:szCs w:val="17"/>
          <w:i w:val="1"/>
          <w:iCs w:val="1"/>
          <w:color w:val="auto"/>
        </w:rPr>
        <w:t>Loss on Early Extinguishment of Debt, Net</w:t>
      </w:r>
      <w:r>
        <w:rPr>
          <w:rFonts w:ascii="Arial" w:cs="Arial" w:eastAsia="Arial" w:hAnsi="Arial"/>
          <w:sz w:val="17"/>
          <w:szCs w:val="17"/>
          <w:color w:val="auto"/>
        </w:rPr>
        <w:t xml:space="preserve"> for further discussion.</w:t>
      </w:r>
    </w:p>
    <w:p>
      <w:pPr>
        <w:sectPr>
          <w:pgSz w:w="11900" w:h="16838" w:orient="portrait"/>
          <w:cols w:equalWidth="0" w:num="1">
            <w:col w:w="9019"/>
          </w:cols>
          <w:pgMar w:left="1440" w:top="611"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79" w:lineRule="auto"/>
        <w:tabs>
          <w:tab w:leader="none" w:pos="72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Common Stock Repurchase Program — </w:t>
      </w:r>
      <w:r>
        <w:rPr>
          <w:rFonts w:ascii="Arial" w:cs="Arial" w:eastAsia="Arial" w:hAnsi="Arial"/>
          <w:sz w:val="17"/>
          <w:szCs w:val="17"/>
          <w:color w:val="auto"/>
        </w:rPr>
        <w:t>For the periods presented, all share repurchases have been made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financial plans approved by our Board of Directors. We allocated $1,500 million, $1,350 million and $402 million of available cash to common stock repurchases during 2022, 2021, and 2020, respectively. See Note 13 to the Consolidated Financial Statements for additional information.</w:t>
      </w:r>
    </w:p>
    <w:p>
      <w:pPr>
        <w:spacing w:after="0" w:line="63"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We announced in December 2022 that the Board of Directors has authorized up to $1.5 billion in future share repurchases. Any future share repurchases will be made at the discretion of management and will depend on factors similar to those considered by the Board of Directors in making dividend declarations and listed below, as well as market conditions.</w:t>
      </w:r>
    </w:p>
    <w:p>
      <w:pPr>
        <w:spacing w:after="0" w:line="79" w:lineRule="exact"/>
        <w:rPr>
          <w:sz w:val="20"/>
          <w:szCs w:val="20"/>
          <w:color w:val="auto"/>
        </w:rPr>
      </w:pPr>
    </w:p>
    <w:p>
      <w:pPr>
        <w:jc w:val="both"/>
        <w:ind w:left="720" w:right="79" w:hanging="319"/>
        <w:spacing w:after="0" w:line="286"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declared and paid were $1,077 million in 2022, or $2.60 per common share, $970 million in 2021, or $2.30 per common share, and $927 million in 2020, or $2.18 per common share.</w:t>
      </w:r>
    </w:p>
    <w:p>
      <w:pPr>
        <w:spacing w:after="0" w:line="57"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In December 2022, we announced that our Board of Directors expects to increase the quarterly dividend from $0.65 to $0.70 per share for dividends declared in 2023.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80" w:lineRule="exact"/>
        <w:rPr>
          <w:sz w:val="20"/>
          <w:szCs w:val="20"/>
          <w:color w:val="auto"/>
        </w:rPr>
      </w:pPr>
    </w:p>
    <w:p>
      <w:pPr>
        <w:jc w:val="both"/>
        <w:ind w:left="720" w:right="79" w:hanging="319"/>
        <w:spacing w:after="0" w:line="263"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Exercise of Common Stock Options — </w:t>
      </w:r>
      <w:r>
        <w:rPr>
          <w:rFonts w:ascii="Arial" w:cs="Arial" w:eastAsia="Arial" w:hAnsi="Arial"/>
          <w:sz w:val="18"/>
          <w:szCs w:val="18"/>
          <w:color w:val="auto"/>
        </w:rPr>
        <w:t>The exercise of common stock options generated financing cash inflows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$44 million, $66 million and $63 million from the exercise of 675,000, 962,000 and 1,039,000 of employee stock options during 2022, 2021 and 2020, respectively.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16"/>
        </w:trPr>
        <w:tc>
          <w:tcPr>
            <w:tcW w:w="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rPr>
              <w:t>Capital expenditures to support the business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Capital expenditures - sustainability growth investments (a)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 Capital expenditures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(1,632)</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Proceeds from divestitures of businesses and other assets, net of cash divested</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10"/>
        </w:trPr>
        <w:tc>
          <w:tcPr>
            <w:tcW w:w="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Arial" w:cs="Arial" w:eastAsia="Arial" w:hAnsi="Arial"/>
                <w:sz w:val="18"/>
                <w:szCs w:val="18"/>
                <w:color w:val="auto"/>
              </w:rPr>
              <w:t>Free cash flow</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w:t>
      </w:r>
    </w:p>
    <w:p>
      <w:pPr>
        <w:sectPr>
          <w:pgSz w:w="11900" w:h="16838" w:orient="portrait"/>
          <w:cols w:equalWidth="0" w:num="1">
            <w:col w:w="9019"/>
          </w:cols>
          <w:pgMar w:left="1440" w:top="611"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and in Note 2 to the Consolidated Financial Statements. Actual results could differ materially from the estimates and assumptions that we use in the preparation of our financial statements.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Landfills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and (iii) the determination of each landfill’s remaining permitted and expansion airspace.</w:t>
      </w:r>
    </w:p>
    <w:p>
      <w:pPr>
        <w:spacing w:after="0" w:line="18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Landfill Costs — </w:t>
      </w:r>
      <w:r>
        <w:rPr>
          <w:rFonts w:ascii="Arial" w:cs="Arial" w:eastAsia="Arial" w:hAnsi="Arial"/>
          <w:sz w:val="16"/>
          <w:szCs w:val="16"/>
          <w:color w:val="auto"/>
        </w:rPr>
        <w:t>We estimate the total cost to develop each of our landfill sites to its remaining permitted and</w:t>
      </w:r>
      <w:r>
        <w:rPr>
          <w:rFonts w:ascii="Arial" w:cs="Arial" w:eastAsia="Arial" w:hAnsi="Arial"/>
          <w:sz w:val="16"/>
          <w:szCs w:val="16"/>
          <w:i w:val="1"/>
          <w:iCs w:val="1"/>
          <w:color w:val="auto"/>
        </w:rPr>
        <w:t xml:space="preserve"> </w:t>
      </w:r>
      <w:r>
        <w:rPr>
          <w:rFonts w:ascii="Arial" w:cs="Arial" w:eastAsia="Arial" w:hAnsi="Arial"/>
          <w:sz w:val="16"/>
          <w:szCs w:val="16"/>
          <w:color w:val="auto"/>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landfill buffer property. The projection of these landfill costs is dependent, in part, on future events. The remaining depletable basis of each landfill includes costs to develop a site to its remaining permitted and expansion airspace and includes amounts previously expended and capitalized, net of accumulated airspace depletion, and projections of future purchase and development costs.</w:t>
      </w:r>
    </w:p>
    <w:p>
      <w:pPr>
        <w:spacing w:after="0" w:line="16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Final Capping Costs — </w:t>
      </w:r>
      <w:r>
        <w:rPr>
          <w:rFonts w:ascii="Arial" w:cs="Arial" w:eastAsia="Arial" w:hAnsi="Arial"/>
          <w:sz w:val="17"/>
          <w:szCs w:val="17"/>
          <w:color w:val="auto"/>
        </w:rPr>
        <w:t>We estimate the cost for each final capping event based on the area to be capped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capping materials and activities required. The estimates also consider when these costs are anticipated to be paid and factor in inflation and discount rates. Our engineering personnel allocate landfill final capping costs to specific final capping events and the capping costs are depleted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landfill, the adjustment to the asset must be depleted immediately through expense. When the change in estimate relates to a final capping event at a landfill with remaining airspace, the adjustment to the asset is recognized in income prospectively as a component of landfill airspace depletion.</w:t>
      </w:r>
    </w:p>
    <w:p>
      <w:pPr>
        <w:spacing w:after="0" w:line="18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Closure and Post-Closure Costs — </w:t>
      </w:r>
      <w:r>
        <w:rPr>
          <w:rFonts w:ascii="Arial" w:cs="Arial" w:eastAsia="Arial" w:hAnsi="Arial"/>
          <w:sz w:val="17"/>
          <w:szCs w:val="17"/>
          <w:color w:val="auto"/>
        </w:rPr>
        <w:t>We base our estimates for closure and post-closure costs on our interpretations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landfill, the adjustment to the asset must be depleted immediately through expense. When the change in estimate relates to a landfill with remaining airspace, the adjustment to the asset is recognized in income prospectively as a component of landfill airspace depletion.</w:t>
      </w:r>
    </w:p>
    <w:p>
      <w:pPr>
        <w:spacing w:after="0" w:line="1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Remaining Permitted Airspace — </w:t>
      </w:r>
      <w:r>
        <w:rPr>
          <w:rFonts w:ascii="Arial" w:cs="Arial" w:eastAsia="Arial" w:hAnsi="Arial"/>
          <w:sz w:val="18"/>
          <w:szCs w:val="18"/>
          <w:color w:val="auto"/>
        </w:rPr>
        <w:t>Our engineers, in consultation with third-party engineering consultants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Expansion Airspace — </w:t>
      </w:r>
      <w:r>
        <w:rPr>
          <w:rFonts w:ascii="Arial" w:cs="Arial" w:eastAsia="Arial" w:hAnsi="Arial"/>
          <w:sz w:val="16"/>
          <w:szCs w:val="16"/>
          <w:color w:val="auto"/>
        </w:rPr>
        <w:t>We also include currently unpermitted expansion airspace in our estimate of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and expansion airspace in certain circumstances. First, for unpermitted airspace to be initially included in our estimate of remaining permitted and expansion airspace, we must believe that obtaining the expansion permit is likely.</w:t>
      </w:r>
    </w:p>
    <w:p>
      <w:pPr>
        <w:sectPr>
          <w:pgSz w:w="11900" w:h="16838" w:orient="portrait"/>
          <w:cols w:equalWidth="0" w:num="1">
            <w:col w:w="9019"/>
          </w:cols>
          <w:pgMar w:left="1440" w:top="61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Second, we must generally expect the initial expansion permit application to be submitted within one year and the final expansion permit to be received within five years, in addition to meeting the following criteria:</w:t>
      </w:r>
    </w:p>
    <w:p>
      <w:pPr>
        <w:spacing w:after="0" w:line="170" w:lineRule="exact"/>
        <w:rPr>
          <w:sz w:val="20"/>
          <w:szCs w:val="20"/>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178"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8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w:t>
      </w:r>
    </w:p>
    <w:p>
      <w:pPr>
        <w:sectPr>
          <w:pgSz w:w="11900" w:h="16838" w:orient="portrait"/>
          <w:cols w:equalWidth="0" w:num="1">
            <w:col w:w="9019"/>
          </w:cols>
          <w:pgMar w:left="1440" w:top="61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192" w:lineRule="exact"/>
        <w:rPr>
          <w:sz w:val="20"/>
          <w:szCs w:val="20"/>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Fair Value of Nonfinancial Assets and Liabilities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Significant estimates are made in determining the fair value of long-lived tangible and intangible assets (i.e., property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187"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 </w:t>
      </w:r>
      <w:r>
        <w:rPr>
          <w:rFonts w:ascii="Arial" w:cs="Arial" w:eastAsia="Arial" w:hAnsi="Arial"/>
          <w:sz w:val="16"/>
          <w:szCs w:val="16"/>
          <w:color w:val="auto"/>
        </w:rPr>
        <w:t>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1"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w:t>
      </w:r>
    </w:p>
    <w:p>
      <w:pPr>
        <w:sectPr>
          <w:pgSz w:w="11900" w:h="16838" w:orient="portrait"/>
          <w:cols w:equalWidth="0" w:num="1">
            <w:col w:w="9019"/>
          </w:cols>
          <w:pgMar w:left="1440" w:top="611"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8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Indefinite-Lived Intangible Assets, Including Goodwill — </w:t>
      </w:r>
      <w:r>
        <w:rPr>
          <w:rFonts w:ascii="Arial" w:cs="Arial" w:eastAsia="Arial" w:hAnsi="Arial"/>
          <w:sz w:val="18"/>
          <w:szCs w:val="18"/>
          <w:color w:val="auto"/>
        </w:rPr>
        <w:t>At least annually using a measurement date of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and more frequently if warranted, we assess the indefinite-lived intangible assets including the goodwill of our reporting units for impairment using Level 3 inputs.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first perform a qualitative assessment to determine if it was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accordance with the purchase method of accounting, the purchase price paid for an acquisition is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 Generally, the valuation of our acquired asset and liabilities rely on complex estimates and assumptions.</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to the Consolidated Financial Statements for additional information related to our acquisitions, including our 2020 acquisition of Advanced Disposal.</w:t>
      </w:r>
    </w:p>
    <w:p>
      <w:pPr>
        <w:spacing w:after="0" w:line="1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(Gain) Loss</w:t>
      </w:r>
      <w:r>
        <w:rPr>
          <w:rFonts w:ascii="Arial" w:cs="Arial" w:eastAsia="Arial" w:hAnsi="Arial"/>
          <w:sz w:val="18"/>
          <w:szCs w:val="18"/>
          <w:color w:val="auto"/>
        </w:rPr>
        <w:t xml:space="preserve"> </w:t>
      </w:r>
      <w:r>
        <w:rPr>
          <w:rFonts w:ascii="Arial" w:cs="Arial" w:eastAsia="Arial" w:hAnsi="Arial"/>
          <w:sz w:val="18"/>
          <w:szCs w:val="18"/>
          <w:i w:val="1"/>
          <w:iCs w:val="1"/>
          <w:color w:val="auto"/>
        </w:rPr>
        <w:t>from Divestitures, Asset Impairments and Unusual Items, Net</w:t>
      </w:r>
      <w:r>
        <w:rPr>
          <w:rFonts w:ascii="Arial" w:cs="Arial" w:eastAsia="Arial" w:hAnsi="Arial"/>
          <w:sz w:val="18"/>
          <w:szCs w:val="18"/>
          <w:color w:val="auto"/>
        </w:rPr>
        <w: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Macroeconomic pressures, including inflation and market disruption resulting in labor, supply chain and transportation constraints are continuing. Significant global supply chain disruption and the heightened pace of inflation has reduced availability and increased costs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 Our overall strategic pricing efforts are focused on recovering as much of the inflationary cost increases we experience in our business as possible by increasing our average unit rate, but such efforts may not be successful for various reasons including the pace of inflation, operating cost inefficiencies, contractual limitations, and market responses. Throughout 2022, many of these contract lookback provisions began to capture the inflationary cost increases experienced since the second half of 2021 in the price escalation calculation; however, such timing lag persists and will continue to restrict our ability to address proactively future rapid cost increases for those contracts. Refer to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further discussion.</w:t>
      </w:r>
    </w:p>
    <w:p>
      <w:pPr>
        <w:sectPr>
          <w:pgSz w:w="11900" w:h="16838" w:orient="portrait"/>
          <w:cols w:equalWidth="0" w:num="1">
            <w:col w:w="9019"/>
          </w:cols>
          <w:pgMar w:left="1440" w:top="611"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2022.</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Interest Rate Exposure — </w:t>
      </w:r>
      <w:r>
        <w:rPr>
          <w:rFonts w:ascii="Arial" w:cs="Arial" w:eastAsia="Arial" w:hAnsi="Arial"/>
          <w:sz w:val="16"/>
          <w:szCs w:val="16"/>
          <w:color w:val="auto"/>
        </w:rPr>
        <w:t>Our exposure to market risk for changes in interest rates relates primarily to our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As of December 31, 2022, we had $15.1 billion of long-term debt, excluding the impacts of accounting for debt issuance costs, discounts and fair value adjustments attributable to terminated interest rate derivatives. We have $3.5 billion of debt that is exposed to changes in market interest rates within the next 12 months comprised primarily of (i) $1.7 billion of short-term borrowings under our commercial paper program; (ii) $1.0 billion of long-term borrowings under our $1.0 billion, two-year, U.S. term credit agreement and (iii) $725 million of tax-exempt bonds with term interest rate periods that expire within the next 12 months. We currently estimate that a 100-basis point increase in the interest rates of our outstanding variable-rate debt obligations would increase our 2023 interest expense by $28 million.</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$700 million as of December 31, 2022.</w:t>
      </w:r>
    </w:p>
    <w:p>
      <w:pPr>
        <w:spacing w:after="0" w:line="1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are also exposed to interest rate market risk from our cash and cash equivalent balances, as well as assets held in restricted trust fund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fund account balances in available-for-sale securities, including U.S. Treasury securities, U.S. agency securities, municipal securities, mortgage- and asset-backed securities, which generally mature over the next nine years, as well as equity securities.</w:t>
      </w:r>
    </w:p>
    <w:p>
      <w:pPr>
        <w:spacing w:after="0" w:line="17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Commodity Price Exposure — </w:t>
      </w:r>
      <w:r>
        <w:rPr>
          <w:rFonts w:ascii="Arial" w:cs="Arial" w:eastAsia="Arial" w:hAnsi="Arial"/>
          <w:sz w:val="16"/>
          <w:szCs w:val="16"/>
          <w:color w:val="auto"/>
        </w:rPr>
        <w:t>In the normal course of our business, we are subject to operating agreements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expose us to market risks arising from changes in the prices for commodities such as diesel fuel, electricity (and related renewable energy credits)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Recycling revenues attributable to yield increased $19 million and $537 million in 2022 and 2021, respectively, as compared with the prior year periods, primarily from higher market prices for recycling commodities in 2021 and the first half of 2022, before the significant downturn in the second half of 2022.</w:t>
      </w:r>
    </w:p>
    <w:p>
      <w:pPr>
        <w:spacing w:after="0" w:line="16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Demand for recycled materials strengthened through 2021 and into early 2022, primarily driven by the growth in e-commerce, businesses re-opening, and manufacturers committing to use more recycled content in their packaging. In 2022, we experienced all-time high recycling commodity pricing in the first half of the year to be followed by historically low pricing through the second half of the year, resulting from the slowdown in the global economy, which reduced retail demand and the corresponding need for cardboard packaging to ship retail goods. We expect significant commodity price headwinds to continue into 2023. Average market prices for recycling commodities at the Company’s facilities were approximately 10% lower and 115% higher in 2022 and 2021, respectively, when compared with the prior year periods. Revenue decline from lower commodity pricing was offset by higher pricing in our recycling brokerage business as well as our continued focus on a fee-based pricing model that ensures fees paid by customers cover the cost of processing materials and the impact on our cost structure of managing contamination in the recycling stream. Variability in commodity prices can also impact the margins of our business as certain components of our revenue are structured as a pass through of costs, including recycling brokerage and fuel surcharges.</w:t>
      </w:r>
    </w:p>
    <w:p>
      <w:pPr>
        <w:sectPr>
          <w:pgSz w:w="11900" w:h="16838" w:orient="portrait"/>
          <w:cols w:equalWidth="0" w:num="1">
            <w:col w:w="9019"/>
          </w:cols>
          <w:pgMar w:left="1440" w:top="611"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primary drivers of renewable fuel development at our landfills are tax policies, such as the recently expanded federal tax credits for renewable natural gas (“RNG”) production and renewable electricity generation, and federal and state incentive programs, such as the federal Renewable Fuel Standard (“RFS”) program and the California Low Carbon Fuel Standard. At the federal level, oil refiners and importers are required through the RFS program to blend specified volumes of renewable transportation fuels with gasoline or buy credits, referred to as renewable identification numbers (“RINs”), from renewable fuel producers. The Company has invested, and continues to invest, in facilities that capture and convert landfill gas into RNG, and also works with facilities that capture and convert dairy digester gas into RNG, so that we can participate in the program, and the Company has stated its intention to grow its asset base to notably increase its RNG production by 2026. RINs prices generally respond to regulations enacted by the EPA, as well as fluctuations in supply and demand. The value of the RINs associated with RNG is set through a market established by the program.</w:t>
      </w:r>
    </w:p>
    <w:p>
      <w:pPr>
        <w:spacing w:after="0" w:line="16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Prior to 2022, the EPA has promulgated rules on an annual basis establishing refiners’ obligations to purchase RNG and other cellulosic biofuels under the RFS program; however, the EPA issued a highly anticipated proposed rule in late 2022 setting forth the direction of the RFS program for compliance years 2023 through 2025. Although this proposal delivers on many reforms that benefit the solid waste sector, the EPA’s programmatic shift towards multi-year standards could lead to market uncertainty and volatility in the price of RINs. We continue to advocate for the current administration to implement policies that ensure long term stability for renewable transportation fuels and expand opportunities for the biogas sector to participate in the RFS program. Changes in the RFS market, the structure of the RFS program or RINs prices and demand can and has impacted the financial performance of the facilities constructed to capture and treat the gas. Such changes could impact or alter our projected future investments, and such investments may not yield the results anticipated.</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Currency Rate Exposure — </w:t>
      </w:r>
      <w:r>
        <w:rPr>
          <w:rFonts w:ascii="Arial" w:cs="Arial" w:eastAsia="Arial" w:hAnsi="Arial"/>
          <w:sz w:val="18"/>
          <w:szCs w:val="18"/>
          <w:color w:val="auto"/>
        </w:rPr>
        <w:t>We have operations in Canada as well as certain support functions in India. Where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we have quantified and described the impact of foreign currency translation on components of income, including operating revenue and operating expenses. However, the impact of foreign currency has not materially affected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gridSpan w:val="8"/>
            <w:vMerge w:val="restart"/>
          </w:tcPr>
          <w:p>
            <w:pPr>
              <w:spacing w:after="0"/>
              <w:rPr>
                <w:sz w:val="20"/>
                <w:szCs w:val="20"/>
                <w:color w:val="auto"/>
              </w:rPr>
            </w:pPr>
            <w:r>
              <w:rPr>
                <w:rFonts w:ascii="Arial" w:cs="Arial" w:eastAsia="Arial" w:hAnsi="Arial"/>
                <w:sz w:val="18"/>
                <w:szCs w:val="18"/>
                <w:color w:val="0000EE"/>
              </w:rPr>
              <w:t xml:space="preserve">Reports of Independent Registered Public Accounting Firm </w:t>
            </w:r>
            <w:r>
              <w:rPr>
                <w:rFonts w:ascii="Arial" w:cs="Arial" w:eastAsia="Arial" w:hAnsi="Arial"/>
                <w:sz w:val="18"/>
                <w:szCs w:val="18"/>
                <w:color w:val="000000"/>
              </w:rPr>
              <w:t>(PCAOB ID 42)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60" w:type="dxa"/>
            <w:vAlign w:val="bottom"/>
            <w:gridSpan w:val="8"/>
            <w:vMerge w:val="continue"/>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Balance Sheets as of December 31, 2022 and 2021</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Consolidated Statements of Operations for the Years Ended December 31, 2022, 2021 and 2020</w:t>
            </w:r>
          </w:p>
        </w:tc>
        <w:tc>
          <w:tcPr>
            <w:tcW w:w="166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Consolidated Statements of Comprehensive Income for the Years Ended December 31, 2022, 2021 and 2020</w:t>
            </w:r>
          </w:p>
        </w:tc>
        <w:tc>
          <w:tcPr>
            <w:tcW w:w="7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Statements of Cash Flows for the Years Ended December 31, 2022, 2021 and 2020</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Consolidated Statements of Changes in Equity for the Years Ended December 31, 2022, 2021 and 2020</w:t>
            </w:r>
          </w:p>
        </w:tc>
        <w:tc>
          <w:tcPr>
            <w:tcW w:w="11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gridSpan w:val="8"/>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Waste Management,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audited Waste Management, Inc.’s internal control over financial reporting as of December 31, 2022,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2022, based on the COSO criteria.</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2022 consolidated financial statements of the Company, and our report dated February 7, 2023 expressed an unqualified opinion thereon.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7, 2023</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1439" w:firstLine="137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Waste Management, Inc.</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2022 and 2021, the related consolidated statements of operations, comprehensive income, cash flows, and changes in equity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92"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7, 2023 expressed an unqualified opinion thereon.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Landfill Depletion</w:t>
            </w:r>
          </w:p>
        </w:tc>
      </w:tr>
      <w:tr>
        <w:trPr>
          <w:trHeight w:val="418"/>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Description</w:t>
            </w:r>
          </w:p>
        </w:tc>
        <w:tc>
          <w:tcPr>
            <w:tcW w:w="300" w:type="dxa"/>
            <w:vAlign w:val="bottom"/>
          </w:tcPr>
          <w:p>
            <w:pPr>
              <w:ind w:left="100"/>
              <w:spacing w:after="0"/>
              <w:rPr>
                <w:sz w:val="20"/>
                <w:szCs w:val="20"/>
                <w:color w:val="auto"/>
              </w:rPr>
            </w:pPr>
            <w:r>
              <w:rPr>
                <w:rFonts w:ascii="Arial" w:cs="Arial" w:eastAsia="Arial" w:hAnsi="Arial"/>
                <w:sz w:val="18"/>
                <w:szCs w:val="18"/>
                <w:i w:val="1"/>
                <w:iCs w:val="1"/>
                <w:color w:val="auto"/>
              </w:rPr>
              <w:t>of</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the</w:t>
            </w:r>
          </w:p>
        </w:tc>
        <w:tc>
          <w:tcPr>
            <w:tcW w:w="6660" w:type="dxa"/>
            <w:vAlign w:val="bottom"/>
          </w:tcPr>
          <w:p>
            <w:pPr>
              <w:ind w:left="100"/>
              <w:spacing w:after="0"/>
              <w:rPr>
                <w:sz w:val="20"/>
                <w:szCs w:val="20"/>
                <w:color w:val="auto"/>
              </w:rPr>
            </w:pPr>
            <w:r>
              <w:rPr>
                <w:rFonts w:ascii="Arial" w:cs="Arial" w:eastAsia="Arial" w:hAnsi="Arial"/>
                <w:sz w:val="18"/>
                <w:szCs w:val="18"/>
                <w:color w:val="24282D"/>
                <w:w w:val="97"/>
              </w:rPr>
              <w:t>At December 31, 2022, the Company’s landfill assets, net of accumulated depletion,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totaled $7.6 billion and the associated depletion expense for 2022 was $754 million.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89"/>
              </w:rPr>
              <w:t>discussed in Note 2 of the financial statements, the Company updates the estimates used to</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calculate individual landfill depletion rates at least annually, or more often if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7"/>
              </w:rPr>
              <w:t>facts change. Landfill depletion rates are used in the computation of landfill depletion</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expense.</w:t>
            </w:r>
          </w:p>
        </w:tc>
      </w:tr>
      <w:tr>
        <w:trPr>
          <w:trHeight w:val="418"/>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8"/>
              </w:rPr>
              <w:t>Auditing landfill depletion rates and related depletion expense is complex due to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highly  judgmental  nature  of  assumptions  used  in  estimating  the  rates.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assumptions used in the calculation of the rates include: estimated future development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3"/>
              </w:rPr>
              <w:t>costs associated with the construction and retirement of the landfill, estimated remaining</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6"/>
              </w:rPr>
              <w:t>permitted and expansion airspace, airspace utilization factors, and projected timing of</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retirement activities.</w:t>
            </w:r>
          </w:p>
        </w:tc>
      </w:tr>
      <w:tr>
        <w:trPr>
          <w:trHeight w:val="418"/>
        </w:trPr>
        <w:tc>
          <w:tcPr>
            <w:tcW w:w="360" w:type="dxa"/>
            <w:vAlign w:val="bottom"/>
          </w:tcPr>
          <w:p>
            <w:pPr>
              <w:spacing w:after="0"/>
              <w:rPr>
                <w:sz w:val="20"/>
                <w:szCs w:val="20"/>
                <w:color w:val="auto"/>
              </w:rPr>
            </w:pPr>
            <w:r>
              <w:rPr>
                <w:rFonts w:ascii="Arial" w:cs="Arial" w:eastAsia="Arial" w:hAnsi="Arial"/>
                <w:sz w:val="18"/>
                <w:szCs w:val="18"/>
                <w:i w:val="1"/>
                <w:iCs w:val="1"/>
                <w:color w:val="auto"/>
                <w:w w:val="94"/>
              </w:rPr>
              <w:t>How</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w w:val="99"/>
              </w:rPr>
              <w:t>We  Addressed</w:t>
            </w:r>
          </w:p>
        </w:tc>
        <w:tc>
          <w:tcPr>
            <w:tcW w:w="6660" w:type="dxa"/>
            <w:vAlign w:val="bottom"/>
          </w:tcPr>
          <w:p>
            <w:pPr>
              <w:ind w:left="100"/>
              <w:spacing w:after="0"/>
              <w:rPr>
                <w:sz w:val="20"/>
                <w:szCs w:val="20"/>
                <w:color w:val="auto"/>
              </w:rPr>
            </w:pPr>
            <w:r>
              <w:rPr>
                <w:rFonts w:ascii="Arial" w:cs="Arial" w:eastAsia="Arial" w:hAnsi="Arial"/>
                <w:sz w:val="18"/>
                <w:szCs w:val="18"/>
                <w:color w:val="24282D"/>
                <w:w w:val="88"/>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600" w:type="dxa"/>
            <w:vAlign w:val="bottom"/>
          </w:tcPr>
          <w:p>
            <w:pPr>
              <w:ind w:left="20"/>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ind w:left="80"/>
              <w:spacing w:after="0"/>
              <w:rPr>
                <w:sz w:val="20"/>
                <w:szCs w:val="20"/>
                <w:color w:val="auto"/>
              </w:rPr>
            </w:pPr>
            <w:r>
              <w:rPr>
                <w:rFonts w:ascii="Arial" w:cs="Arial" w:eastAsia="Arial" w:hAnsi="Arial"/>
                <w:sz w:val="18"/>
                <w:szCs w:val="18"/>
                <w:i w:val="1"/>
                <w:iCs w:val="1"/>
                <w:color w:val="auto"/>
              </w:rPr>
              <w:t>in</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Our</w:t>
            </w:r>
          </w:p>
        </w:tc>
        <w:tc>
          <w:tcPr>
            <w:tcW w:w="6660" w:type="dxa"/>
            <w:vAlign w:val="bottom"/>
          </w:tcPr>
          <w:p>
            <w:pPr>
              <w:ind w:left="100"/>
              <w:spacing w:after="0"/>
              <w:rPr>
                <w:sz w:val="20"/>
                <w:szCs w:val="20"/>
                <w:color w:val="auto"/>
              </w:rPr>
            </w:pPr>
            <w:r>
              <w:rPr>
                <w:rFonts w:ascii="Arial" w:cs="Arial" w:eastAsia="Arial" w:hAnsi="Arial"/>
                <w:sz w:val="18"/>
                <w:szCs w:val="18"/>
                <w:color w:val="24282D"/>
              </w:rPr>
              <w:t>of the Company’s controls over determining landfill depletion rates and calculating</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0"/>
              </w:rPr>
              <w:t>depletion expense. Our audit procedures included, among others, testing controls over: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Company’s process for evaluating and updating the significant assumptions used in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7"/>
              </w:rPr>
              <w:t>development of the landfill depletion rates, management’s review of those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assumptions, and the mathematical accuracy of the calculation and recording of depletion</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expense.</w:t>
            </w:r>
          </w:p>
        </w:tc>
      </w:tr>
    </w:tbl>
    <w:p>
      <w:pPr>
        <w:spacing w:after="0" w:line="202" w:lineRule="exact"/>
        <w:rPr>
          <w:sz w:val="20"/>
          <w:szCs w:val="20"/>
          <w:color w:val="auto"/>
        </w:rPr>
      </w:pPr>
    </w:p>
    <w:p>
      <w:pPr>
        <w:jc w:val="both"/>
        <w:ind w:left="1960" w:right="499"/>
        <w:spacing w:after="0" w:line="269" w:lineRule="auto"/>
        <w:rPr>
          <w:sz w:val="20"/>
          <w:szCs w:val="20"/>
          <w:color w:val="auto"/>
        </w:rPr>
      </w:pPr>
      <w:r>
        <w:rPr>
          <w:rFonts w:ascii="Arial" w:cs="Arial" w:eastAsia="Arial" w:hAnsi="Arial"/>
          <w:sz w:val="17"/>
          <w:szCs w:val="17"/>
          <w:color w:val="24282D"/>
        </w:rPr>
        <w:t>To test the landfill asset depletion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a similar type of waste. Regarding expansion airspace, we evaluated the Company’s criteria for inclusion in remaining airspace. In addition, we considered the professional qualifications and objectivity of management’s internal engineers responsible for developing the assumptions. We involved EY’s engineering specialists to assist with the evaluation of the Company’s landfill future development cost and airspace assumptions. We also tested the completeness and accuracy of the historical data utilized in the development of the landfill depletion rates.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Landfill – Final Capping, Closure and Post-Closure Costs</w:t>
            </w:r>
          </w:p>
        </w:tc>
      </w:tr>
      <w:tr>
        <w:trPr>
          <w:trHeight w:val="350"/>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Description</w:t>
            </w:r>
          </w:p>
        </w:tc>
        <w:tc>
          <w:tcPr>
            <w:tcW w:w="300" w:type="dxa"/>
            <w:vAlign w:val="bottom"/>
          </w:tcPr>
          <w:p>
            <w:pPr>
              <w:ind w:left="100"/>
              <w:spacing w:after="0"/>
              <w:rPr>
                <w:sz w:val="20"/>
                <w:szCs w:val="20"/>
                <w:color w:val="auto"/>
              </w:rPr>
            </w:pPr>
            <w:r>
              <w:rPr>
                <w:rFonts w:ascii="Arial" w:cs="Arial" w:eastAsia="Arial" w:hAnsi="Arial"/>
                <w:sz w:val="18"/>
                <w:szCs w:val="18"/>
                <w:i w:val="1"/>
                <w:iCs w:val="1"/>
                <w:color w:val="auto"/>
              </w:rPr>
              <w:t>of</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the</w:t>
            </w:r>
          </w:p>
        </w:tc>
        <w:tc>
          <w:tcPr>
            <w:tcW w:w="6660" w:type="dxa"/>
            <w:vAlign w:val="bottom"/>
          </w:tcPr>
          <w:p>
            <w:pPr>
              <w:ind w:left="100"/>
              <w:spacing w:after="0"/>
              <w:rPr>
                <w:sz w:val="20"/>
                <w:szCs w:val="20"/>
                <w:color w:val="auto"/>
              </w:rPr>
            </w:pPr>
            <w:r>
              <w:rPr>
                <w:rFonts w:ascii="Arial" w:cs="Arial" w:eastAsia="Arial" w:hAnsi="Arial"/>
                <w:sz w:val="18"/>
                <w:szCs w:val="18"/>
                <w:color w:val="24282D"/>
                <w:w w:val="98"/>
              </w:rPr>
              <w:t>At December 31, 2022, the carrying value of the Company’s landfill asset retirement</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obligations related to final capping, closure and post-closure costs totaled $2.7 billion.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89"/>
              </w:rPr>
              <w:t>discussed in Note 2 of the financial statements, the Company updates the estimates used to</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0"/>
              </w:rPr>
              <w:t>measure the asset retirement obligations annually, or more often if significant facts change.</w:t>
            </w:r>
          </w:p>
        </w:tc>
      </w:tr>
      <w:tr>
        <w:trPr>
          <w:trHeight w:val="418"/>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5"/>
              </w:rPr>
              <w:t>Auditing the landfill asset retirement obligation is complex due to the highly judgmental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nature of the assumptions used in the measurement process. These assumptions include: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24282D"/>
                <w:w w:val="92"/>
              </w:rPr>
              <w:t>estimated future costs associated with the capping, closure and post closure activities at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4"/>
              </w:rPr>
              <w:t>each specific landfill; airspace consumed to date in relation to total estimated permitted</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and expansion airspace; and the projected timing of retirement activities.</w:t>
            </w:r>
          </w:p>
        </w:tc>
      </w:tr>
      <w:tr>
        <w:trPr>
          <w:trHeight w:val="431"/>
        </w:trPr>
        <w:tc>
          <w:tcPr>
            <w:tcW w:w="360" w:type="dxa"/>
            <w:vAlign w:val="bottom"/>
          </w:tcPr>
          <w:p>
            <w:pPr>
              <w:spacing w:after="0"/>
              <w:rPr>
                <w:sz w:val="20"/>
                <w:szCs w:val="20"/>
                <w:color w:val="auto"/>
              </w:rPr>
            </w:pPr>
            <w:r>
              <w:rPr>
                <w:rFonts w:ascii="Arial" w:cs="Arial" w:eastAsia="Arial" w:hAnsi="Arial"/>
                <w:sz w:val="18"/>
                <w:szCs w:val="18"/>
                <w:i w:val="1"/>
                <w:iCs w:val="1"/>
                <w:color w:val="auto"/>
                <w:w w:val="94"/>
              </w:rPr>
              <w:t>How</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w w:val="99"/>
              </w:rPr>
              <w:t>We  Addressed</w:t>
            </w:r>
          </w:p>
        </w:tc>
        <w:tc>
          <w:tcPr>
            <w:tcW w:w="6660" w:type="dxa"/>
            <w:vAlign w:val="bottom"/>
          </w:tcPr>
          <w:p>
            <w:pPr>
              <w:ind w:left="100"/>
              <w:spacing w:after="0"/>
              <w:rPr>
                <w:sz w:val="20"/>
                <w:szCs w:val="20"/>
                <w:color w:val="auto"/>
              </w:rPr>
            </w:pPr>
            <w:r>
              <w:rPr>
                <w:rFonts w:ascii="Arial" w:cs="Arial" w:eastAsia="Arial" w:hAnsi="Arial"/>
                <w:sz w:val="18"/>
                <w:szCs w:val="18"/>
                <w:color w:val="24282D"/>
                <w:w w:val="88"/>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600" w:type="dxa"/>
            <w:vAlign w:val="bottom"/>
          </w:tcPr>
          <w:p>
            <w:pPr>
              <w:ind w:left="20"/>
              <w:spacing w:after="0"/>
              <w:rPr>
                <w:sz w:val="20"/>
                <w:szCs w:val="20"/>
                <w:color w:val="auto"/>
              </w:rPr>
            </w:pPr>
            <w:r>
              <w:rPr>
                <w:rFonts w:ascii="Arial" w:cs="Arial" w:eastAsia="Arial" w:hAnsi="Arial"/>
                <w:sz w:val="18"/>
                <w:szCs w:val="18"/>
                <w:i w:val="1"/>
                <w:iCs w:val="1"/>
                <w:color w:val="auto"/>
              </w:rPr>
              <w:t>Matter</w:t>
            </w:r>
          </w:p>
        </w:tc>
        <w:tc>
          <w:tcPr>
            <w:tcW w:w="300" w:type="dxa"/>
            <w:vAlign w:val="bottom"/>
          </w:tcPr>
          <w:p>
            <w:pPr>
              <w:ind w:left="80"/>
              <w:spacing w:after="0"/>
              <w:rPr>
                <w:sz w:val="20"/>
                <w:szCs w:val="20"/>
                <w:color w:val="auto"/>
              </w:rPr>
            </w:pPr>
            <w:r>
              <w:rPr>
                <w:rFonts w:ascii="Arial" w:cs="Arial" w:eastAsia="Arial" w:hAnsi="Arial"/>
                <w:sz w:val="18"/>
                <w:szCs w:val="18"/>
                <w:i w:val="1"/>
                <w:iCs w:val="1"/>
                <w:color w:val="auto"/>
              </w:rPr>
              <w:t>in</w:t>
            </w:r>
          </w:p>
        </w:tc>
        <w:tc>
          <w:tcPr>
            <w:tcW w:w="460" w:type="dxa"/>
            <w:vAlign w:val="bottom"/>
          </w:tcPr>
          <w:p>
            <w:pPr>
              <w:jc w:val="right"/>
              <w:ind w:right="10"/>
              <w:spacing w:after="0"/>
              <w:rPr>
                <w:sz w:val="20"/>
                <w:szCs w:val="20"/>
                <w:color w:val="auto"/>
              </w:rPr>
            </w:pPr>
            <w:r>
              <w:rPr>
                <w:rFonts w:ascii="Arial" w:cs="Arial" w:eastAsia="Arial" w:hAnsi="Arial"/>
                <w:sz w:val="18"/>
                <w:szCs w:val="18"/>
                <w:i w:val="1"/>
                <w:iCs w:val="1"/>
                <w:color w:val="auto"/>
              </w:rPr>
              <w:t>Our</w:t>
            </w: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of the Company’s controls over the calculation of landfill asset retirement obligations. Our</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2"/>
              </w:rPr>
              <w:t>audit procedures included, among others, testing the Company’s controls over the landfill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1"/>
              </w:rPr>
              <w:t>asset retirement obligation estimation process and management’s review of the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w w:val="96"/>
              </w:rPr>
              <w:t>assumptions used in the estimation of the liability, including the amount and timing of</w:t>
            </w: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Arial" w:cs="Arial" w:eastAsia="Arial" w:hAnsi="Arial"/>
                <w:sz w:val="18"/>
                <w:szCs w:val="18"/>
                <w:color w:val="24282D"/>
              </w:rPr>
              <w:t>retirement costs.</w:t>
            </w:r>
          </w:p>
        </w:tc>
      </w:tr>
    </w:tbl>
    <w:p>
      <w:pPr>
        <w:spacing w:after="0" w:line="202" w:lineRule="exact"/>
        <w:rPr>
          <w:sz w:val="20"/>
          <w:szCs w:val="20"/>
          <w:color w:val="auto"/>
        </w:rPr>
      </w:pPr>
    </w:p>
    <w:p>
      <w:pPr>
        <w:jc w:val="both"/>
        <w:ind w:left="1960" w:right="499"/>
        <w:spacing w:after="0" w:line="268" w:lineRule="auto"/>
        <w:rPr>
          <w:sz w:val="20"/>
          <w:szCs w:val="20"/>
          <w:color w:val="auto"/>
        </w:rPr>
      </w:pPr>
      <w:r>
        <w:rPr>
          <w:rFonts w:ascii="Arial" w:cs="Arial" w:eastAsia="Arial" w:hAnsi="Arial"/>
          <w:sz w:val="17"/>
          <w:szCs w:val="17"/>
          <w:color w:val="24282D"/>
        </w:rPr>
        <w:t>To test the landfill asset retirement obligation valuation, we performed audit procedures that included, among others, assessing methodologies used by the Company, testing the completeness of activities included in the estimate (e.g., gas monitoring and extraction),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the same type of waste. In addition, we considered the professional qualifications and objectivity of management’s internal engineers responsible for developing the assumptions. We involved EY engineering specialists to assist us with these procedures. Specifically, we utilized the EY engineering specialists to evaluate the reasons for significant changes in assumptions from the historical trend, and to determine whether the change from the historical trend was appropriate and identified timely. We also tested the completeness and accuracy of the historical data utilized in preparing the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7, 2023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w w:val="96"/>
              </w:rPr>
              <w:t>Accounts receivable, net of allowance for doubtful accounts of $26 and $25, respectively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 net of allowance for doubtful accounts of $7 and $8, respectively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Parts and supplies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9"/>
        </w:trPr>
        <w:tc>
          <w:tcPr>
            <w:tcW w:w="69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Property and equipment, net of accumulated depreciation and depletion of $21,627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$20,537, respectively</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Restricted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28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Deferred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0"/>
        </w:trPr>
        <w:tc>
          <w:tcPr>
            <w:tcW w:w="69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21,971</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Waste Management, Inc. 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Common stock, $0.01 par value; 1,500,000,000 shares authorized; 630,282,461 shares issued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 at cost, 222,396,166 and 214,158,636 shares, respectively</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(11,569)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(10,072)</w:t>
            </w:r>
          </w:p>
        </w:tc>
        <w:tc>
          <w:tcPr>
            <w:tcW w:w="0" w:type="dxa"/>
            <w:vAlign w:val="bottom"/>
          </w:tcPr>
          <w:p>
            <w:pPr>
              <w:spacing w:after="0"/>
              <w:rPr>
                <w:sz w:val="1"/>
                <w:szCs w:val="1"/>
                <w:color w:val="auto"/>
              </w:rPr>
            </w:pPr>
          </w:p>
        </w:tc>
      </w:tr>
      <w:tr>
        <w:trPr>
          <w:trHeight w:val="209"/>
        </w:trPr>
        <w:tc>
          <w:tcPr>
            <w:tcW w:w="6940" w:type="dxa"/>
            <w:vAlign w:val="bottom"/>
          </w:tcPr>
          <w:p>
            <w:pPr>
              <w:ind w:left="220"/>
              <w:spacing w:after="0"/>
              <w:rPr>
                <w:sz w:val="20"/>
                <w:szCs w:val="20"/>
                <w:color w:val="auto"/>
              </w:rPr>
            </w:pPr>
            <w:r>
              <w:rPr>
                <w:rFonts w:ascii="Arial" w:cs="Arial" w:eastAsia="Arial" w:hAnsi="Arial"/>
                <w:sz w:val="18"/>
                <w:szCs w:val="18"/>
                <w:color w:val="auto"/>
              </w:rPr>
              <w:t>Total Waste Management, Inc. 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15,218</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(Gain) loss from divestitures, asset impairments and unusual items, net</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12,784</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Arial" w:cs="Arial" w:eastAsia="Arial" w:hAnsi="Arial"/>
                <w:sz w:val="18"/>
                <w:szCs w:val="18"/>
                <w:color w:val="auto"/>
              </w:rPr>
              <w:t>Loss on early extinguishment of debt,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net losses of unconsolidated entities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5.42</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7220" w:type="dxa"/>
            <w:vAlign w:val="bottom"/>
            <w:gridSpan w:val="6"/>
          </w:tcPr>
          <w:p>
            <w:pPr>
              <w:ind w:left="172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396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8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instruments,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Arial" w:cs="Arial" w:eastAsia="Arial" w:hAnsi="Arial"/>
                <w:sz w:val="18"/>
                <w:szCs w:val="18"/>
                <w:color w:val="auto"/>
              </w:rPr>
              <w:t>Available-for-sale securities,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Post-retirement benefit obligations, net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Less: Comprehensive income (loss) attributable to noncontrolling interests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1,794</w:t>
            </w:r>
          </w:p>
        </w:tc>
        <w:tc>
          <w:tcPr>
            <w:tcW w:w="180" w:type="dxa"/>
            <w:vAlign w:val="bottom"/>
            <w:gridSpan w:val="2"/>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41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2,240</w:t>
            </w: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1,817</w:t>
            </w:r>
          </w:p>
        </w:tc>
        <w:tc>
          <w:tcPr>
            <w:tcW w:w="3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w w:val="93"/>
              </w:rPr>
              <w:t>Adjustments to reconcile consolidated net income to net cash provided by operating activities: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2,038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1,999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income tax expense (benefit)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Provision for bad debts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Equity-based compensation expense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gain on disposal of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(Gain) loss from divestitures, asset impairments and other,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in net losses of unconsolidated entities, net of dividends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Loss on early extinguishment of debt,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Change in operating assets and liabilities, net of effects of acquisitions and divestitures: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Deferred revenues and other liabilities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0" w:type="dxa"/>
            <w:vAlign w:val="bottom"/>
          </w:tcPr>
          <w:p>
            <w:pPr>
              <w:spacing w:after="0"/>
              <w:rPr>
                <w:sz w:val="1"/>
                <w:szCs w:val="1"/>
                <w:color w:val="auto"/>
              </w:rPr>
            </w:pPr>
          </w:p>
        </w:tc>
      </w:tr>
      <w:tr>
        <w:trPr>
          <w:trHeight w:val="193"/>
        </w:trPr>
        <w:tc>
          <w:tcPr>
            <w:tcW w:w="622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(1,904)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w:t>
            </w:r>
          </w:p>
        </w:tc>
        <w:tc>
          <w:tcPr>
            <w:tcW w:w="0" w:type="dxa"/>
            <w:vAlign w:val="bottom"/>
          </w:tcPr>
          <w:p>
            <w:pPr>
              <w:spacing w:after="0"/>
              <w:rPr>
                <w:sz w:val="1"/>
                <w:szCs w:val="1"/>
                <w:color w:val="auto"/>
              </w:rPr>
            </w:pPr>
          </w:p>
        </w:tc>
      </w:tr>
      <w:tr>
        <w:trPr>
          <w:trHeight w:val="193"/>
        </w:trPr>
        <w:tc>
          <w:tcPr>
            <w:tcW w:w="62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New borrowings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Debt repayments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(8,404)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Premiums and other paid on early extinguishment of debt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Common stock repurchase program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(1,350)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dividends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00"/>
              <w:spacing w:after="0"/>
              <w:rPr>
                <w:sz w:val="20"/>
                <w:szCs w:val="20"/>
                <w:color w:val="auto"/>
              </w:rPr>
            </w:pPr>
            <w:r>
              <w:rPr>
                <w:rFonts w:ascii="Arial" w:cs="Arial" w:eastAsia="Arial" w:hAnsi="Arial"/>
                <w:sz w:val="16"/>
                <w:szCs w:val="16"/>
                <w:color w:val="auto"/>
              </w:rPr>
              <w:t>Exercise of common stock 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0" w:type="dxa"/>
            <w:vAlign w:val="bottom"/>
          </w:tcPr>
          <w:p>
            <w:pPr>
              <w:spacing w:after="0" w:line="173" w:lineRule="exact"/>
              <w:rPr>
                <w:sz w:val="20"/>
                <w:szCs w:val="20"/>
                <w:color w:val="auto"/>
              </w:rPr>
            </w:pPr>
            <w:r>
              <w:rPr>
                <w:rFonts w:ascii="Arial" w:cs="Arial" w:eastAsia="Arial" w:hAnsi="Arial"/>
                <w:sz w:val="16"/>
                <w:szCs w:val="16"/>
                <w:color w:val="auto"/>
                <w:w w:val="98"/>
              </w:rPr>
              <w:t>Effect of exchange rate changes on cash, cash equivalents and restricted cash and cash</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equivalents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w w:val="99"/>
              </w:rPr>
              <w:t>Increase (decrease) in cash, cash equivalents and restricted cash and cash equivalents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9"/>
              </w:rPr>
              <w:t>Cash, cash equivalents and restricted cash and cash equivalents at beginning of period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w w:val="95"/>
              </w:rPr>
              <w:t>Reconciliation of cash, cash equivalents and restricted cash and cash equivalents at end of</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period: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351</w:t>
            </w:r>
          </w:p>
        </w:tc>
        <w:tc>
          <w:tcPr>
            <w:tcW w:w="3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118</w:t>
            </w:r>
          </w:p>
        </w:tc>
        <w:tc>
          <w:tcPr>
            <w:tcW w:w="3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cash and cash equivalents included in restricted funds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611"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3"/>
          </w:tcPr>
          <w:p>
            <w:pPr>
              <w:jc w:val="right"/>
              <w:ind w:right="348"/>
              <w:spacing w:after="0"/>
              <w:rPr>
                <w:sz w:val="20"/>
                <w:szCs w:val="20"/>
                <w:color w:val="auto"/>
              </w:rPr>
            </w:pPr>
            <w:r>
              <w:rPr>
                <w:rFonts w:ascii="Arial" w:cs="Arial" w:eastAsia="Arial" w:hAnsi="Arial"/>
                <w:sz w:val="14"/>
                <w:szCs w:val="14"/>
                <w:b w:val="1"/>
                <w:bCs w:val="1"/>
                <w:color w:val="auto"/>
              </w:rPr>
              <w:t>Waste Management, Inc. Stockholders’ Equity</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Comprehensive</w:t>
            </w:r>
          </w:p>
        </w:tc>
        <w:tc>
          <w:tcPr>
            <w:tcW w:w="13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8"/>
              </w:rPr>
              <w:t>Shares</w:t>
            </w:r>
          </w:p>
        </w:tc>
        <w:tc>
          <w:tcPr>
            <w:tcW w:w="6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2"/>
                <w:szCs w:val="12"/>
                <w:color w:val="auto"/>
              </w:rPr>
            </w:pPr>
          </w:p>
        </w:tc>
        <w:tc>
          <w:tcPr>
            <w:tcW w:w="104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6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2019</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7,070</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10,592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(205,956)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(8,571)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Adoption of new accounting</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standards</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w w:val="96"/>
              </w:rPr>
              <w:t>Other comprehensive income (loss),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of $2.18</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per common share</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transactions, net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Common stock repurchase program</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2020</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7,454</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5,129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11,159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(207,481)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(8,881)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1,817</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Other comprehensive income (loss),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Cash dividends declared of $2.30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per common share</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(970)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(970)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 net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w w:val="96"/>
              </w:rPr>
              <w:t>Common stock repurchase program</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(1,350)</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180" w:type="dxa"/>
            <w:vAlign w:val="bottom"/>
          </w:tcPr>
          <w:p>
            <w:pPr>
              <w:spacing w:after="0" w:line="142" w:lineRule="exact"/>
              <w:rPr>
                <w:sz w:val="20"/>
                <w:szCs w:val="20"/>
                <w:color w:val="auto"/>
              </w:rPr>
            </w:pPr>
            <w:r>
              <w:rPr>
                <w:rFonts w:ascii="Arial" w:cs="Arial" w:eastAsia="Arial" w:hAnsi="Arial"/>
                <w:sz w:val="14"/>
                <w:szCs w:val="14"/>
                <w:color w:val="auto"/>
              </w:rPr>
              <w:t>Balance, December 31, 2021</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7,126</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5,169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12,004</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(214,159)</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(10,072)</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w w:val="96"/>
              </w:rPr>
              <w:t>Other comprehensive income (loss),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of $2.60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per common share</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(1,077)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20"/>
              <w:spacing w:after="0"/>
              <w:rPr>
                <w:sz w:val="20"/>
                <w:szCs w:val="20"/>
                <w:color w:val="auto"/>
              </w:rPr>
            </w:pPr>
            <w:r>
              <w:rPr>
                <w:rFonts w:ascii="Arial" w:cs="Arial" w:eastAsia="Arial" w:hAnsi="Arial"/>
                <w:sz w:val="14"/>
                <w:szCs w:val="14"/>
                <w:color w:val="auto"/>
              </w:rPr>
              <w:t>transactions, net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Common stock repurchase program</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color w:val="auto"/>
              </w:rPr>
              <w:t>Acquisitions and other,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6,864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5,314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13,167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(222,396)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(11,569)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07" w:lineRule="exact"/>
        <w:rPr>
          <w:sz w:val="20"/>
          <w:szCs w:val="20"/>
          <w:color w:val="auto"/>
        </w:rPr>
      </w:pPr>
    </w:p>
    <w:p>
      <w:pPr>
        <w:ind w:left="360" w:hanging="310"/>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9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for our natural gas fleet.</w:t>
      </w:r>
    </w:p>
    <w:p>
      <w:pPr>
        <w:spacing w:after="0" w:line="19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 On October 30, 2020, we acquired Advanced Disposal Services, Inc. (“Advanced Disposal”), the operations of which are presented in this report within our existing Solid Waste tiers. We also provide additional services that are not managed through our Solid Waste business, which are presented in this report as “Other.” Additional information related to our acquisition of Advanced Disposal and segments is included in Notes 17 and 19, respectively.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80" w:lineRule="exact"/>
        <w:rPr>
          <w:sz w:val="20"/>
          <w:szCs w:val="20"/>
          <w:color w:val="auto"/>
        </w:rPr>
      </w:pPr>
    </w:p>
    <w:p>
      <w:pPr>
        <w:ind w:left="360" w:hanging="310"/>
        <w:spacing w:after="0"/>
        <w:tabs>
          <w:tab w:leader="none" w:pos="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WMI, its wholly-owned and majority-owned subsidiaries and certain variable interest entities for which we have determined that we are the primary beneficiary. All material intercompany balances and transactions have been eliminated. Investments in unconsolidated entities are accounted for under the appropriate method of accounting.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Actual results could differ materially from the estimates and assumptions that we use in the preparation of our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2022 and 2021, no single customer represented greater than 5% of total accounts receivable.</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and Other Receivables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as well as expected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reflects the activity in our allowance for doubtful accounts of trade receivables for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Additions charged to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written-off, net of recoveries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Acquisitions, divestitures and other, net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To determine the allowance for doubtful accounts for trade receivables, we rely upon, among other factors, historical loss trends, the age of outstanding receivables, and existing as well as expected economic conditions. We determined that all of our trade receivables share similar risk characteristics. We monitor our credit exposure on an ongoing basis and assess whether assets in the pool continue to display similar risk characteristics. Based on aging analysis as of both December 31, 2022 and 2021, approximately 90% of our trade receivables were outstanding less than 60 days.</w:t>
      </w:r>
    </w:p>
    <w:p>
      <w:pPr>
        <w:spacing w:after="0" w:line="16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To determine the allowance for doubtful accounts for other receivables, as well as loans and other instruments, we rely primarily on credit ratings and associated default rates based on the maturity of the instrument. Other receivables, as of December 31, 2022 and 2021, include receivables related to income tax payments in excess of our current income tax obligations of $150 million and $166 million, respectively. Other receivables as of December 31, 2022 and 2021 also include a receivable of $19 million and $14 million, respectively, related to alternative fuel tax credits. Based on an aging analysis as of December 31, 2022 and 2021, approximately 55% and 60%, respectively, of our other receivables were due within 12 months or less.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Cost Basis of Landfill Assets — </w:t>
      </w:r>
      <w:r>
        <w:rPr>
          <w:rFonts w:ascii="Arial" w:cs="Arial" w:eastAsia="Arial" w:hAnsi="Arial"/>
          <w:sz w:val="17"/>
          <w:szCs w:val="17"/>
          <w:color w:val="auto"/>
        </w:rPr>
        <w:t>We capitalize various costs that we incur to make a landfill ready to accept waste.</w:t>
      </w:r>
      <w:r>
        <w:rPr>
          <w:rFonts w:ascii="Arial" w:cs="Arial" w:eastAsia="Arial" w:hAnsi="Arial"/>
          <w:sz w:val="17"/>
          <w:szCs w:val="17"/>
          <w:i w:val="1"/>
          <w:iCs w:val="1"/>
          <w:color w:val="auto"/>
        </w:rPr>
        <w:t xml:space="preserve"> </w:t>
      </w:r>
      <w:r>
        <w:rPr>
          <w:rFonts w:ascii="Arial" w:cs="Arial" w:eastAsia="Arial" w:hAnsi="Arial"/>
          <w:sz w:val="17"/>
          <w:szCs w:val="17"/>
          <w:color w:val="auto"/>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Final Capping, Closure and Post-Closure Costs — </w:t>
      </w:r>
      <w:r>
        <w:rPr>
          <w:rFonts w:ascii="Arial" w:cs="Arial" w:eastAsia="Arial" w:hAnsi="Arial"/>
          <w:sz w:val="18"/>
          <w:szCs w:val="18"/>
          <w:color w:val="auto"/>
        </w:rPr>
        <w:t>Following is a description of our asset retirement activities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accounting:</w:t>
      </w:r>
    </w:p>
    <w:p>
      <w:pPr>
        <w:spacing w:after="0" w:line="170" w:lineRule="exact"/>
        <w:rPr>
          <w:sz w:val="20"/>
          <w:szCs w:val="20"/>
          <w:color w:val="auto"/>
        </w:rPr>
      </w:pPr>
    </w:p>
    <w:p>
      <w:pPr>
        <w:jc w:val="both"/>
        <w:ind w:left="720" w:right="79" w:hanging="319"/>
        <w:spacing w:after="0" w:line="273" w:lineRule="auto"/>
        <w:tabs>
          <w:tab w:leader="none" w:pos="7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Final Capping — </w:t>
      </w:r>
      <w:r>
        <w:rPr>
          <w:rFonts w:ascii="Arial" w:cs="Arial" w:eastAsia="Arial" w:hAnsi="Arial"/>
          <w:sz w:val="17"/>
          <w:szCs w:val="17"/>
          <w:color w:val="auto"/>
        </w:rPr>
        <w:t>Generally involves the installation of flexible membrane liners and geosynthetic clay liners,</w:t>
      </w:r>
      <w:r>
        <w:rPr>
          <w:rFonts w:ascii="Arial" w:cs="Arial" w:eastAsia="Arial" w:hAnsi="Arial"/>
          <w:sz w:val="17"/>
          <w:szCs w:val="17"/>
          <w:i w:val="1"/>
          <w:iCs w:val="1"/>
          <w:color w:val="auto"/>
        </w:rPr>
        <w:t xml:space="preserve"> </w:t>
      </w:r>
      <w:r>
        <w:rPr>
          <w:rFonts w:ascii="Arial" w:cs="Arial" w:eastAsia="Arial" w:hAnsi="Arial"/>
          <w:sz w:val="17"/>
          <w:szCs w:val="17"/>
          <w:color w:val="auto"/>
        </w:rPr>
        <w:t>drainage and 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associated with each final capping event.</w:t>
      </w:r>
    </w:p>
    <w:p>
      <w:pPr>
        <w:spacing w:after="0" w:line="69" w:lineRule="exact"/>
        <w:rPr>
          <w:rFonts w:ascii="Arial" w:cs="Arial" w:eastAsia="Arial" w:hAnsi="Arial"/>
          <w:sz w:val="17"/>
          <w:szCs w:val="17"/>
          <w:color w:val="auto"/>
        </w:rPr>
      </w:pPr>
    </w:p>
    <w:p>
      <w:pPr>
        <w:ind w:left="720" w:right="79" w:hanging="319"/>
        <w:spacing w:after="0" w:line="342"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Closure — </w:t>
      </w:r>
      <w:r>
        <w:rPr>
          <w:rFonts w:ascii="Arial" w:cs="Arial" w:eastAsia="Arial" w:hAnsi="Arial"/>
          <w:sz w:val="16"/>
          <w:szCs w:val="16"/>
          <w:color w:val="auto"/>
        </w:rPr>
        <w:t>Includes the construction of the final portion of methane gas collection systems (when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demobilization and routine maintenance costs. These are costs incurred after the site ceases to accept waste, but</w:t>
      </w:r>
    </w:p>
    <w:p>
      <w:pPr>
        <w:sectPr>
          <w:pgSz w:w="11900" w:h="16838" w:orient="portrait"/>
          <w:cols w:equalWidth="0" w:num="1">
            <w:col w:w="9019"/>
          </w:cols>
          <w:pgMar w:left="1440" w:top="611"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720" w:right="79"/>
        <w:spacing w:after="0" w:line="259" w:lineRule="auto"/>
        <w:rPr>
          <w:sz w:val="20"/>
          <w:szCs w:val="20"/>
          <w:color w:val="auto"/>
        </w:rPr>
      </w:pPr>
      <w:r>
        <w:rPr>
          <w:rFonts w:ascii="Arial" w:cs="Arial" w:eastAsia="Arial" w:hAnsi="Arial"/>
          <w:sz w:val="18"/>
          <w:szCs w:val="18"/>
          <w:color w:val="auto"/>
        </w:rPr>
        <w:t>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79" w:lineRule="exact"/>
        <w:rPr>
          <w:sz w:val="20"/>
          <w:szCs w:val="20"/>
          <w:color w:val="auto"/>
        </w:rPr>
      </w:pPr>
    </w:p>
    <w:p>
      <w:pPr>
        <w:jc w:val="both"/>
        <w:ind w:left="720" w:right="79" w:hanging="319"/>
        <w:spacing w:after="0" w:line="255"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Post-Closure — </w:t>
      </w:r>
      <w:r>
        <w:rPr>
          <w:rFonts w:ascii="Arial" w:cs="Arial" w:eastAsia="Arial" w:hAnsi="Arial"/>
          <w:sz w:val="18"/>
          <w:szCs w:val="18"/>
          <w:color w:val="auto"/>
        </w:rPr>
        <w:t>Involves the maintenance and monitoring of a landfill site that has been certified closed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9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Once we have determined final capping, closure and post-closure costs, we inflate those costs to the expected time of payment and discount those expected future costs back to present value. As of December 31, 2022, 2021 and 2020, we inflated these costs in current dollars to the expected time of payment using an inflation rate of 2.50%, 2.25% and 2.25%, respectively.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2022 was approximately 4.8%.</w:t>
      </w:r>
    </w:p>
    <w:p>
      <w:pPr>
        <w:spacing w:after="0" w:line="18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Sustained 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landfill depletion policy (previously landfill amortization policy), which would generally result in depletion expense being recognized prospectively over the remaining permitted and expansion airspace of the final capping event or the remaining permitted and expansion airspace of the landfill, as appropriate. Changes in</w:t>
      </w:r>
    </w:p>
    <w:p>
      <w:pPr>
        <w:sectPr>
          <w:pgSz w:w="11900" w:h="16838" w:orient="portrait"/>
          <w:cols w:equalWidth="0" w:num="1">
            <w:col w:w="9019"/>
          </w:cols>
          <w:pgMar w:left="1440" w:top="611"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such estimates associated with a fully consumed landfill result in an adjustment to the recorded liability and landfill assets with an immediate corresponding adjustment to landfill airspace depletion expense.</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landfill operating costs, which is included in operating expenses within our Consolidated Statements of Operations.</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Depletion of Landfill Assets — </w:t>
      </w:r>
      <w:r>
        <w:rPr>
          <w:rFonts w:ascii="Arial" w:cs="Arial" w:eastAsia="Arial" w:hAnsi="Arial"/>
          <w:sz w:val="17"/>
          <w:szCs w:val="17"/>
          <w:color w:val="auto"/>
        </w:rPr>
        <w:t>The depletable basis of a landfill includes (i) amounts previously expended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(ii) capitalized landfill final capping, closure and post-closure costs; (iii) projections of future purchase and development costs required to develop the landfill site to its remaining permitted and expansion airspace (as defined below) and (iv) projected asset retirement costs related to landfill final capping, closure and post-closure activities.</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Depletion is recorded on a units-of-consumption basis, applying expense as a rate per ton. The rate per ton is calculated by dividing each component of the depletable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jc w:val="both"/>
        <w:ind w:left="720" w:right="79" w:hanging="319"/>
        <w:spacing w:after="0" w:line="259"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 </w:t>
      </w:r>
      <w:r>
        <w:rPr>
          <w:rFonts w:ascii="Arial" w:cs="Arial" w:eastAsia="Arial" w:hAnsi="Arial"/>
          <w:sz w:val="18"/>
          <w:szCs w:val="18"/>
          <w:color w:val="auto"/>
        </w:rPr>
        <w:t>Our engineers, in consultation with third-party engineering consultants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78"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16 landfill sites with expansions included as of December 31, 2022, two landfills required the Chief Financial Officer to approve the inclusion of the unpermitted airspace because the permit application process did not meet the one- or five-year requirements.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8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84" w:lineRule="exact"/>
        <w:rPr>
          <w:sz w:val="20"/>
          <w:szCs w:val="20"/>
          <w:color w:val="auto"/>
        </w:rPr>
      </w:pP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20" w:right="79" w:hanging="319"/>
        <w:spacing w:after="0" w:line="277"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$135 million higher than the $204 million recorded in the Consolidated Balance Sheet as of December 31, 2022.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Where we believe that both the amount of a particular environmental remediation liability and the timing of the payments are fixed or reliably determinable, we inflate the cost in current dollars until the expected time of payment and discount the cost to present value using a risk-free discount rate, which is based on the rate for U.S. Treasury bonds with a term approximating the weighted average period until settlement of the underlying obligation. We determine the risk-free discount rate and the inflation rate on an annual basis unless interim changes would materially impact our results of operations. For remedial liabilities that have been discounted, we include interest accretion, based on the effective interest method, in operating expenses in our Consolidated Statements of Operations. As of December 31, 2022, 2021 and 2020, we inflated the costs by 2.50%, 2.25% and 2.25%, respectively, and discounted the costs by 3.75%, 1.50% and 1.00%, respectively. Our discount rate has increased since 2020 as a result of the overall increase in the 10-year Treasury rates. The following table summarizes the impacts of revisions in the risk-free discount rate applied to our environmental remediation liabilities and recovery assets for the year ended December 31 (in millions) and the risk-free discount rate applied as of December 31:</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operating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r>
      <w:tr>
        <w:trPr>
          <w:trHeight w:val="202"/>
        </w:trPr>
        <w:tc>
          <w:tcPr>
            <w:tcW w:w="6020" w:type="dxa"/>
            <w:vAlign w:val="bottom"/>
          </w:tcPr>
          <w:p>
            <w:pPr>
              <w:ind w:left="20"/>
              <w:spacing w:after="0" w:line="201" w:lineRule="exact"/>
              <w:rPr>
                <w:sz w:val="20"/>
                <w:szCs w:val="20"/>
                <w:color w:val="auto"/>
              </w:rPr>
            </w:pPr>
            <w:r>
              <w:rPr>
                <w:rFonts w:ascii="Arial" w:cs="Arial" w:eastAsia="Arial" w:hAnsi="Arial"/>
                <w:sz w:val="18"/>
                <w:szCs w:val="18"/>
                <w:color w:val="auto"/>
              </w:rPr>
              <w:t>Risk-free discount rate applied to environmental remediation liabilities and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recovery assets</w:t>
            </w: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3.75 %</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1.50 %</w:t>
            </w: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portion of our recorded environmental remediation liabilities that were not subject to inflation or discounting, as the amounts and timing of payments are not fixed or reliably determinable, was $31 million as of December 31, 2022 and 2021. Had we not inflated and discounted any portion of our environmental remediation liability, the amount recorded would have increased by $10 million and decreased by $6 million as of December 31, 2022 and 2021, respectively.</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generally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ectPr>
          <w:pgSz w:w="11900" w:h="16838" w:orient="portrait"/>
          <w:cols w:equalWidth="0" w:num="1">
            <w:col w:w="9019"/>
          </w:cols>
          <w:pgMar w:left="1440" w:top="611"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9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Vehicles — excluding rail haul cars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980" w:type="dxa"/>
            <w:vAlign w:val="bottom"/>
          </w:tcPr>
          <w:p>
            <w:pPr>
              <w:jc w:val="right"/>
              <w:spacing w:after="0"/>
              <w:rPr>
                <w:sz w:val="20"/>
                <w:szCs w:val="20"/>
                <w:color w:val="auto"/>
              </w:rPr>
            </w:pPr>
            <w:r>
              <w:rPr>
                <w:rFonts w:ascii="Arial" w:cs="Arial" w:eastAsia="Arial" w:hAnsi="Arial"/>
                <w:sz w:val="18"/>
                <w:szCs w:val="18"/>
                <w:color w:val="auto"/>
              </w:rPr>
              <w:t>10 to 30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Pr>
          <w:p>
            <w:pPr>
              <w:jc w:val="right"/>
              <w:spacing w:after="0"/>
              <w:rPr>
                <w:sz w:val="20"/>
                <w:szCs w:val="20"/>
                <w:color w:val="auto"/>
              </w:rPr>
            </w:pPr>
            <w:r>
              <w:rPr>
                <w:rFonts w:ascii="Arial" w:cs="Arial" w:eastAsia="Arial" w:hAnsi="Arial"/>
                <w:sz w:val="18"/>
                <w:szCs w:val="18"/>
                <w:color w:val="auto"/>
              </w:rPr>
              <w:t>5 to 40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lease property and equipment in the ordinary course of our business. Our operating lease activities primarily consist of leases for real estate, landfills and operating equipment. Our financing lease activities primarily consist of leases for operating equipment, railcars and landfill assets. Our leases have varying terms. Some may include renewal or purchase options, escalation clauses, restrictions, penalties or other obligations that we consider in determining minimum lease payments. The leases are classified as either operating leases or financing leases, as appropriate.</w:t>
      </w:r>
    </w:p>
    <w:p>
      <w:pPr>
        <w:spacing w:after="0" w:line="16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Operating Leases (excluding landfill leases discussed below) — </w:t>
      </w:r>
      <w:r>
        <w:rPr>
          <w:rFonts w:ascii="Arial" w:cs="Arial" w:eastAsia="Arial" w:hAnsi="Arial"/>
          <w:sz w:val="17"/>
          <w:szCs w:val="17"/>
          <w:color w:val="auto"/>
        </w:rPr>
        <w:t>The majority of our leases are operating leases.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Financing Leases (excluding landfill leases discussed below) — </w:t>
      </w:r>
      <w:r>
        <w:rPr>
          <w:rFonts w:ascii="Arial" w:cs="Arial" w:eastAsia="Arial" w:hAnsi="Arial"/>
          <w:sz w:val="18"/>
          <w:szCs w:val="18"/>
          <w:color w:val="auto"/>
        </w:rPr>
        <w:t>Assets under financing leases are capitalized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determined at the commencement of each lease and are depreciated over either the useful life of the asset or the lease term, as appropriate, on a straight-line basis. The present value of the related lease payments is recorded as a debt obligation.</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Landfill Leases — </w:t>
      </w:r>
      <w:r>
        <w:rPr>
          <w:rFonts w:ascii="Arial" w:cs="Arial" w:eastAsia="Arial" w:hAnsi="Arial"/>
          <w:sz w:val="18"/>
          <w:szCs w:val="18"/>
          <w:color w:val="auto"/>
        </w:rPr>
        <w:t>From an operating perspective, landfills that we lease are similar to landfills we own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depleted on a units-of-consumption basis over the shorter of the lease term or the life of the landfill.</w:t>
      </w:r>
    </w:p>
    <w:p>
      <w:pPr>
        <w:spacing w:after="0" w:line="19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For operating and financing leases, including landfill leases, our rent expense for each of the last three years and future minimum lease payments are disclosed in Note 7.</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Contingent Consideration — </w:t>
      </w:r>
      <w:r>
        <w:rPr>
          <w:rFonts w:ascii="Arial" w:cs="Arial" w:eastAsia="Arial" w:hAnsi="Arial"/>
          <w:sz w:val="18"/>
          <w:szCs w:val="18"/>
          <w:color w:val="auto"/>
        </w:rPr>
        <w:t>In certain acquisitions, we agree to pay additional amounts to sellers contingent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by the acquired businesses of certain negotiated goals, such as targeted revenue levels, targeted disposal volumes or the issuance of permits for expanded landfill airspace. We have recognized liabilities for these contingent obligations based on their estimated fair value as of the date of acquisition with any differences between the acquisition-date fair value, subsequent remeasurements and the ultimate settlement of the obligations being recognized as an adjustment to income from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Acquired Assets and Assumed Liabilities — </w:t>
      </w:r>
      <w:r>
        <w:rPr>
          <w:rFonts w:ascii="Arial" w:cs="Arial" w:eastAsia="Arial" w:hAnsi="Arial"/>
          <w:sz w:val="16"/>
          <w:szCs w:val="16"/>
          <w:color w:val="auto"/>
        </w:rPr>
        <w:t>Assets and liabilities arising from contingencies such as pre-acquisition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matters and litigation are recognized at their acquisition-date fair value when their respective fair values can be determined. If the fair values of such contingencies cannot be readily determined, they are recognized as of the acquisition date if the contingencies are probable and an amount can be reasonably estimated.</w:t>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for additional information related to our acquisitions, including our 2020 acquisition of Advanced Disposal.</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We do not amortize goodwill, but as discussed in the </w:t>
      </w:r>
      <w:r>
        <w:rPr>
          <w:rFonts w:ascii="Arial" w:cs="Arial" w:eastAsia="Arial" w:hAnsi="Arial"/>
          <w:sz w:val="18"/>
          <w:szCs w:val="18"/>
          <w:i w:val="1"/>
          <w:iCs w:val="1"/>
          <w:color w:val="auto"/>
        </w:rPr>
        <w:t>Long-Lived Asset Impairments</w:t>
      </w:r>
      <w:r>
        <w:rPr>
          <w:rFonts w:ascii="Arial" w:cs="Arial" w:eastAsia="Arial" w:hAnsi="Arial"/>
          <w:sz w:val="18"/>
          <w:szCs w:val="18"/>
          <w:color w:val="auto"/>
        </w:rPr>
        <w:t xml:space="preserve"> section below, we assess our goodwill for impairment at least annually.</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Other intangible assets consist primarily of customer and supplier relationships, covenants not-to-compete, licenses, permits (other than landfill permits, which are combined with landfill tangible assets and depleted per our landfill depletion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 of Operations.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w:t>
      </w:r>
      <w:r>
        <w:rPr>
          <w:rFonts w:ascii="Arial" w:cs="Arial" w:eastAsia="Arial" w:hAnsi="Arial"/>
          <w:sz w:val="16"/>
          <w:szCs w:val="16"/>
          <w:color w:val="auto"/>
        </w:rPr>
        <w:t>— 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7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Indefinite-Lived Intangible Assets, Including Goodwill — </w:t>
      </w:r>
      <w:r>
        <w:rPr>
          <w:rFonts w:ascii="Arial" w:cs="Arial" w:eastAsia="Arial" w:hAnsi="Arial"/>
          <w:sz w:val="18"/>
          <w:szCs w:val="18"/>
          <w:color w:val="auto"/>
        </w:rPr>
        <w:t>At least annually using a measurement date of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and more frequently if warranted, we assess our indefinite-lived intangible assets, including the goodwill of our reporting units, for impairment.</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first perform a qualitative assessment to determine if it is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is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1"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Refer to Note 11 for information related to impairments recognized during the reported periods.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For our self-insured portions, the exposure for unpaid claims and associated expenses, including incurred but not reported losses, is based on an actuarial valuation or internal estimates.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use a wholly-owned insurance captive to insure the deductibles for our general liability, automobile liability and workers’ compensation claims programs. We continue to maintain conventional insurance policies with third-party insurers. WMI pays an annual premium to the insurance captive on behalf of WMI and its insured subsidiaries, typically in the first quarter of the year, for estimated losses based on an external actuarial analysis. These premiums are held in a restricted funds account to be used solely for paying insurance claims, resulting in a transfer of risk from our Company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insurance captive, and are allocated between current and long-term assets depending on estimated timing of the use of funds.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Funds</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restricted funds accounts primarily consist of funds deposited for purposes of funding insurance claims and settling landfill final capping, closure, post-closure and environmental remediation obligations. These funds are generally allocated between cash, money market funds, equity securities and available-for-sale debt securities depending on the estimated timing and purpose of the use of funds. We use a wholly-owned insurance captive to insure the deductibles for certain claims programs and the premiums paid are directly deposited into a restricted funds account to be used solely for paying insurance claims. At several of our landfills, we provide financial assurance by depositing cash into restricted trust funds for purposes of settling final capping, closure, post-closure and environmental remediation obligations. Balances maintained in these restricted funds accounts will fluctuate based on (i) changes in statutory requirements; (ii) future deposits made to comply with contractual arrangements; (iii) the ongoing use of funds; (iv) acquisitions or divestitures and (v) changes in the fair value of the financial instruments held in the restricted funds accounts.</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See Notes 16 and 18 for additional discussion related to restricted funds accounts for final capping, closure, post-closure or environmental remediation obligations.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fair value of our redeemable preferred stock has been measured based on third-party investors’ recent or pending transactions in these securities, which are considered the best evidence of fair value. The following table summarizes our investments in unconsolidated entities as of December 31 (in millions):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Investments without readily determinable fair values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6940" w:type="dxa"/>
            <w:vAlign w:val="bottom"/>
          </w:tcPr>
          <w:p>
            <w:pPr>
              <w:ind w:left="22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monitor and assess the carrying value of our investments throughout the year for potential impairment and write them down to their fair value when other-than-temporary declines exist. Fair value is generally based on (i) other third-party investors’ recent or pending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equity in net losses of unconsolidated entities or other, net in our Consolidated Statements of Operations in accordance with appropriate accounting guidance.</w:t>
      </w:r>
    </w:p>
    <w:p>
      <w:pPr>
        <w:spacing w:after="0" w:line="19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Refer to Note 11 for information related to impairments and other adjustments recognized during the reported periods.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have operations in Canada, as well as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Foreign currency translation adjustments have been impacted by decreases in the U.S. dollar/Canadian dollar exchange rate from 1.2734 at December 31, 2020, to 1.2639 at December 31, 2021 and to 1.3554 at December 31, 2022. Refer to Note 12 for information regarding the impacts of foreign currency on our comprehensive income and results of operations.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including our Strategic Business Solutions (“WMSBS”) and sustainability businesses, which include landfill gas-to-energy services, Sustainability and Environmental Solutions (“SES”) business and recycling brokerage services. We also offer certain other expanded service offerings and solutions.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advanced billings are included in deferred revenues and recognized as revenue in the period service is provided.</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19 for additional information related to revenue by reportable segment and major lines of business.</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 Acquisition Costs</w:t>
      </w:r>
    </w:p>
    <w:p>
      <w:pPr>
        <w:spacing w:after="0" w:line="23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timing of when we expect to recognize amortization and are included in other assets in our Consolidated Balance Sheets.</w:t>
      </w:r>
    </w:p>
    <w:p>
      <w:pPr>
        <w:spacing w:after="0" w:line="6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December 31, 2022 and 2021, we had $192 million and $175 million of deferred contract costs, respectively, of which $137 million and $126 million, respectively, were related to deferred sales incentives. During each of the years ended December 31, 2022, 2021 and 2020, we amortized $24 million, $23 million and $23 million, respectively, of sales incentives to selling, general and administrative expense.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Long-Term Contracts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Approximately 20% of our total revenue is derived from contracts with a remaining term greater than one year. The consideration for these contracts is primarily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capitalize interest on certain projects under development, including landfill expansion projects, certain assets under construction, including operating landfills and landfill gas-to-energy projects and internal-use software. During 2022, 2021 and 2020, total interest costs were $425 million, $388 million and $473 million, respectively, of which $29 million, $13 million and $16 million was capitalized in 2022, 2021 and 2020, respectively.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is primarily subject to income tax in the U.S. and Canada. Current tax obligations associated with our income tax expense are reflected in the accompanying Consolidated Balance Sheets as a component of accrued liabilities and our deferred tax obligations are reflected in deferred income taxes.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66"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8 for discussion of our income taxes.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w:t>
      </w:r>
    </w:p>
    <w:p>
      <w:pPr>
        <w:sectPr>
          <w:pgSz w:w="11900" w:h="16838" w:orient="portrait"/>
          <w:cols w:equalWidth="0" w:num="1">
            <w:col w:w="9019"/>
          </w:cols>
          <w:pgMar w:left="1440" w:top="611"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of the potential loss or range of loss associated with such contingencies. See Note 10 for discussion of our commitments and contingencies.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include capitalized costs associated with developing or obtaining internal-use software within long-term other assets, and these costs are amortized over the term of the relevant subscription period including any renewal options that are reasonably certain of being exercised. These costs include direct external costs of materials and services used in developing or obtaining the software and internal costs for employees directly associated with the software development project. As of December 31, 2022 and 2021, total costs capitalized for our internal-use software were $45 million and $48 million, respectively, net of accumulated amortization of $27 million and $11 million, respectively. During each of the years ended December 31, 2022, 2021 and 2020, we amortized $16 million, $10 million and $1 million, respectively, to selling, general and administrative expense.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supplemental cash flow information for the year ended December 31 (in millions):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capitalized interest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Income taxes (a)</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jc w:val="both"/>
        <w:ind w:left="380" w:right="79" w:hanging="330"/>
        <w:spacing w:after="0" w:line="286" w:lineRule="auto"/>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increase in income taxes paid in 2022 is primarily due to the increase in pre-tax book income during 2022 and a deposit of approximately $103 million made to the Internal Revenue Service (“IRS”) in the fourth quarter of 2022 related to a disputed tax matter for which we expect to seek a refund. See Note 8 for further discussion.</w:t>
      </w:r>
    </w:p>
    <w:p>
      <w:pPr>
        <w:spacing w:after="0" w:line="16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During 2022, we had $225 million of non-cash financing activities primarily from our federal low-income housing investment and new financing leases. Additionally, we had approximately $135 million of non-cash investing activities related to non-cash consideration transferred as part of our acquisitions in 2022. See Note 17 for further discussion of our 2022 acquisitions. During 2021, we had $30 million of non-cash financing activities from new financing leases. During 2020, we had $50 million of non-cash financing activities primarily related to new financing leases, a portion of which were attributed to our acquisition of Advanced Disposal. Non-cash investing and financing activities are generally excluded from the Consolidated Statements of Cash Flows.</w:t>
      </w:r>
    </w:p>
    <w:p>
      <w:pPr>
        <w:spacing w:after="0" w:line="200" w:lineRule="exact"/>
        <w:rPr>
          <w:sz w:val="20"/>
          <w:szCs w:val="20"/>
          <w:color w:val="auto"/>
        </w:rPr>
      </w:pPr>
    </w:p>
    <w:p>
      <w:pPr>
        <w:ind w:left="360" w:hanging="310"/>
        <w:spacing w:after="0"/>
        <w:tabs>
          <w:tab w:leader="none" w:pos="3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Liabilities for landfill and environmental remediation costs as of December 31 are presented in the table below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08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9"/>
              </w:rPr>
              <w:t>Remediation</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2022 are reflected in the table below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2021, the increase in our landfill liabilities for revisions in estimates and interest rate assumptions was $33 million. The increase in our landfill liabilities in 2022 is primarily due to inflationary cost pressures that are expected to impact costs over the remaining landfill lives.</w:t>
      </w:r>
    </w:p>
    <w:p>
      <w:pPr>
        <w:spacing w:after="0" w:line="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recorded liabilities as of December 31, 2022 include the impacts of inflating certain of these costs based on our expectations of the timing of cash settlement and of discounting certain of these costs to present value. Anticipated payments of currently identified environmental remediation liabilities, as measured in current dollars, are $31 million in 2023, $43 million in 2024, $29 million in 2025, $19 million in 2026, $16 million in 2027 and $76 million thereafter.</w:t>
      </w:r>
    </w:p>
    <w:p>
      <w:pPr>
        <w:spacing w:after="0" w:line="15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December 31 consisted of the following (in millions):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Landfills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17,734</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3,571</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Containers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3,542</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10"/>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34,956</w:t>
            </w: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depreciation of tangible property and equipment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w:t>
            </w: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Less: Accumulated depletion of landfill airspace</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(10,896)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(10,390)</w:t>
            </w:r>
          </w:p>
        </w:tc>
      </w:tr>
      <w:tr>
        <w:trPr>
          <w:trHeight w:val="210"/>
        </w:trPr>
        <w:tc>
          <w:tcPr>
            <w:tcW w:w="6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14,419</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11 for information regarding asset impairments.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Depreciation and depletion expense, including for assets recorded as financing leases, consisted of the following for the year ended December 31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Depletion of landfill airspace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09"/>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depletion expense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5 for information regarding amortization of our intangible assets.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Goodwill was $9,323 million and $9,028 million as of December 31, 2022 and 2021, respectively. The $295 million increase in goodwill during 2022 is primarily related to acquisitions. As discussed in Note 2, we perform our annual impairment test of goodwill balances for our reporting units using a measurement date of October 1. We will also perform interim tests if an impairment indicator exists. See Notes 17 and 19 for additional information related to goodwill.</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other intangible assets consisted of the following as of December 31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Covenants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Licenses,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and Supplier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Not-to-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Permits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320" w:type="dxa"/>
            <w:vAlign w:val="bottom"/>
            <w:gridSpan w:val="3"/>
          </w:tcPr>
          <w:p>
            <w:pPr>
              <w:ind w:left="1480"/>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Compete</w:t>
            </w:r>
          </w:p>
        </w:tc>
        <w:tc>
          <w:tcPr>
            <w:tcW w:w="14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Intangible assets</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amortization</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2021</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Intangible assets</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amortization</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Amortization expense for other intangible assets was $129 million, $143 million and $107 million for 2022, 2021 and 2020, respectively. The decrease in amortization expense in 2022 was primarily due to decreasing amortization under the 150% declining balance approach for intangible assets from the acquisition of Advanced Disposal. Amortization expense for other intangible assets for 2021 increased, as compared with 2020, due to the amortization of acquired intangible assets related to our acquisition of Advanced Disposal. Additional information related to other intangible assets acquired through business combinations is included in Note 17. As of December 31, 2022 and 2021, we had $19 million of licenses, permits and other intangible assets that are not subject to amortization because they do not have stated expirations or have routine, administrative renewal processes. As of December 31, 2022, we expect annual amortization expense related to other intangible assets to be $120 million in 2023, $110 million in 2024, $101 million in 2025, $80 million in 2026 and $75 million in 2027.</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December 31: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182"/>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Commercial paper program (weighted average interest rate of 4.9% as of December 31, 2022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0.4% as of December 31, 2021)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93"/>
              </w:rPr>
              <w:t>Senior notes, maturing through 2050, interest rates ranging from 0.75% to 7.75% (weighted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w w:val="91"/>
              </w:rPr>
              <w:t>average interest rate of 3.2% as of December 31, 2022 and 3.1% as of December 31, 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8,126</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maturing May 2024, interest rate of 5.1% as of December 31, 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9"/>
              </w:rPr>
              <w:t>Canadian senior notes, C$500 million maturing September 2026, interest rate of 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02"/>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Tax-exempt bonds, maturing through 2048, fixed and variable interest rates ranging from</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0.4% to 4.4% (weighted average interest rate of 2.7% as of December 31, 2022 and 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 of December 31, 2021)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90"/>
              </w:rPr>
              <w:t>Financing leases and other, maturing through 2071, weighted average interest rate of 4.7% as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Arial" w:cs="Arial" w:eastAsia="Arial" w:hAnsi="Arial"/>
                <w:sz w:val="18"/>
                <w:szCs w:val="18"/>
                <w:color w:val="auto"/>
              </w:rPr>
              <w:t>of December 31, 2022 and 4.5% as of December 31, 2021) (a)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 discounts and other</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13,405</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10"/>
        </w:trPr>
        <w:tc>
          <w:tcPr>
            <w:tcW w:w="6840" w:type="dxa"/>
            <w:vAlign w:val="bottom"/>
            <w:gridSpan w:val="3"/>
          </w:tcPr>
          <w:p>
            <w:pPr>
              <w:ind w:left="20"/>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2022, we had approximately $3.1 billion of debt maturing within the next 12 months, including</w:t>
      </w:r>
    </w:p>
    <w:p>
      <w:pPr>
        <w:spacing w:after="0" w:line="35" w:lineRule="exact"/>
        <w:rPr>
          <w:sz w:val="20"/>
          <w:szCs w:val="20"/>
          <w:color w:val="auto"/>
        </w:rPr>
      </w:pPr>
    </w:p>
    <w:p>
      <w:pPr>
        <w:ind w:left="300" w:hanging="250"/>
        <w:spacing w:after="0"/>
        <w:tabs>
          <w:tab w:leader="none" w:pos="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$1.7 billion of short-term borrowings under our commercial paper program (net of related discount on issuance);</w:t>
      </w:r>
    </w:p>
    <w:p>
      <w:pPr>
        <w:spacing w:after="0" w:line="20" w:lineRule="exact"/>
        <w:rPr>
          <w:rFonts w:ascii="Arial" w:cs="Arial" w:eastAsia="Arial" w:hAnsi="Arial"/>
          <w:sz w:val="17"/>
          <w:szCs w:val="17"/>
          <w:color w:val="auto"/>
        </w:rPr>
      </w:pPr>
    </w:p>
    <w:p>
      <w:pPr>
        <w:jc w:val="both"/>
        <w:ind w:left="60" w:right="59" w:hanging="10"/>
        <w:spacing w:after="0" w:line="288" w:lineRule="auto"/>
        <w:tabs>
          <w:tab w:leader="none" w:pos="333" w:val="left"/>
        </w:tabs>
        <w:numPr>
          <w:ilvl w:val="0"/>
          <w:numId w:val="68"/>
        </w:numPr>
        <w:rPr>
          <w:rFonts w:ascii="Arial" w:cs="Arial" w:eastAsia="Arial" w:hAnsi="Arial"/>
          <w:sz w:val="16"/>
          <w:szCs w:val="16"/>
          <w:color w:val="auto"/>
        </w:rPr>
      </w:pPr>
      <w:r>
        <w:rPr>
          <w:rFonts w:ascii="Arial" w:cs="Arial" w:eastAsia="Arial" w:hAnsi="Arial"/>
          <w:sz w:val="16"/>
          <w:szCs w:val="16"/>
          <w:color w:val="auto"/>
        </w:rPr>
        <w:t>$725 million of tax-exempt bonds with term interest rate periods that expire within the next 12 months, which is prior to their scheduled maturities; (iii) $500 million of 2.4% senior notes that mature in May 2023 and (iv) $192 million of other debt with scheduled maturities within the next 12 months, including $65 million of tax-exempt bonds. As of December 31, 2022, we have classified $2.7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$414 million of debt maturing in the next 12 months is classified as current obligations.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Commercial Paper Program and Term Loan</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$3.5 Billion Revolving Credit Facility — </w:t>
      </w:r>
      <w:r>
        <w:rPr>
          <w:rFonts w:ascii="Arial" w:cs="Arial" w:eastAsia="Arial" w:hAnsi="Arial"/>
          <w:sz w:val="16"/>
          <w:szCs w:val="16"/>
          <w:color w:val="auto"/>
        </w:rPr>
        <w:t>In May 2022, we amended and restated our $3.5 billion U.S. and Canadian</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facility extending the term through May 2027.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$3.5 billion revolving credit facility provides us with credit capacity to be used for cash borrowings, to support letters of credit or to support our commercial paper program. The interest rates we pay on outstanding U.S. or Canadian loans are based on a secured overnight financing rate administered by the Federal Reserve Bank of New York (“SOFR”) or the Canadian Dollar Offered Rate (“CDOR”), respectively, plus a spread depending on WMI’s senior public debt rating assigned by Moody’s Investors Service, Inc. and Standard and Poor’s Global Ratings. The spread above SOFR or CDOR can range from 0.585% to 1.025% per annum, plus a credit adjustment spread of 0.10% per annum on SOFR-based rates (the “SOFR Credit Adjustment Spread”) to account for the transition from the use of LIBOR to SOFR in such rate calculations. We also pay certain other fees set forth in the $3.5 billion revolving credit facility agreement, including a facility fee based on the aggregate commitment, regardless of usage. As of December 31, 2022, we had no outstanding borrowings under this facility. We had $166 million of letters of credit issued and $1.7 billion of outstanding borrowings (net of related discount on issuance) under our commercial paper program, both supported by the facility, leaving unused and available credit capacity of $1.6 billion as of December 31, 2022.</w:t>
      </w:r>
    </w:p>
    <w:p>
      <w:pPr>
        <w:spacing w:after="0" w:line="17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 397</w:t>
      </w:r>
      <w:r>
        <w:rPr>
          <w:rFonts w:ascii="Arial" w:cs="Arial" w:eastAsia="Arial" w:hAnsi="Arial"/>
          <w:sz w:val="16"/>
          <w:szCs w:val="16"/>
          <w:i w:val="1"/>
          <w:iCs w:val="1"/>
          <w:color w:val="auto"/>
        </w:rPr>
        <w:t xml:space="preserve"> </w:t>
      </w:r>
      <w:r>
        <w:rPr>
          <w:rFonts w:ascii="Arial" w:cs="Arial" w:eastAsia="Arial" w:hAnsi="Arial"/>
          <w:sz w:val="16"/>
          <w:szCs w:val="16"/>
          <w:color w:val="auto"/>
        </w:rPr>
        <w:t>days at competitive interest rates. The rates we pay for outstanding borrowings are based on the term of the notes. The commercial paper program is fully supported by our $3.5 billion revolving credit facility. As of December 31, 2022, we had $1.7 billion of outstanding borrowings (net of related discount on issuance) under our commercial paper program.</w:t>
      </w:r>
    </w:p>
    <w:p>
      <w:pPr>
        <w:spacing w:after="0" w:line="15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$1.0 Billion, Two-Year, Term Credit Agreement </w:t>
      </w:r>
      <w:r>
        <w:rPr>
          <w:rFonts w:ascii="Arial" w:cs="Arial" w:eastAsia="Arial" w:hAnsi="Arial"/>
          <w:sz w:val="16"/>
          <w:szCs w:val="16"/>
          <w:color w:val="auto"/>
        </w:rPr>
        <w:t>— In May 2022, we entered into a $1.0 billion, two-year, U.S. term</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(“Term Loan”) maturing May 2024 to be used for general corporate purposes. The interest rate we pay on our outstanding balance is generally based on SOFR, plus a spread depending on WMI’s senior public debt rating assigned by Moody’s Investors Service, Inc. and Standard and Poor’s Global Ratings. The spread above SOFR can range from 0.50% to 0.90% per annum, plus the SOFR Credit Adjustment Spread. As of December 31, 2022, we had $1.0 billion of outstanding borrowings under our Term Loan. WM Holdings also guarantees all of the obligations under the Term Loan.</w:t>
      </w:r>
    </w:p>
    <w:p>
      <w:pPr>
        <w:spacing w:after="0" w:line="16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December 31, 2022, we had utilized $800 million of other uncommitted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lines with terms extending through April 2024.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year ended December 31, 2022 we made cash repayments of $6.7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partially offset by $6.6 billion of cash borrowings (net of related discount on issuance).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Term Loan </w:t>
      </w:r>
      <w:r>
        <w:rPr>
          <w:rFonts w:ascii="Arial" w:cs="Arial" w:eastAsia="Arial" w:hAnsi="Arial"/>
          <w:sz w:val="18"/>
          <w:szCs w:val="18"/>
          <w:color w:val="auto"/>
        </w:rPr>
        <w:t>— In May 2022, we borrowed $1.0 billion under our Term Loan for general corporate purposes.</w:t>
      </w:r>
    </w:p>
    <w:p>
      <w:pPr>
        <w:spacing w:after="0" w:line="225" w:lineRule="exact"/>
        <w:rPr>
          <w:sz w:val="20"/>
          <w:szCs w:val="20"/>
          <w:color w:val="auto"/>
        </w:rPr>
      </w:pPr>
    </w:p>
    <w:p>
      <w:pPr>
        <w:jc w:val="both"/>
        <w:ind w:left="60" w:right="59" w:firstLine="324"/>
        <w:spacing w:after="0" w:line="249"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May 2022, WMI issued $1.0 billion of 4.15% senior notes due April 15, 2032, the net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$992 million. We used the net proceeds to redeem our $500 million of 2.9% senior notes due September 2022 in advance of their scheduled maturity, to repay a portion of outstanding borrowings under our commercial paper program and for general corporate purposes.</w:t>
      </w:r>
    </w:p>
    <w:p>
      <w:pPr>
        <w:spacing w:after="0" w:line="16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We issued $100 million of tax-exempt bonds in 2022. The proceeds from the issuance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bonds were deposited directly into a restricted trust fund and may only be used for the specific purpose for which the money was raised, which is generally to finance expenditures for solid waste disposal facility, material recovery facility and renewable natural gas facility construction and development. In 2022, we also repaid $71 million of our tax-exempt bonds with available cash at their scheduled maturities.</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Financing Leases and Other — </w:t>
      </w:r>
      <w:r>
        <w:rPr>
          <w:rFonts w:ascii="Arial" w:cs="Arial" w:eastAsia="Arial" w:hAnsi="Arial"/>
          <w:sz w:val="18"/>
          <w:szCs w:val="18"/>
          <w:color w:val="auto"/>
        </w:rPr>
        <w:t>The increase in our financing leases and other debt obligations in 2022 is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a note payable associated with our federal low-income housing investment discussed in Note 8, which increased our debt obligations by $183 million. The increase in our debt obligations was partially offset by $93 million of cash repayments of debt at maturity.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Scheduled Debt Payments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Principal payments of our debt for the next five years and thereafter, based on scheduled maturities are as follows: $2,423 million in 2023, $1,290 million in 2024, $1,324 million in 2025, $673 million in 2026, $1,163 million in 2027 and $8,275 million thereafter. Our recorded debt and financing lease obligations include non-cash adjustments associated with debt issuance costs, discounts and fair value adjustments attributable to terminated interest rate derivatives, which have been excluded from these amounts because they will not result in cash payments. As discussed above, we have the intent and ability to refinance certain 2023 scheduled maturities on a long-term basis, including our $500 million of 2.4% senior notes that mature in May 2023. See Note 7 below for further discussion of our financing lease arrangements.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debt balances are generally unsecured, except for financing lease obligations and the notes payable associated with our investments in low-income housing properties. See Notes 8 and 18 for additional information related to these investments.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terms of certain of our financing arrangements require that we comply with financial and other covenants. Our most restrictive financial covenant is the one contained in both our $3.5 billion revolving credit facility and Term Loan, which sets forth a maximum total debt to consolidated earnings before interest, taxes, depreciation, depletion and amortization ratio (the “Leverage Ratio”). This covenant requires that the Leverage Ratio for the preceding four fiscal quarters will not be more than 3.75 to 1, provided that if an acquisition permitted under the $3.5 billion revolving credit facility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$3.5 billion revolving credit facility, and the Leverage Ratio must return to 3.75 to 1 for at least one fiscal quarter between Elevated Leverage Ratio Periods. The calculation of all components used in the Leverage Ratio covenant are as defined in the $3.5 billion revolving credit facility. As of December 31, 2022 and 2021, we were in compliance with our Leverage Ratio covenant.</w:t>
      </w:r>
    </w:p>
    <w:p>
      <w:pPr>
        <w:spacing w:after="0" w:line="17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$3.5 billion revolving credit facility, Term Loan,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2022 and 2021, we were in compliance with all covenants and restrictions under our financing arrangements, in addition to our Leverage Ratio covenant, that may have a material effect on our Consolidated Financial Statements.</w:t>
      </w:r>
    </w:p>
    <w:p>
      <w:pPr>
        <w:spacing w:after="0" w:line="162" w:lineRule="exact"/>
        <w:rPr>
          <w:sz w:val="20"/>
          <w:szCs w:val="20"/>
          <w:color w:val="auto"/>
        </w:rPr>
      </w:pPr>
    </w:p>
    <w:p>
      <w:pPr>
        <w:ind w:left="360" w:hanging="310"/>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operating lease activities primarily consist of leases for real estate, landfills (refer to Note 2 for further detail)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generally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balance sheet information for our leases as of December 31 is as follows (in millions):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80" w:type="dxa"/>
            <w:vAlign w:val="bottom"/>
            <w:gridSpan w:val="2"/>
          </w:tcPr>
          <w:p>
            <w:pPr>
              <w:ind w:left="900"/>
              <w:spacing w:after="0"/>
              <w:rPr>
                <w:sz w:val="20"/>
                <w:szCs w:val="20"/>
                <w:color w:val="auto"/>
              </w:rPr>
            </w:pPr>
            <w:r>
              <w:rPr>
                <w:rFonts w:ascii="Arial" w:cs="Arial" w:eastAsia="Arial" w:hAnsi="Arial"/>
                <w:sz w:val="14"/>
                <w:szCs w:val="14"/>
                <w:b w:val="1"/>
                <w:bCs w:val="1"/>
                <w:color w:val="auto"/>
              </w:rPr>
              <w:t>Leases</w:t>
            </w:r>
          </w:p>
        </w:tc>
        <w:tc>
          <w:tcPr>
            <w:tcW w:w="3840" w:type="dxa"/>
            <w:vAlign w:val="bottom"/>
            <w:gridSpan w:val="2"/>
          </w:tcPr>
          <w:p>
            <w:pPr>
              <w:ind w:left="1360"/>
              <w:spacing w:after="0"/>
              <w:rPr>
                <w:sz w:val="20"/>
                <w:szCs w:val="20"/>
                <w:color w:val="auto"/>
              </w:rPr>
            </w:pPr>
            <w:r>
              <w:rPr>
                <w:rFonts w:ascii="Arial" w:cs="Arial" w:eastAsia="Arial" w:hAnsi="Arial"/>
                <w:sz w:val="14"/>
                <w:szCs w:val="14"/>
                <w:b w:val="1"/>
                <w:bCs w:val="1"/>
                <w:color w:val="auto"/>
              </w:rPr>
              <w:t>Classification</w:t>
            </w:r>
          </w:p>
        </w:tc>
        <w:tc>
          <w:tcPr>
            <w:tcW w:w="26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09"/>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Long-term:</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02"/>
        </w:trPr>
        <w:tc>
          <w:tcPr>
            <w:tcW w:w="24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Financing</w:t>
            </w:r>
          </w:p>
        </w:tc>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Property and equipment, net of 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depletion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09"/>
        </w:trPr>
        <w:tc>
          <w:tcPr>
            <w:tcW w:w="2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assets</w:t>
            </w:r>
          </w:p>
        </w:tc>
        <w:tc>
          <w:tcPr>
            <w:tcW w:w="3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0"/>
        </w:trPr>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2480" w:type="dxa"/>
            <w:vAlign w:val="bottom"/>
            <w:gridSpan w:val="2"/>
          </w:tcPr>
          <w:p>
            <w:pPr>
              <w:ind w:left="120"/>
              <w:spacing w:after="0"/>
              <w:rPr>
                <w:sz w:val="20"/>
                <w:szCs w:val="20"/>
                <w:color w:val="auto"/>
              </w:rPr>
            </w:pPr>
            <w:r>
              <w:rPr>
                <w:rFonts w:ascii="Arial" w:cs="Arial" w:eastAsia="Arial" w:hAnsi="Arial"/>
                <w:sz w:val="18"/>
                <w:szCs w:val="18"/>
                <w:color w:val="auto"/>
              </w:rPr>
              <w:t>Financing</w:t>
            </w:r>
          </w:p>
        </w:tc>
        <w:tc>
          <w:tcPr>
            <w:tcW w:w="38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48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38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2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Financing</w:t>
            </w: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10"/>
        </w:trPr>
        <w:tc>
          <w:tcPr>
            <w:tcW w:w="248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r>
      <w:tr>
        <w:trPr>
          <w:trHeight w:val="20"/>
        </w:trPr>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Operating lease expense was $183 million, $155 million and $140 million during 2022, 2021 and 2020, respectively, and is included in operating and selling, general and administrative expenses in our Consolidated Statements of Operations. Financing lease expense was $55 million, $58 million and $51 million during 2022, 2021 and 2020, respectively, and is included in depreciation, depletion and amortization expense and interest expense, net in our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Minimum contractual obligations for our leases (undiscounted) as of December 31, 2022 are as follows (in millions):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Financing</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320" w:type="dxa"/>
            <w:vAlign w:val="bottom"/>
            <w:shd w:val="clear" w:color="auto" w:fill="CCEEFF"/>
          </w:tcPr>
          <w:p>
            <w:pPr>
              <w:jc w:val="right"/>
              <w:ind w:right="113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2024</w:t>
            </w:r>
          </w:p>
        </w:tc>
        <w:tc>
          <w:tcPr>
            <w:tcW w:w="1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2026</w:t>
            </w:r>
          </w:p>
        </w:tc>
        <w:tc>
          <w:tcPr>
            <w:tcW w:w="1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0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undiscounted lease payments</w:t>
            </w:r>
          </w:p>
        </w:tc>
        <w:tc>
          <w:tcPr>
            <w:tcW w:w="1320" w:type="dxa"/>
            <w:vAlign w:val="bottom"/>
            <w:shd w:val="clear" w:color="auto" w:fill="CCEEFF"/>
          </w:tcPr>
          <w:p>
            <w:pPr>
              <w:jc w:val="right"/>
              <w:ind w:right="113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3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(190)</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Discounted lease liabilities</w:t>
            </w:r>
          </w:p>
        </w:tc>
        <w:tc>
          <w:tcPr>
            <w:tcW w:w="1320" w:type="dxa"/>
            <w:vAlign w:val="bottom"/>
            <w:tcBorders>
              <w:top w:val="single" w:sz="8" w:color="auto"/>
              <w:bottom w:val="single" w:sz="8" w:color="auto"/>
            </w:tcBorders>
            <w:shd w:val="clear" w:color="auto" w:fill="CCEEFF"/>
          </w:tcPr>
          <w:p>
            <w:pPr>
              <w:jc w:val="right"/>
              <w:ind w:right="11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5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As of December 31, 2022, we entered into operating and financing leases, primarily for real estate and equipment, that have not yet commenced and therefore are not reflected in the table above, with future lease payments of $52 million and $50 million, respectively. These leases commence through 2024 and have non-cancelable lease terms up to 17 years.</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Cash paid during 2022 for our operating and financing leases was $76 million and $56 million, respectively. During 2022, right-of-use assets obtained in exchange for lease obligations for our operating and financing leases were $69 million and $33 million, respectively. Cash paid during 2021 for our operating and financing leases was $70 million and $64 million, respectively. During 2021, right-of-use assets obtained in exchange for lease obligations for our operating and financing leases were $69 million and $36 million, respectively.</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As of December 31, 2022, the weighted average remaining lease terms of our operating and financing leases were approximately 19 years and 11 years, respectively. The weighted average discount rates used to determine the lease liabilities as of December 31, 2022 for our operating and financing leases were approximately 3.0% and 4.0%, respectively.</w:t>
      </w:r>
    </w:p>
    <w:p>
      <w:pPr>
        <w:spacing w:after="0" w:line="172" w:lineRule="exact"/>
        <w:rPr>
          <w:sz w:val="20"/>
          <w:szCs w:val="20"/>
          <w:color w:val="auto"/>
        </w:rPr>
      </w:pPr>
    </w:p>
    <w:p>
      <w:pPr>
        <w:ind w:left="360" w:hanging="310"/>
        <w:spacing w:after="0"/>
        <w:tabs>
          <w:tab w:leader="none" w:pos="3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income tax expense consisted of the following for the year ended December 31 (in millions):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Federal</w:t>
            </w:r>
          </w:p>
        </w:tc>
        <w:tc>
          <w:tcPr>
            <w:tcW w:w="3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456</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436</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w:t>
            </w:r>
          </w:p>
        </w:tc>
        <w:tc>
          <w:tcPr>
            <w:tcW w:w="3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Deferred:</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State</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3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340" w:type="dxa"/>
            <w:vAlign w:val="bottom"/>
            <w:vMerge w:val="restart"/>
          </w:tcPr>
          <w:p>
            <w:pPr>
              <w:jc w:val="right"/>
              <w:ind w:right="1590"/>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U.S. federal statutory income tax rate is reconciled to the effective income tax rate for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680" w:type="dxa"/>
            <w:vAlign w:val="bottom"/>
          </w:tcPr>
          <w:p>
            <w:pPr>
              <w:jc w:val="right"/>
              <w:spacing w:after="0"/>
              <w:rPr>
                <w:sz w:val="20"/>
                <w:szCs w:val="20"/>
                <w:color w:val="auto"/>
              </w:rPr>
            </w:pPr>
            <w:r>
              <w:rPr>
                <w:rFonts w:ascii="Arial" w:cs="Arial" w:eastAsia="Arial" w:hAnsi="Arial"/>
                <w:sz w:val="18"/>
                <w:szCs w:val="18"/>
                <w:color w:val="auto"/>
              </w:rPr>
              <w:t>4.16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680" w:type="dxa"/>
            <w:vAlign w:val="bottom"/>
          </w:tcPr>
          <w:p>
            <w:pPr>
              <w:jc w:val="right"/>
              <w:spacing w:after="0"/>
              <w:rPr>
                <w:sz w:val="20"/>
                <w:szCs w:val="20"/>
                <w:color w:val="auto"/>
              </w:rPr>
            </w:pPr>
            <w:r>
              <w:rPr>
                <w:rFonts w:ascii="Arial" w:cs="Arial" w:eastAsia="Arial" w:hAnsi="Arial"/>
                <w:sz w:val="18"/>
                <w:szCs w:val="18"/>
                <w:color w:val="auto"/>
              </w:rPr>
              <w:t>0.54</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0.53</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 impact of equity-based compensation transactions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Tax impact of impairments</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(0.29)</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 rate differential on foreign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Borders>
              <w:bottom w:val="single" w:sz="8" w:color="CCEEFF"/>
            </w:tcBorders>
          </w:tcPr>
          <w:p>
            <w:pPr>
              <w:spacing w:after="0"/>
              <w:rPr>
                <w:sz w:val="18"/>
                <w:szCs w:val="18"/>
                <w:color w:val="auto"/>
              </w:rPr>
            </w:pPr>
          </w:p>
        </w:tc>
      </w:tr>
      <w:tr>
        <w:trPr>
          <w:trHeight w:val="209"/>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Effective income tax rate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comparability of our income tax expense for the reported periods has been primarily affected by (i) variations in our income before income taxes; (ii) federal tax credits; (iii) excess tax benefits associated with equity-based compensation transactions; (iv) the realization of state net operating losses and credits; (v) tax audit settlements; (vi) adjustments to our accruals and deferred taxes; (vii) the tax implications of divestitures and (viii) non-deductible transaction costs.</w:t>
      </w:r>
    </w:p>
    <w:p>
      <w:pPr>
        <w:spacing w:after="0" w:line="15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For financial reporting purposes, income before income taxes by source for the year ended December 31 was as follows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16"/>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Investments Qualifying for Federal Tax Credits — </w:t>
      </w:r>
      <w:r>
        <w:rPr>
          <w:rFonts w:ascii="Arial" w:cs="Arial" w:eastAsia="Arial" w:hAnsi="Arial"/>
          <w:sz w:val="16"/>
          <w:szCs w:val="16"/>
          <w:color w:val="auto"/>
        </w:rPr>
        <w:t>We have significant financial interests in entities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low-income housing properties. In February 2022, we acquired an additional noncontrolling interest in a limited liability company established to invest in and manage low-income housing properties. Total consideration for this investment is expected to be $253 million, comprised of a $183 million note payable, an initial cash payment of $28 million and $42 million of interest payments expected to be paid over the life of the investment. At the time of the investment, we increased our investments in unconsolidated entities in our Consolidated Balance Sheet by $211 million, representing the principal balance of the note and the initial cash investment. We support the operations of these entities in exchange for a pro-rata share of the tax credits they generate. The low-income housing investments qualify for federal tax credits that we expect to realize through 2033 under Section 42 or Section 45D of the Internal Revenue Code. We also held a residual financial interest in an entity that owned a refined coal facility that qualified for federal tax credits under Section 45 of the Internal Revenue Code through 2019. The entity sold the majority of its assets in the first quarter of 2020, which resulted in a $7 million non-cash impairment of our investment at that time.</w:t>
      </w:r>
    </w:p>
    <w:p>
      <w:pPr>
        <w:spacing w:after="0" w:line="16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Consolidated Statements of Operations. During the years ended December 31, 2022, 2021 and 2020, we recognized net losses of $65 million, $51 million and $73 million (including the $7 million impairment of the refined coal facility noted above), respectively, and a reduction in our income tax expense of $99 million, $74 million and $87 million, respectively, due to tax credits realized from these investments as well as the tax benefits from the pre-tax losses realized. In addition, during the years ended December 31, 2022, 2021 and 2020, we recognized interest expense of $14 million, $9 million and $11 million, respectively, associated with our investments in low-income housing properties. See Note 18 for additional information related to these unconsolidated variable interest entities.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2022, 2021 and 2020, we recognized a reduction in our income tax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$18 million and $27 million, respectively, for excess tax benefits related to the vesting or exercise of equity-based compensation awards.</w:t>
      </w:r>
    </w:p>
    <w:p>
      <w:pPr>
        <w:spacing w:after="0" w:line="18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State Net Operating Losses and Credits — </w:t>
      </w:r>
      <w:r>
        <w:rPr>
          <w:rFonts w:ascii="Arial" w:cs="Arial" w:eastAsia="Arial" w:hAnsi="Arial"/>
          <w:sz w:val="16"/>
          <w:szCs w:val="16"/>
          <w:color w:val="auto"/>
        </w:rPr>
        <w:t>During 2022, 2021 and 2020, we recognized state net operating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credits resulting in a reduction in our income tax expense of $8 million, $15 million and $12 million, respectively.</w:t>
      </w:r>
    </w:p>
    <w:p>
      <w:pPr>
        <w:spacing w:after="0" w:line="12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Tax Audit Settlements — </w:t>
      </w:r>
      <w:r>
        <w:rPr>
          <w:rFonts w:ascii="Arial" w:cs="Arial" w:eastAsia="Arial" w:hAnsi="Arial"/>
          <w:sz w:val="18"/>
          <w:szCs w:val="18"/>
          <w:color w:val="auto"/>
        </w:rPr>
        <w:t>We file income tax returns in the U.S. and Canada, as well as other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We are currently under audit by various taxing authorities, as discussed below, and our audits are in various stages of completion. During the reported periods, we settled various tax audits which resulted in a reduction in our income tax expense of $6 million, $13 million and $10 million for the years ended December 31, 2022, 2021 and 2020, respectively.</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December 31, 2022, the IRS deposit, net of reserve for uncertain tax positions, is classified as a component of other long-term assets in the Company’s Consolidated Balance Sheet.</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addition, we are in the examination phase of an IRS audit for the 2022 tax year and expect the audit to be completed within the next 18 months. We are also currently undergoing audits by various state and local jurisdictions for tax years that date back to 2014.</w:t>
      </w:r>
    </w:p>
    <w:p>
      <w:pPr>
        <w:spacing w:after="0" w:line="184"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i w:val="1"/>
          <w:iCs w:val="1"/>
          <w:color w:val="auto"/>
        </w:rPr>
        <w:t xml:space="preserve">Adjustments to Accruals and Related Deferred Taxes </w:t>
      </w:r>
      <w:r>
        <w:rPr>
          <w:rFonts w:ascii="Arial" w:cs="Arial" w:eastAsia="Arial" w:hAnsi="Arial"/>
          <w:sz w:val="18"/>
          <w:szCs w:val="18"/>
          <w:color w:val="auto"/>
        </w:rPr>
        <w:t>— Adjustments to our accruals and related deferred taxes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filing of our income tax returns, analysis of our deferred tax balances and uncertain tax positions, and changes in state and foreign laws resulted in an increase in our income tax expense of $1 million and $17 million for the years ended December 31, 2022 and 2021, respectively, and a reduction in our income tax expense of $3 million for the year ended December 31, 2020.</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Tax Implications of Divestitures </w:t>
      </w:r>
      <w:r>
        <w:rPr>
          <w:rFonts w:ascii="Arial" w:cs="Arial" w:eastAsia="Arial" w:hAnsi="Arial"/>
          <w:sz w:val="18"/>
          <w:szCs w:val="18"/>
          <w:color w:val="auto"/>
        </w:rPr>
        <w:t>— During 2021, we recognized a pre-tax gain from the recognition of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 adjustments on the divestiture of certain non-strategic Canadian operations. This gain was not taxable, which benefited our effective income tax rate for the year ended December 31, 2021.</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Non-Deductible Transaction Costs </w:t>
      </w:r>
      <w:r>
        <w:rPr>
          <w:rFonts w:ascii="Arial" w:cs="Arial" w:eastAsia="Arial" w:hAnsi="Arial"/>
          <w:sz w:val="18"/>
          <w:szCs w:val="18"/>
          <w:color w:val="auto"/>
        </w:rPr>
        <w:t>— During 2020, we recognized the detrimental tax impact of $27 million of non-deductible transaction costs related to our acquisition of Advanced Disposal. The tax rules require the capitalization of certain facilitative costs on the acquisition of stock of a company resulting in the applicable costs not being deductible for tax purposes.</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Tax Legislation </w:t>
      </w:r>
      <w:r>
        <w:rPr>
          <w:rFonts w:ascii="Arial" w:cs="Arial" w:eastAsia="Arial" w:hAnsi="Arial"/>
          <w:sz w:val="17"/>
          <w:szCs w:val="17"/>
          <w:color w:val="auto"/>
        </w:rPr>
        <w:t>— The Inflation Reduction Act of 2022 (“IRA”) was signed into law by President Biden on</w:t>
      </w:r>
      <w:r>
        <w:rPr>
          <w:rFonts w:ascii="Arial" w:cs="Arial" w:eastAsia="Arial" w:hAnsi="Arial"/>
          <w:sz w:val="17"/>
          <w:szCs w:val="17"/>
          <w:i w:val="1"/>
          <w:iCs w:val="1"/>
          <w:color w:val="auto"/>
        </w:rPr>
        <w:t xml:space="preserve"> </w:t>
      </w:r>
      <w:r>
        <w:rPr>
          <w:rFonts w:ascii="Arial" w:cs="Arial" w:eastAsia="Arial" w:hAnsi="Arial"/>
          <w:sz w:val="17"/>
          <w:szCs w:val="17"/>
          <w:color w:val="auto"/>
        </w:rPr>
        <w:t>August 16, 2022 and contains a number of tax-related provisions. The provisions of the IRA related to alternative fuel tax credits secure approximately $55 million of annual pre-tax benefit (to be recorded as a reduction in our operating expense) from tax credits through 2024. Additionally, we will incur an excise tax of 1% for future common stock repurchases, which will be reflected in the cost of purchasing the underlying shares as a component of treasury stock. The IRA contains a number of additional provisions related to tax incentives for investments in renewable energy production, carbon capture, and other climate actions, as well as the overall measurement of corporate income taxes. We are in the process of evaluating the IRA and identifying all potential impacts that may be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Unremitted Earnings in Foreign Subsidiaries — </w:t>
      </w:r>
      <w:r>
        <w:rPr>
          <w:rFonts w:ascii="Arial" w:cs="Arial" w:eastAsia="Arial" w:hAnsi="Arial"/>
          <w:sz w:val="18"/>
          <w:szCs w:val="18"/>
          <w:color w:val="auto"/>
        </w:rPr>
        <w:t>In the third quarter of 2020, we modified our permanent reinvestment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assertion and began providing additional income taxes for the undistributed current year earnings of our foreign subsidiaries. No additional income taxes have been provided for any remaining undistributed foreign earnings prior to 2020 not subject to the one-time, mandatory transition tax, or any additional outside basis difference, as these amounts continue to be indefinitely reinvested in foreign operations.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net deferred tax liabilities as of December 31 are as follows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Net operating loss, capital loss and tax credit carry-forwards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Landfill and environmental remediation liabilities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Miscellaneous and other reserves, net</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5760" w:type="dxa"/>
            <w:vAlign w:val="bottom"/>
          </w:tcPr>
          <w:p>
            <w:pPr>
              <w:ind w:left="320"/>
              <w:spacing w:after="0"/>
              <w:rPr>
                <w:sz w:val="20"/>
                <w:szCs w:val="20"/>
                <w:color w:val="auto"/>
              </w:rPr>
            </w:pPr>
            <w:r>
              <w:rPr>
                <w:rFonts w:ascii="Arial" w:cs="Arial" w:eastAsia="Arial" w:hAnsi="Arial"/>
                <w:sz w:val="18"/>
                <w:szCs w:val="18"/>
                <w:color w:val="auto"/>
              </w:rPr>
              <w:t>Subtotal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Goodwill and other intangibles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5760" w:type="dxa"/>
            <w:vAlign w:val="bottom"/>
          </w:tcPr>
          <w:p>
            <w:pPr>
              <w:ind w:left="320"/>
              <w:spacing w:after="0"/>
              <w:rPr>
                <w:sz w:val="20"/>
                <w:szCs w:val="20"/>
                <w:color w:val="auto"/>
              </w:rPr>
            </w:pPr>
            <w:r>
              <w:rPr>
                <w:rFonts w:ascii="Arial" w:cs="Arial" w:eastAsia="Arial" w:hAnsi="Arial"/>
                <w:sz w:val="18"/>
                <w:szCs w:val="18"/>
                <w:color w:val="auto"/>
              </w:rPr>
              <w:t>Net deferred tax liabilities</w:t>
            </w:r>
          </w:p>
        </w:tc>
        <w:tc>
          <w:tcPr>
            <w:tcW w:w="1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r>
      <w:tr>
        <w:trPr>
          <w:trHeight w:val="20"/>
        </w:trPr>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December 31, 2022, we had $6 million of federal net operating loss carry-forwards with expiration dates through 2026 and $2.5 billion of state net operating loss carry-forwards with expiration dates through 2042. We also had $27 million of federal capital loss carry-forwards with expiration dates through 2026, $39 million of foreign tax credit carry-forwards with expiration dates through 2032 and $8 million of state tax credit carry-forwards with expiration dates through 2038.</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reconciliation of the beginning and ending amount of gross unrecognized tax benefits, including accrued interest, is as follows (in millions):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based on tax positions of prior years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Lapse of statute of limitations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These liabilities are included as a component of other long-term liabilities or as an offset to other long-term assets in our Consolidated Balance Sheets because the Company does not anticipate that settlement of the liabilities will require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payment of cash within the next 12 months. As of December 31, 2022, we had $53 million of net unrecognized tax benefits that, if recognized in future periods, would impact our effective income tax rate.</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recognize interest expense related to unrecognized tax benefits in our income tax expense, which was not material for the reported periods. We did not have any material accrued liabilities or expense for penalties related to unrecognized tax benefits for the reported periods.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Employee Benefit Plans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Defined Contribution Plans — </w:t>
      </w:r>
      <w:r>
        <w:rPr>
          <w:rFonts w:ascii="Arial" w:cs="Arial" w:eastAsia="Arial" w:hAnsi="Arial"/>
          <w:sz w:val="17"/>
          <w:szCs w:val="17"/>
          <w:color w:val="auto"/>
        </w:rPr>
        <w:t>Waste Management sponsors a 401(k) retirement savings plan that covers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Certain U.S. employees who are subject to collective bargaining agreements may participate in the 401(k) retirement savings plan under terms specified in their collective bargaining agreement. Certain employees outside the U.S., including those in Canada, participate in defined contribution plans maintained by the Company in compliance with laws of the appropriate jurisdiction. Charges to operating and selling, general and administrative expenses for our defined contribution plans totaled $112 million, $104 million and $92 million for the years ended December 31, 2022, 2021 and 2020, respectively.</w:t>
      </w:r>
    </w:p>
    <w:p>
      <w:pPr>
        <w:spacing w:after="0" w:line="18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Defined Benefit Plans (other than multiemployer defined benefit pension plans discussed below) — </w:t>
      </w:r>
      <w:r>
        <w:rPr>
          <w:rFonts w:ascii="Arial" w:cs="Arial" w:eastAsia="Arial" w:hAnsi="Arial"/>
          <w:sz w:val="17"/>
          <w:szCs w:val="17"/>
          <w:color w:val="auto"/>
        </w:rPr>
        <w:t>WM 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2022, the combined benefit obligation of these pension plans was $117 million supported by $113 million of combined plan assets, resulting in an aggregate unfunded benefit obligation for these plans of $4 million. As of December 31, 2021, the combined benefit obligation of these pension plans was $150 million supported by $150 million of combined plan assets.</w:t>
      </w:r>
    </w:p>
    <w:p>
      <w:pPr>
        <w:spacing w:after="0" w:line="17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$8 million and $12 million as of December 31, 2022 and 2021, respectively.</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accrued benefit liabilities for our defined benefit pension and other post-retirement plans are included as components of accrued liabilities and long-term other liabilities in our Consolidated Balance Sheets.</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We are a participating employer in a number of trustee-managed</w:t>
      </w:r>
      <w:r>
        <w:rPr>
          <w:rFonts w:ascii="Arial" w:cs="Arial" w:eastAsia="Arial" w:hAnsi="Arial"/>
          <w:sz w:val="16"/>
          <w:szCs w:val="16"/>
          <w:i w:val="1"/>
          <w:iCs w:val="1"/>
          <w:color w:val="auto"/>
        </w:rPr>
        <w:t xml:space="preserve"> </w:t>
      </w:r>
      <w:r>
        <w:rPr>
          <w:rFonts w:ascii="Arial" w:cs="Arial" w:eastAsia="Arial" w:hAnsi="Arial"/>
          <w:sz w:val="16"/>
          <w:szCs w:val="16"/>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pay those plans a withdrawal amount based on the underfunded status of the plan. The following table outlines our participation in Multiemployer Pension Plans considered to be individually significant (dollars in millions):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Expiration Date</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Pension Protection Act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Company</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98"/>
              </w:rPr>
              <w:t>of Collective</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EIN/Pension Plan</w:t>
            </w:r>
          </w:p>
        </w:tc>
        <w:tc>
          <w:tcPr>
            <w:tcW w:w="15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Reported Status(a)</w:t>
            </w:r>
          </w:p>
        </w:tc>
        <w:tc>
          <w:tcPr>
            <w:tcW w:w="90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rPr>
              <w:t>FIP/RP</w:t>
            </w:r>
          </w:p>
        </w:tc>
        <w:tc>
          <w:tcPr>
            <w:tcW w:w="420" w:type="dxa"/>
            <w:vAlign w:val="bottom"/>
          </w:tcPr>
          <w:p>
            <w:pPr>
              <w:spacing w:after="0"/>
              <w:rPr>
                <w:sz w:val="13"/>
                <w:szCs w:val="13"/>
                <w:color w:val="auto"/>
              </w:rPr>
            </w:pPr>
          </w:p>
        </w:tc>
        <w:tc>
          <w:tcPr>
            <w:tcW w:w="800" w:type="dxa"/>
            <w:vAlign w:val="bottom"/>
            <w:gridSpan w:val="4"/>
          </w:tcPr>
          <w:p>
            <w:pPr>
              <w:ind w:left="40"/>
              <w:spacing w:after="0"/>
              <w:rPr>
                <w:sz w:val="20"/>
                <w:szCs w:val="20"/>
                <w:color w:val="auto"/>
              </w:rPr>
            </w:pPr>
            <w:r>
              <w:rPr>
                <w:rFonts w:ascii="Arial" w:cs="Arial" w:eastAsia="Arial" w:hAnsi="Arial"/>
                <w:sz w:val="13"/>
                <w:szCs w:val="13"/>
                <w:b w:val="1"/>
                <w:bCs w:val="1"/>
                <w:color w:val="auto"/>
                <w:w w:val="86"/>
              </w:rPr>
              <w:t>Contributions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8"/>
              </w:rPr>
              <w:t>Bargaining</w:t>
            </w:r>
          </w:p>
        </w:tc>
        <w:tc>
          <w:tcPr>
            <w:tcW w:w="0" w:type="dxa"/>
            <w:vAlign w:val="bottom"/>
          </w:tcPr>
          <w:p>
            <w:pPr>
              <w:spacing w:after="0"/>
              <w:rPr>
                <w:sz w:val="1"/>
                <w:szCs w:val="1"/>
                <w:color w:val="auto"/>
              </w:rPr>
            </w:pPr>
          </w:p>
        </w:tc>
      </w:tr>
      <w:tr>
        <w:trPr>
          <w:trHeight w:val="128"/>
        </w:trPr>
        <w:tc>
          <w:tcPr>
            <w:tcW w:w="26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Pension Fund</w:t>
            </w:r>
          </w:p>
        </w:tc>
        <w:tc>
          <w:tcPr>
            <w:tcW w:w="1100" w:type="dxa"/>
            <w:vAlign w:val="bottom"/>
            <w:gridSpan w:val="2"/>
          </w:tcPr>
          <w:p>
            <w:pPr>
              <w:ind w:left="260"/>
              <w:spacing w:after="0" w:line="129" w:lineRule="exact"/>
              <w:rPr>
                <w:sz w:val="20"/>
                <w:szCs w:val="20"/>
                <w:color w:val="auto"/>
              </w:rPr>
            </w:pPr>
            <w:r>
              <w:rPr>
                <w:rFonts w:ascii="Arial" w:cs="Arial" w:eastAsia="Arial" w:hAnsi="Arial"/>
                <w:sz w:val="13"/>
                <w:szCs w:val="13"/>
                <w:b w:val="1"/>
                <w:bCs w:val="1"/>
                <w:color w:val="auto"/>
              </w:rPr>
              <w:t>Number</w:t>
            </w:r>
          </w:p>
        </w:tc>
        <w:tc>
          <w:tcPr>
            <w:tcW w:w="6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5"/>
              </w:rPr>
              <w:t>Status(b)(c)</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6"/>
              </w:rPr>
              <w:t>2022</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2021</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Agreement(s)</w:t>
            </w:r>
          </w:p>
        </w:tc>
        <w:tc>
          <w:tcPr>
            <w:tcW w:w="0" w:type="dxa"/>
            <w:vAlign w:val="bottom"/>
          </w:tcPr>
          <w:p>
            <w:pPr>
              <w:spacing w:after="0"/>
              <w:rPr>
                <w:sz w:val="1"/>
                <w:szCs w:val="1"/>
                <w:color w:val="auto"/>
              </w:rPr>
            </w:pPr>
          </w:p>
        </w:tc>
      </w:tr>
      <w:tr>
        <w:trPr>
          <w:trHeight w:val="114"/>
        </w:trPr>
        <w:tc>
          <w:tcPr>
            <w:tcW w:w="250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rPr>
              <w:t>Automotive Industries Pension Plan</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4"/>
              </w:rPr>
              <w:t>EIN: 94-1133245;</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9"/>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2"/>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7"/>
              </w:rPr>
              <w:t>Implemented</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6"/>
              </w:rPr>
              <w:t>6/30/2025</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 Number: 001</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Declining</w:t>
            </w: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3"/>
              </w:rPr>
              <w:t>Declining</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40" w:type="dxa"/>
            <w:vAlign w:val="bottom"/>
            <w:gridSpan w:val="3"/>
          </w:tcPr>
          <w:p>
            <w:pPr>
              <w:spacing w:after="0" w:line="121" w:lineRule="exact"/>
              <w:rPr>
                <w:sz w:val="20"/>
                <w:szCs w:val="20"/>
                <w:color w:val="auto"/>
              </w:rPr>
            </w:pPr>
            <w:r>
              <w:rPr>
                <w:rFonts w:ascii="Arial" w:cs="Arial" w:eastAsia="Arial" w:hAnsi="Arial"/>
                <w:sz w:val="13"/>
                <w:szCs w:val="13"/>
                <w:color w:val="auto"/>
              </w:rPr>
              <w:t>Midwest Operating Engineers Pension Trust</w:t>
            </w:r>
          </w:p>
        </w:tc>
        <w:tc>
          <w:tcPr>
            <w:tcW w:w="1100" w:type="dxa"/>
            <w:vAlign w:val="bottom"/>
            <w:gridSpan w:val="2"/>
          </w:tcPr>
          <w:p>
            <w:pPr>
              <w:spacing w:after="0" w:line="121" w:lineRule="exact"/>
              <w:rPr>
                <w:sz w:val="20"/>
                <w:szCs w:val="20"/>
                <w:color w:val="auto"/>
              </w:rPr>
            </w:pPr>
            <w:r>
              <w:rPr>
                <w:rFonts w:ascii="Arial" w:cs="Arial" w:eastAsia="Arial" w:hAnsi="Arial"/>
                <w:sz w:val="13"/>
                <w:szCs w:val="13"/>
                <w:color w:val="auto"/>
              </w:rPr>
              <w:t>EIN: 36-6140097;</w:t>
            </w:r>
          </w:p>
        </w:tc>
        <w:tc>
          <w:tcPr>
            <w:tcW w:w="76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8"/>
              </w:rPr>
              <w:t>Not</w:t>
            </w:r>
          </w:p>
        </w:tc>
        <w:tc>
          <w:tcPr>
            <w:tcW w:w="900" w:type="dxa"/>
            <w:vAlign w:val="bottom"/>
            <w:gridSpan w:val="3"/>
          </w:tcPr>
          <w:p>
            <w:pPr>
              <w:jc w:val="center"/>
              <w:ind w:right="188"/>
              <w:spacing w:after="0" w:line="121" w:lineRule="exact"/>
              <w:rPr>
                <w:sz w:val="20"/>
                <w:szCs w:val="20"/>
                <w:color w:val="auto"/>
              </w:rPr>
            </w:pPr>
            <w:r>
              <w:rPr>
                <w:rFonts w:ascii="Arial" w:cs="Arial" w:eastAsia="Arial" w:hAnsi="Arial"/>
                <w:sz w:val="13"/>
                <w:szCs w:val="13"/>
                <w:color w:val="auto"/>
                <w:w w:val="87"/>
              </w:rPr>
              <w:t>Implemented</w:t>
            </w: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5"/>
              </w:rPr>
              <w:t>Various dates</w:t>
            </w:r>
          </w:p>
        </w:tc>
        <w:tc>
          <w:tcPr>
            <w:tcW w:w="0" w:type="dxa"/>
            <w:vAlign w:val="bottom"/>
          </w:tcPr>
          <w:p>
            <w:pPr>
              <w:spacing w:after="0"/>
              <w:rPr>
                <w:sz w:val="1"/>
                <w:szCs w:val="1"/>
                <w:color w:val="auto"/>
              </w:rPr>
            </w:pPr>
          </w:p>
        </w:tc>
      </w:tr>
      <w:tr>
        <w:trPr>
          <w:trHeight w:val="135"/>
        </w:trPr>
        <w:tc>
          <w:tcPr>
            <w:tcW w:w="264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Fund</w:t>
            </w:r>
          </w:p>
        </w:tc>
        <w:tc>
          <w:tcPr>
            <w:tcW w:w="1100" w:type="dxa"/>
            <w:vAlign w:val="bottom"/>
            <w:gridSpan w:val="2"/>
          </w:tcPr>
          <w:p>
            <w:pPr>
              <w:spacing w:after="0" w:line="135" w:lineRule="exact"/>
              <w:rPr>
                <w:sz w:val="20"/>
                <w:szCs w:val="20"/>
                <w:color w:val="auto"/>
              </w:rPr>
            </w:pPr>
            <w:r>
              <w:rPr>
                <w:rFonts w:ascii="Arial" w:cs="Arial" w:eastAsia="Arial" w:hAnsi="Arial"/>
                <w:sz w:val="13"/>
                <w:szCs w:val="13"/>
                <w:color w:val="auto"/>
              </w:rPr>
              <w:t>Plan Number: 001</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4"/>
              </w:rPr>
              <w:t>or Critical</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4"/>
              </w:rPr>
              <w:t>or Critical</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jc w:val="center"/>
              <w:ind w:left="77"/>
              <w:spacing w:after="0" w:line="135" w:lineRule="exact"/>
              <w:rPr>
                <w:sz w:val="20"/>
                <w:szCs w:val="20"/>
                <w:color w:val="auto"/>
              </w:rPr>
            </w:pPr>
            <w:r>
              <w:rPr>
                <w:rFonts w:ascii="Arial" w:cs="Arial" w:eastAsia="Arial" w:hAnsi="Arial"/>
                <w:sz w:val="13"/>
                <w:szCs w:val="13"/>
                <w:color w:val="auto"/>
                <w:w w:val="86"/>
              </w:rPr>
              <w:t>9/30/2026</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as of</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as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3/31/2022</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3/31/2021</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3"/>
              </w:rPr>
              <w:t>Suburban Teamsters of Northern Illinois Pension</w:t>
            </w:r>
          </w:p>
        </w:tc>
        <w:tc>
          <w:tcPr>
            <w:tcW w:w="1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EIN: 36-6155778;</w:t>
            </w:r>
          </w:p>
        </w:tc>
        <w:tc>
          <w:tcPr>
            <w:tcW w:w="76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4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8"/>
              </w:rPr>
              <w:t>Not</w:t>
            </w:r>
          </w:p>
        </w:tc>
        <w:tc>
          <w:tcPr>
            <w:tcW w:w="900" w:type="dxa"/>
            <w:vAlign w:val="bottom"/>
            <w:gridSpan w:val="3"/>
            <w:shd w:val="clear" w:color="auto" w:fill="CCEEFF"/>
          </w:tcPr>
          <w:p>
            <w:pPr>
              <w:jc w:val="center"/>
              <w:ind w:right="188"/>
              <w:spacing w:after="0" w:line="121" w:lineRule="exact"/>
              <w:rPr>
                <w:sz w:val="20"/>
                <w:szCs w:val="20"/>
                <w:color w:val="auto"/>
              </w:rPr>
            </w:pPr>
            <w:r>
              <w:rPr>
                <w:rFonts w:ascii="Arial" w:cs="Arial" w:eastAsia="Arial" w:hAnsi="Arial"/>
                <w:sz w:val="13"/>
                <w:szCs w:val="13"/>
                <w:color w:val="auto"/>
                <w:w w:val="87"/>
              </w:rPr>
              <w:t>Implemented</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Various dates</w:t>
            </w:r>
          </w:p>
        </w:tc>
        <w:tc>
          <w:tcPr>
            <w:tcW w:w="0" w:type="dxa"/>
            <w:vAlign w:val="bottom"/>
          </w:tcPr>
          <w:p>
            <w:pPr>
              <w:spacing w:after="0"/>
              <w:rPr>
                <w:sz w:val="1"/>
                <w:szCs w:val="1"/>
                <w:color w:val="auto"/>
              </w:rPr>
            </w:pPr>
          </w:p>
        </w:tc>
      </w:tr>
      <w:tr>
        <w:trPr>
          <w:trHeight w:val="136"/>
        </w:trPr>
        <w:tc>
          <w:tcPr>
            <w:tcW w:w="2640" w:type="dxa"/>
            <w:vAlign w:val="bottom"/>
            <w:gridSpan w:val="3"/>
            <w:shd w:val="clear" w:color="auto" w:fill="CCEEFF"/>
          </w:tcPr>
          <w:p>
            <w:pPr>
              <w:ind w:left="140"/>
              <w:spacing w:after="0" w:line="136" w:lineRule="exact"/>
              <w:rPr>
                <w:sz w:val="20"/>
                <w:szCs w:val="20"/>
                <w:color w:val="auto"/>
              </w:rPr>
            </w:pPr>
            <w:r>
              <w:rPr>
                <w:rFonts w:ascii="Arial" w:cs="Arial" w:eastAsia="Arial" w:hAnsi="Arial"/>
                <w:sz w:val="13"/>
                <w:szCs w:val="13"/>
                <w:color w:val="auto"/>
              </w:rPr>
              <w:t>Plan (d)</w:t>
            </w:r>
          </w:p>
        </w:tc>
        <w:tc>
          <w:tcPr>
            <w:tcW w:w="11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Plan Number: 001</w:t>
            </w:r>
          </w:p>
        </w:tc>
        <w:tc>
          <w:tcPr>
            <w:tcW w:w="760" w:type="dxa"/>
            <w:vAlign w:val="bottom"/>
            <w:gridSpan w:val="2"/>
            <w:shd w:val="clear" w:color="auto" w:fill="CCEEFF"/>
          </w:tcPr>
          <w:p>
            <w:pPr>
              <w:jc w:val="center"/>
              <w:ind w:right="120"/>
              <w:spacing w:after="0" w:line="136" w:lineRule="exact"/>
              <w:rPr>
                <w:sz w:val="20"/>
                <w:szCs w:val="20"/>
                <w:color w:val="auto"/>
              </w:rPr>
            </w:pPr>
            <w:r>
              <w:rPr>
                <w:rFonts w:ascii="Arial" w:cs="Arial" w:eastAsia="Arial" w:hAnsi="Arial"/>
                <w:sz w:val="13"/>
                <w:szCs w:val="13"/>
                <w:color w:val="auto"/>
                <w:w w:val="84"/>
              </w:rPr>
              <w:t>Endangered</w:t>
            </w:r>
          </w:p>
        </w:tc>
        <w:tc>
          <w:tcPr>
            <w:tcW w:w="740" w:type="dxa"/>
            <w:vAlign w:val="bottom"/>
            <w:gridSpan w:val="2"/>
            <w:shd w:val="clear" w:color="auto" w:fill="CCEEFF"/>
          </w:tcPr>
          <w:p>
            <w:pPr>
              <w:jc w:val="center"/>
              <w:ind w:right="140"/>
              <w:spacing w:after="0" w:line="136" w:lineRule="exact"/>
              <w:rPr>
                <w:sz w:val="20"/>
                <w:szCs w:val="20"/>
                <w:color w:val="auto"/>
              </w:rPr>
            </w:pPr>
            <w:r>
              <w:rPr>
                <w:rFonts w:ascii="Arial" w:cs="Arial" w:eastAsia="Arial" w:hAnsi="Arial"/>
                <w:sz w:val="13"/>
                <w:szCs w:val="13"/>
                <w:color w:val="auto"/>
                <w:w w:val="84"/>
              </w:rPr>
              <w:t>Endangered</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or Critical</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4"/>
              </w:rPr>
              <w:t>or Critical</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left="77"/>
              <w:spacing w:after="0"/>
              <w:rPr>
                <w:sz w:val="20"/>
                <w:szCs w:val="20"/>
                <w:color w:val="auto"/>
              </w:rPr>
            </w:pPr>
            <w:r>
              <w:rPr>
                <w:rFonts w:ascii="Arial" w:cs="Arial" w:eastAsia="Arial" w:hAnsi="Arial"/>
                <w:sz w:val="13"/>
                <w:szCs w:val="13"/>
                <w:color w:val="auto"/>
                <w:w w:val="86"/>
              </w:rPr>
              <w:t>9/30/2027</w:t>
            </w:r>
          </w:p>
        </w:tc>
        <w:tc>
          <w:tcPr>
            <w:tcW w:w="0" w:type="dxa"/>
            <w:vAlign w:val="bottom"/>
          </w:tcPr>
          <w:p>
            <w:pPr>
              <w:spacing w:after="0"/>
              <w:rPr>
                <w:sz w:val="1"/>
                <w:szCs w:val="1"/>
                <w:color w:val="auto"/>
              </w:rPr>
            </w:pPr>
          </w:p>
        </w:tc>
      </w:tr>
      <w:tr>
        <w:trPr>
          <w:trHeight w:val="121"/>
        </w:trPr>
        <w:tc>
          <w:tcPr>
            <w:tcW w:w="2640" w:type="dxa"/>
            <w:vAlign w:val="bottom"/>
            <w:gridSpan w:val="3"/>
          </w:tcPr>
          <w:p>
            <w:pPr>
              <w:spacing w:after="0" w:line="121" w:lineRule="exact"/>
              <w:rPr>
                <w:sz w:val="20"/>
                <w:szCs w:val="20"/>
                <w:color w:val="auto"/>
              </w:rPr>
            </w:pPr>
            <w:r>
              <w:rPr>
                <w:rFonts w:ascii="Arial" w:cs="Arial" w:eastAsia="Arial" w:hAnsi="Arial"/>
                <w:sz w:val="13"/>
                <w:szCs w:val="13"/>
                <w:color w:val="auto"/>
                <w:w w:val="93"/>
              </w:rPr>
              <w:t>Western Conference of Teamsters Pension Plan</w:t>
            </w:r>
          </w:p>
        </w:tc>
        <w:tc>
          <w:tcPr>
            <w:tcW w:w="1100" w:type="dxa"/>
            <w:vAlign w:val="bottom"/>
            <w:gridSpan w:val="2"/>
          </w:tcPr>
          <w:p>
            <w:pPr>
              <w:spacing w:after="0" w:line="121" w:lineRule="exact"/>
              <w:rPr>
                <w:sz w:val="20"/>
                <w:szCs w:val="20"/>
                <w:color w:val="auto"/>
              </w:rPr>
            </w:pPr>
            <w:r>
              <w:rPr>
                <w:rFonts w:ascii="Arial" w:cs="Arial" w:eastAsia="Arial" w:hAnsi="Arial"/>
                <w:sz w:val="13"/>
                <w:szCs w:val="13"/>
                <w:color w:val="auto"/>
              </w:rPr>
              <w:t>EIN: 91-6145047;</w:t>
            </w:r>
          </w:p>
        </w:tc>
        <w:tc>
          <w:tcPr>
            <w:tcW w:w="76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8"/>
              </w:rPr>
              <w:t>Not</w:t>
            </w:r>
          </w:p>
        </w:tc>
        <w:tc>
          <w:tcPr>
            <w:tcW w:w="7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8"/>
              </w:rPr>
              <w:t>Not</w:t>
            </w:r>
          </w:p>
        </w:tc>
        <w:tc>
          <w:tcPr>
            <w:tcW w:w="900" w:type="dxa"/>
            <w:vAlign w:val="bottom"/>
            <w:gridSpan w:val="3"/>
          </w:tcPr>
          <w:p>
            <w:pPr>
              <w:jc w:val="center"/>
              <w:ind w:right="188"/>
              <w:spacing w:after="0" w:line="121" w:lineRule="exact"/>
              <w:rPr>
                <w:sz w:val="20"/>
                <w:szCs w:val="20"/>
                <w:color w:val="auto"/>
              </w:rPr>
            </w:pPr>
            <w:r>
              <w:rPr>
                <w:rFonts w:ascii="Arial" w:cs="Arial" w:eastAsia="Arial" w:hAnsi="Arial"/>
                <w:sz w:val="13"/>
                <w:szCs w:val="13"/>
                <w:color w:val="auto"/>
                <w:w w:val="88"/>
              </w:rPr>
              <w:t>Not</w:t>
            </w: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37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5"/>
              </w:rPr>
              <w:t>Various dates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spacing w:after="0" w:line="135" w:lineRule="exact"/>
              <w:rPr>
                <w:sz w:val="20"/>
                <w:szCs w:val="20"/>
                <w:color w:val="auto"/>
              </w:rPr>
            </w:pPr>
            <w:r>
              <w:rPr>
                <w:rFonts w:ascii="Arial" w:cs="Arial" w:eastAsia="Arial" w:hAnsi="Arial"/>
                <w:sz w:val="13"/>
                <w:szCs w:val="13"/>
                <w:color w:val="auto"/>
              </w:rPr>
              <w:t>Plan Number: 001</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900" w:type="dxa"/>
            <w:vAlign w:val="bottom"/>
            <w:gridSpan w:val="3"/>
          </w:tcPr>
          <w:p>
            <w:pPr>
              <w:jc w:val="center"/>
              <w:ind w:right="188"/>
              <w:spacing w:after="0" w:line="135" w:lineRule="exact"/>
              <w:rPr>
                <w:sz w:val="20"/>
                <w:szCs w:val="20"/>
                <w:color w:val="auto"/>
              </w:rPr>
            </w:pPr>
            <w:r>
              <w:rPr>
                <w:rFonts w:ascii="Arial" w:cs="Arial" w:eastAsia="Arial" w:hAnsi="Arial"/>
                <w:sz w:val="13"/>
                <w:szCs w:val="13"/>
                <w:color w:val="auto"/>
                <w:w w:val="89"/>
              </w:rPr>
              <w:t>Applicable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9"/>
        </w:trPr>
        <w:tc>
          <w:tcPr>
            <w:tcW w:w="2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4"/>
              </w:rPr>
              <w:t>or Critical</w:t>
            </w:r>
          </w:p>
        </w:tc>
        <w:tc>
          <w:tcPr>
            <w:tcW w:w="74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3"/>
                <w:szCs w:val="13"/>
                <w:color w:val="auto"/>
                <w:w w:val="94"/>
              </w:rPr>
              <w:t>or Critical</w:t>
            </w: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CCEEFF"/>
            </w:tcBorders>
            <w:gridSpan w:val="2"/>
          </w:tcPr>
          <w:p>
            <w:pPr>
              <w:jc w:val="center"/>
              <w:ind w:left="77"/>
              <w:spacing w:after="0"/>
              <w:rPr>
                <w:sz w:val="20"/>
                <w:szCs w:val="20"/>
                <w:color w:val="auto"/>
              </w:rPr>
            </w:pPr>
            <w:r>
              <w:rPr>
                <w:rFonts w:ascii="Arial" w:cs="Arial" w:eastAsia="Arial" w:hAnsi="Arial"/>
                <w:sz w:val="13"/>
                <w:szCs w:val="13"/>
                <w:color w:val="auto"/>
                <w:w w:val="86"/>
              </w:rPr>
              <w:t>6/30/2027</w:t>
            </w: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40" w:type="dxa"/>
            <w:vAlign w:val="bottom"/>
            <w:gridSpan w:val="3"/>
          </w:tcPr>
          <w:p>
            <w:pPr>
              <w:spacing w:after="0" w:line="121" w:lineRule="exact"/>
              <w:rPr>
                <w:sz w:val="20"/>
                <w:szCs w:val="20"/>
                <w:color w:val="auto"/>
              </w:rPr>
            </w:pPr>
            <w:r>
              <w:rPr>
                <w:rFonts w:ascii="Arial" w:cs="Arial" w:eastAsia="Arial" w:hAnsi="Arial"/>
                <w:sz w:val="13"/>
                <w:szCs w:val="13"/>
                <w:color w:val="auto"/>
              </w:rPr>
              <w:t>Contributions to other Multiemployer Pension</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Borders>
              <w:bottom w:val="single" w:sz="8" w:color="CCEEFF"/>
            </w:tcBorders>
            <w:gridSpan w:val="3"/>
          </w:tcPr>
          <w:p>
            <w:pPr>
              <w:ind w:left="140"/>
              <w:spacing w:after="0"/>
              <w:rPr>
                <w:sz w:val="20"/>
                <w:szCs w:val="20"/>
                <w:color w:val="auto"/>
              </w:rPr>
            </w:pPr>
            <w:r>
              <w:rPr>
                <w:rFonts w:ascii="Arial" w:cs="Arial" w:eastAsia="Arial" w:hAnsi="Arial"/>
                <w:sz w:val="13"/>
                <w:szCs w:val="13"/>
                <w:color w:val="auto"/>
              </w:rPr>
              <w:t>Plans</w:t>
            </w: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40" w:type="dxa"/>
            <w:vAlign w:val="bottom"/>
            <w:gridSpan w:val="3"/>
            <w:shd w:val="clear" w:color="auto" w:fill="CCEEFF"/>
          </w:tcPr>
          <w:p>
            <w:pPr>
              <w:spacing w:after="0" w:line="101" w:lineRule="exact"/>
              <w:rPr>
                <w:sz w:val="20"/>
                <w:szCs w:val="20"/>
                <w:color w:val="auto"/>
              </w:rPr>
            </w:pPr>
            <w:r>
              <w:rPr>
                <w:rFonts w:ascii="Arial" w:cs="Arial" w:eastAsia="Arial" w:hAnsi="Arial"/>
                <w:sz w:val="10"/>
                <w:szCs w:val="10"/>
                <w:color w:val="auto"/>
              </w:rPr>
              <w:t>Total contributions to Multiemployer Pension</w:t>
            </w: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40" w:type="dxa"/>
            <w:vAlign w:val="bottom"/>
            <w:gridSpan w:val="3"/>
            <w:shd w:val="clear" w:color="auto" w:fill="CCEEFF"/>
          </w:tcPr>
          <w:p>
            <w:pPr>
              <w:ind w:left="140"/>
              <w:spacing w:after="0" w:line="136" w:lineRule="exact"/>
              <w:rPr>
                <w:sz w:val="20"/>
                <w:szCs w:val="20"/>
                <w:color w:val="auto"/>
              </w:rPr>
            </w:pPr>
            <w:r>
              <w:rPr>
                <w:rFonts w:ascii="Arial" w:cs="Arial" w:eastAsia="Arial" w:hAnsi="Arial"/>
                <w:sz w:val="13"/>
                <w:szCs w:val="13"/>
                <w:color w:val="auto"/>
              </w:rPr>
              <w:t>Plans (e)</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3"/>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91" w:lineRule="auto"/>
        <w:tabs>
          <w:tab w:leader="none" w:pos="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Unless otherwise noted in the table above, the most recent Pension Protection Act zone status available in 2022 and 2021 is for the plan’s year-end as of December 31, 2021 and 2020,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spacing w:after="0" w:line="58" w:lineRule="exact"/>
        <w:rPr>
          <w:rFonts w:ascii="Arial" w:cs="Arial" w:eastAsia="Arial" w:hAnsi="Arial"/>
          <w:sz w:val="16"/>
          <w:szCs w:val="16"/>
          <w:color w:val="auto"/>
        </w:rPr>
      </w:pPr>
    </w:p>
    <w:p>
      <w:pPr>
        <w:ind w:left="380" w:right="79" w:hanging="330"/>
        <w:spacing w:after="0" w:line="277"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“FIP/RP Status” column indicates plans for which a Funding Improvement Plan (“FIP”) or a Rehabilitation Plan (“RP”) has been implemented.</w:t>
      </w:r>
    </w:p>
    <w:p>
      <w:pPr>
        <w:spacing w:after="0" w:line="62" w:lineRule="exact"/>
        <w:rPr>
          <w:rFonts w:ascii="Arial" w:cs="Arial" w:eastAsia="Arial" w:hAnsi="Arial"/>
          <w:sz w:val="18"/>
          <w:szCs w:val="18"/>
          <w:color w:val="auto"/>
        </w:rPr>
      </w:pPr>
    </w:p>
    <w:p>
      <w:pPr>
        <w:jc w:val="both"/>
        <w:ind w:left="380" w:right="79" w:hanging="330"/>
        <w:spacing w:after="0" w:line="279"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63" w:lineRule="exact"/>
        <w:rPr>
          <w:rFonts w:ascii="Arial" w:cs="Arial" w:eastAsia="Arial" w:hAnsi="Arial"/>
          <w:sz w:val="17"/>
          <w:szCs w:val="17"/>
          <w:color w:val="auto"/>
        </w:rPr>
      </w:pPr>
    </w:p>
    <w:p>
      <w:pPr>
        <w:jc w:val="both"/>
        <w:ind w:left="380" w:right="79" w:hanging="330"/>
        <w:spacing w:after="0" w:line="263"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2021 and 2020.</w:t>
      </w:r>
    </w:p>
    <w:p>
      <w:pPr>
        <w:spacing w:after="0" w:line="75" w:lineRule="exact"/>
        <w:rPr>
          <w:rFonts w:ascii="Arial" w:cs="Arial" w:eastAsia="Arial" w:hAnsi="Arial"/>
          <w:sz w:val="18"/>
          <w:szCs w:val="18"/>
          <w:color w:val="auto"/>
        </w:rPr>
      </w:pPr>
    </w:p>
    <w:p>
      <w:pPr>
        <w:ind w:left="380" w:hanging="330"/>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Total contributions to Multiemployer Pension Plans exclude contributions related to withdrawal liabilities.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obligations for unfunded vested benefits at the time of the withdrawal. Refer to Note 10 for additional information related to our obligations to Multiemployer Pension Plans.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Multiemployer Plan Benefits Other Than Pensions — </w:t>
      </w:r>
      <w:r>
        <w:rPr>
          <w:rFonts w:ascii="Arial" w:cs="Arial" w:eastAsia="Arial" w:hAnsi="Arial"/>
          <w:sz w:val="16"/>
          <w:szCs w:val="16"/>
          <w:color w:val="auto"/>
        </w:rPr>
        <w:t>During the years ended December 31, 2022, 2021 and 2020,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made contributions of $49 million, $51 million and $48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6.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Insurance — </w:t>
      </w:r>
      <w:r>
        <w:rPr>
          <w:rFonts w:ascii="Arial" w:cs="Arial" w:eastAsia="Arial" w:hAnsi="Arial"/>
          <w:sz w:val="18"/>
          <w:szCs w:val="18"/>
          <w:color w:val="auto"/>
        </w:rPr>
        <w:t>We carry insurance coverage for protection of our assets and operations from certain risks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Our receivable balance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associated with insurance claims was $142 million and $155 million as of December 31, 2022 and 2021 respectively. The changes to our insurance reserves for the year ended December 31 are summarized below (in millions):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2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9"/>
              </w:rPr>
              <w:t>2022(a)</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Self-insurance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and other</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9"/>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December 31</w:t>
            </w:r>
          </w:p>
        </w:tc>
        <w:tc>
          <w:tcPr>
            <w:tcW w:w="2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197"/>
        </w:trPr>
        <w:tc>
          <w:tcPr>
            <w:tcW w:w="50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Current portion as of December 31</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Long-term portion as of December 31</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380" w:right="79" w:hanging="330"/>
        <w:spacing w:after="0" w:line="277"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current estimates, we anticipate that most of our insurance reserves will be settled in cash over the next six years.</w:t>
      </w:r>
    </w:p>
    <w:p>
      <w:pPr>
        <w:spacing w:after="0" w:line="6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Unconditional Purchase Obligations </w:t>
      </w:r>
      <w:r>
        <w:rPr>
          <w:rFonts w:ascii="Arial" w:cs="Arial" w:eastAsia="Arial" w:hAnsi="Arial"/>
          <w:sz w:val="18"/>
          <w:szCs w:val="18"/>
          <w:color w:val="auto"/>
        </w:rPr>
        <w:t>— Our unconditional purchase obligations are generally established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our business and are structured in a manner that provides us with access to important resources at competitive, market-driven rates and consist primarily of the following:</w:t>
      </w:r>
    </w:p>
    <w:p>
      <w:pPr>
        <w:spacing w:after="0" w:line="76" w:lineRule="exact"/>
        <w:rPr>
          <w:sz w:val="20"/>
          <w:szCs w:val="20"/>
          <w:color w:val="auto"/>
        </w:rPr>
      </w:pPr>
    </w:p>
    <w:p>
      <w:pPr>
        <w:jc w:val="both"/>
        <w:ind w:left="720" w:right="79" w:hanging="319"/>
        <w:spacing w:after="0" w:line="257"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Disposal — </w:t>
      </w:r>
      <w:r>
        <w:rPr>
          <w:rFonts w:ascii="Arial" w:cs="Arial" w:eastAsia="Arial" w:hAnsi="Arial"/>
          <w:sz w:val="18"/>
          <w:szCs w:val="18"/>
          <w:color w:val="auto"/>
        </w:rPr>
        <w:t>We have several agreements expiring at various dates through 2052 that require us to dispose of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7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We are party to certain multi-year service agreements expiring at various dates through 2030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annual payments.</w:t>
      </w:r>
    </w:p>
    <w:p>
      <w:pPr>
        <w:spacing w:after="0" w:line="6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As of December 31, 2022, our estimated minimum obligations associated with unconditional purchase obligations, which are not recognized in our Consolidated Balance Sheets, were $192 million in 2023, $158 million in 2024, $114 million in 2025, $101 million in 2026, $34 million in 2027 and $369 million thereafter. We may also establish unconditional purchase obligations in conjunction with acquisitions or divestitures. Our future minimum obligations under these outstanding purchase agreements are generally quantity driven and, as a result, our associated financial obligations are not fixed as of December 31, 2022. For contracts that require us 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jc w:val="both"/>
        <w:ind w:left="720" w:right="79" w:hanging="319"/>
        <w:spacing w:after="0" w:line="275"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Royalties — </w:t>
      </w:r>
      <w:r>
        <w:rPr>
          <w:rFonts w:ascii="Arial" w:cs="Arial" w:eastAsia="Arial" w:hAnsi="Arial"/>
          <w:sz w:val="17"/>
          <w:szCs w:val="17"/>
          <w:color w:val="auto"/>
        </w:rPr>
        <w:t>We have various arrangements that require us to make royalty payments to third parties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prior land 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6.</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We have entered into the following guarantee agreements associated with our operations:</w:t>
      </w:r>
    </w:p>
    <w:p>
      <w:pPr>
        <w:spacing w:after="0" w:line="117" w:lineRule="exact"/>
        <w:rPr>
          <w:sz w:val="20"/>
          <w:szCs w:val="20"/>
          <w:color w:val="auto"/>
        </w:rPr>
      </w:pPr>
    </w:p>
    <w:p>
      <w:pPr>
        <w:ind w:left="720" w:right="79" w:hanging="319"/>
        <w:spacing w:after="0" w:line="308" w:lineRule="auto"/>
        <w:tabs>
          <w:tab w:leader="none" w:pos="7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of December 31, 2022, WM Holdings has fully and unconditionally guaranteed all of WMI’s senior indebtedness, including its senior notes which mature through 2050, $3.5 billion revolving credit facility, Term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720" w:right="79"/>
        <w:spacing w:after="0" w:line="257" w:lineRule="auto"/>
        <w:rPr>
          <w:sz w:val="20"/>
          <w:szCs w:val="20"/>
          <w:color w:val="auto"/>
        </w:rPr>
      </w:pPr>
      <w:r>
        <w:rPr>
          <w:rFonts w:ascii="Arial" w:cs="Arial" w:eastAsia="Arial" w:hAnsi="Arial"/>
          <w:sz w:val="18"/>
          <w:szCs w:val="18"/>
          <w:color w:val="auto"/>
        </w:rPr>
        <w:t>Loan and certain letter of credit lines. WMI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80" w:lineRule="exact"/>
        <w:rPr>
          <w:sz w:val="20"/>
          <w:szCs w:val="20"/>
          <w:color w:val="auto"/>
        </w:rPr>
      </w:pPr>
    </w:p>
    <w:p>
      <w:pPr>
        <w:jc w:val="both"/>
        <w:ind w:left="720" w:right="79" w:hanging="319"/>
        <w:spacing w:after="0" w:line="255"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WMI and WM Holdings have guaranteed subsidiary debt obligations, including tax-exempt bonds, financing leases and other indebtedness. If a subsidiary fails to meet its obligations associated with its debt agreements as they come due, WMI or WM Holdings will be required to perform under the related guarantee agreement. No additional liabilities have been recorded for these intercompany guarantees because all of the underlying obligations are reflected in our Consolidated Balance Sheets. See Note 6 for information related to the balances and maturities of these debt obligations.</w:t>
      </w:r>
    </w:p>
    <w:p>
      <w:pPr>
        <w:spacing w:after="0" w:line="84" w:lineRule="exact"/>
        <w:rPr>
          <w:rFonts w:ascii="Arial" w:cs="Arial" w:eastAsia="Arial" w:hAnsi="Arial"/>
          <w:sz w:val="18"/>
          <w:szCs w:val="18"/>
          <w:color w:val="auto"/>
        </w:rPr>
      </w:pPr>
    </w:p>
    <w:p>
      <w:pPr>
        <w:jc w:val="both"/>
        <w:ind w:left="720" w:right="79" w:hanging="319"/>
        <w:spacing w:after="0" w:line="290" w:lineRule="auto"/>
        <w:tabs>
          <w:tab w:leader="none" w:pos="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2022, we have agreements guaranteeing certain market value losses for certain properties adjacent to or near 17 of our landfills. Any liability associated with the triggering of the home value guarantee has been reflected in our Consolidated Balance Sheets. We do not believe that the remaining contingent obligations will have a material adverse effect on the Company’s business, financial position, results of operations or cash flows.</w:t>
      </w:r>
    </w:p>
    <w:p>
      <w:pPr>
        <w:spacing w:after="0" w:line="57" w:lineRule="exact"/>
        <w:rPr>
          <w:rFonts w:ascii="Arial" w:cs="Arial" w:eastAsia="Arial" w:hAnsi="Arial"/>
          <w:sz w:val="16"/>
          <w:szCs w:val="16"/>
          <w:color w:val="auto"/>
        </w:rPr>
      </w:pPr>
    </w:p>
    <w:p>
      <w:pPr>
        <w:jc w:val="both"/>
        <w:ind w:left="720" w:right="79" w:hanging="319"/>
        <w:spacing w:after="0" w:line="253"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86" w:lineRule="exact"/>
        <w:rPr>
          <w:rFonts w:ascii="Arial" w:cs="Arial" w:eastAsia="Arial" w:hAnsi="Arial"/>
          <w:sz w:val="18"/>
          <w:szCs w:val="18"/>
          <w:color w:val="auto"/>
        </w:rPr>
      </w:pPr>
    </w:p>
    <w:p>
      <w:pPr>
        <w:jc w:val="both"/>
        <w:ind w:left="720" w:right="79" w:hanging="319"/>
        <w:spacing w:after="0" w:line="272" w:lineRule="auto"/>
        <w:tabs>
          <w:tab w:leader="none" w:pos="7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17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As of December 31, 2022,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w:t>
      </w:r>
    </w:p>
    <w:p>
      <w:pPr>
        <w:sectPr>
          <w:pgSz w:w="11900" w:h="16838" w:orient="portrait"/>
          <w:cols w:equalWidth="0" w:num="1">
            <w:col w:w="9019"/>
          </w:cols>
          <w:pgMar w:left="1440" w:top="611"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6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On October 11, 2017, the EPA issued its Record of Decision (“ROD”) with respect to the previously proposed remediation plan for the San Jacinto River Waste Pits Site in Harris County, Texas. McGinnes Industrial Maintenance Corporation (“MIMC”), a subsidiary of Waste Management of Texas, Inc., operated some of the waste pits from 1965 to 1966 and has been named as a site PRP. In 1998, WMI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and we recorded a liability for MIMC’s estimated potential share of the EPA’s proposed remedy and related costs, although allocation of responsibility among the PRPs for the proposed remedy has not been established. MIMC and International Paper Company have continued to work on a remedial design to support the EPA’s proposed remedy; however, design investigations indicate that fundamental changes are required to the proposed remedy and MIMC maintains its prior position that the remedy set forth in the ROD is not the best solution to protect the environment and public health. Due to further increases in the estimated cost of the remedy set forth in the ROD, we recorded an additional liability of $17 million as of March 31, 2022 for MIMC’s estimated potential share of such costs. As of December 31, 2022 and 2021, the recorded liability for MIMC’s estimated potential share of the EPA’s proposed remedy was $68 million and $53 million, respectively. MIMC’s ultimate liability could be materially different from current estimates and MIMC will continue to engage the EPA regarding its proposed remedy.</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7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w:t>
      </w:r>
    </w:p>
    <w:p>
      <w:pPr>
        <w:sectPr>
          <w:pgSz w:w="11900" w:h="16838" w:orient="portrait"/>
          <w:cols w:equalWidth="0" w:num="1">
            <w:col w:w="9019"/>
          </w:cols>
          <w:pgMar w:left="1440" w:top="611"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We are subject to various proceedings, lawsuits, disputes and claims arising in the ordinary course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persons who purchased our SMR Notes (as defined and discussed in Item 7. </w:t>
      </w:r>
      <w:r>
        <w:rPr>
          <w:rFonts w:ascii="Arial" w:cs="Arial" w:eastAsia="Arial" w:hAnsi="Arial"/>
          <w:sz w:val="17"/>
          <w:szCs w:val="17"/>
          <w:i w:val="1"/>
          <w:iCs w:val="1"/>
          <w:color w:val="auto"/>
        </w:rPr>
        <w:t>Management’s Discussion and Analysis of Financial Condition and Results of Operations — Loss on Early Extinguishment of Debt, Net</w:t>
      </w:r>
      <w:r>
        <w:rPr>
          <w:rFonts w:ascii="Arial" w:cs="Arial" w:eastAsia="Arial" w:hAnsi="Arial"/>
          <w:sz w:val="17"/>
          <w:szCs w:val="17"/>
          <w:color w:val="auto"/>
        </w:rPr>
        <w:t>), asserting claims under the Securities Exchange Act based on alleged misrepresentations and omissions</w:t>
      </w:r>
      <w:r>
        <w:rPr>
          <w:rFonts w:ascii="Arial" w:cs="Arial" w:eastAsia="Arial" w:hAnsi="Arial"/>
          <w:sz w:val="17"/>
          <w:szCs w:val="17"/>
          <w:i w:val="1"/>
          <w:iCs w:val="1"/>
          <w:color w:val="auto"/>
        </w:rPr>
        <w:t xml:space="preserve"> </w:t>
      </w:r>
      <w:r>
        <w:rPr>
          <w:rFonts w:ascii="Arial" w:cs="Arial" w:eastAsia="Arial" w:hAnsi="Arial"/>
          <w:sz w:val="17"/>
          <w:szCs w:val="17"/>
          <w:color w:val="auto"/>
        </w:rPr>
        <w:t>concerning the time for completion of our acquisition of Advanced Disposal. We will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8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68"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We do not believe that any future liability relating to our past or current participation in, or withdrawals from, the Multiemployer Pension Plans to which we contribute will have a material adverse effect on our business, financial</w:t>
      </w:r>
    </w:p>
    <w:p>
      <w:pPr>
        <w:sectPr>
          <w:pgSz w:w="11900" w:h="16838" w:orient="portrait"/>
          <w:cols w:equalWidth="0" w:num="1">
            <w:col w:w="9019"/>
          </w:cols>
          <w:pgMar w:left="1440" w:top="611"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maintain a liability for uncertain tax positions, the balance of which management believes is</w:t>
      </w:r>
      <w:r>
        <w:rPr>
          <w:rFonts w:ascii="Arial" w:cs="Arial" w:eastAsia="Arial" w:hAnsi="Arial"/>
          <w:sz w:val="16"/>
          <w:szCs w:val="16"/>
          <w:i w:val="1"/>
          <w:iCs w:val="1"/>
          <w:color w:val="auto"/>
        </w:rPr>
        <w:t xml:space="preserve"> </w:t>
      </w:r>
      <w:r>
        <w:rPr>
          <w:rFonts w:ascii="Arial" w:cs="Arial" w:eastAsia="Arial" w:hAnsi="Arial"/>
          <w:sz w:val="16"/>
          <w:szCs w:val="16"/>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December 31, 2022, the IRS deposit, net of reserve for uncertain tax positions, is classified as a component of other long-term assets in the Company’s Consolidated Balance Sheet.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Asset Impairments and Unusual Items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 ended December 31 (in millions):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divestitures, net</w:t>
            </w: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40" w:type="dxa"/>
            <w:vAlign w:val="bottom"/>
          </w:tcPr>
          <w:p>
            <w:pPr>
              <w:spacing w:after="0"/>
              <w:rPr>
                <w:sz w:val="18"/>
                <w:szCs w:val="18"/>
                <w:color w:val="auto"/>
              </w:rPr>
            </w:pP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For the year ended December 31, 2022, we recognized $62 million of net charges consisting of (i) $50 million of asset impairment charges primarily related to management’s decision to close two landfills within our East Tier segment and</w:t>
      </w:r>
    </w:p>
    <w:p>
      <w:pPr>
        <w:jc w:val="both"/>
        <w:ind w:left="60" w:right="59" w:hanging="10"/>
        <w:spacing w:after="0" w:line="253" w:lineRule="auto"/>
        <w:tabs>
          <w:tab w:leader="none" w:pos="3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$17 million charge pertaining to reserves for loss contingencies in our Corporate and Other segment to adjust an indirect wholly-owned subsidiary’s estimated potential share of the liability for a proposed environmental remediation plan at a closed site, as discussed in Note 10. These losses were partially offset by a $5 million gain from the divestiture of a solid waste business in our West Tier segment.</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year  ended  December  31,  2021,  we  recognized  net  gains  of  $16  million  primarily  consisting  of</w:t>
      </w:r>
    </w:p>
    <w:p>
      <w:pPr>
        <w:spacing w:after="0" w:line="35" w:lineRule="exact"/>
        <w:rPr>
          <w:sz w:val="20"/>
          <w:szCs w:val="20"/>
          <w:color w:val="auto"/>
        </w:rPr>
      </w:pPr>
    </w:p>
    <w:p>
      <w:pPr>
        <w:jc w:val="both"/>
        <w:ind w:left="60" w:right="59" w:hanging="10"/>
        <w:spacing w:after="0" w:line="253" w:lineRule="auto"/>
        <w:tabs>
          <w:tab w:leader="none" w:pos="28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$35 million pre-tax gain from the recognition of cumulative translation adjustments on the divestiture of certain non-strategic Canadian operations in our East Tier segment and (ii) an $8 million gain from divestitures of certain ancillary operations in our Other segment. These gains were partially offset by (i) a $20 million charge pertaining to reserves for loss contingencies in our Corporate and Other segment and (ii) $8 million of asset impairment charges primarily related to our WM Renewable Energy business within our Other segment.</w:t>
      </w:r>
    </w:p>
    <w:p>
      <w:pPr>
        <w:spacing w:after="0" w:line="191"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6"/>
          <w:szCs w:val="16"/>
          <w:color w:val="auto"/>
        </w:rPr>
        <w:t>For the year ended December 31, 2020, we recognized $35 million of net charges primarily related to (i) a $33 million net gain associated with net asset divestitures executed to address requirements of the U.S. Department of Justice in connection with our acquisition of Advanced Disposal, primarily within our West Tier segment; (ii) $41 million of non-cash impairment charges primarily related to two landfills and an oil field waste injection facility in our West Tier segment;</w:t>
      </w:r>
    </w:p>
    <w:p>
      <w:pPr>
        <w:spacing w:after="0" w:line="1" w:lineRule="exact"/>
        <w:rPr>
          <w:sz w:val="20"/>
          <w:szCs w:val="20"/>
          <w:color w:val="auto"/>
        </w:rPr>
      </w:pPr>
    </w:p>
    <w:p>
      <w:pPr>
        <w:jc w:val="both"/>
        <w:ind w:left="60" w:right="59" w:hanging="10"/>
        <w:spacing w:after="0" w:line="253" w:lineRule="auto"/>
        <w:tabs>
          <w:tab w:leader="none" w:pos="3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$20 million non-cash impairment charge in our East Tier segment due to management’s decision to close a landfill once its constructed airspace is filled and abandon any remaining permitted airspace and (iv) $7 million of net charges primarily related to non-cash impairments of certain assets within our WM Renewable Energy business in our Other segment.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See Note 2 for additional information related to the accounting policy and analysis involved in identifying and calculating impairments. See Note 19 for additional information related to the impact of impairments on the results of operations of our reportable segments.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For the year ended December 31, 2020, we recorded a non-cash impairment charge of $7 million related to an investment in a refined coal facility which is discussed further in Note 8. The fair value of our investment was not readily determinable; thus, we determined the fair value using management assumptions pertaining to investment value (Level 3 inputs). The remaining losses for the years ended December 31, 2022, 2021 and 2020 were primarily related to our noncontrolling interests in entities established to invest in and manage low-income housing properties. Refer to Notes 8 and 18 for additional information related to these investments.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WMI stockholders’ equity, are as follows (in millions, with amounts in parentheses representing decreases to accumulated other comprehensive income):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Available-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Post-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Retirement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for-Sale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w w:val="92"/>
              </w:rPr>
              <w:t>Adjustments(a)</w:t>
            </w:r>
          </w:p>
        </w:tc>
        <w:tc>
          <w:tcPr>
            <w:tcW w:w="1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3"/>
              </w:rPr>
              <w:t>Obligations</w:t>
            </w:r>
          </w:p>
        </w:tc>
        <w:tc>
          <w:tcPr>
            <w:tcW w:w="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Other comprehensive income (loss) before reclassifications,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net of tax expense (benefit) of $2, $4, $0 and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Amounts reclassified from accumulated other comprehensive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(income) loss, net of tax (expense) benefit of $2, $0, $0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 respectively</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Other comprehensive income (loss) before reclassifications,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net of tax expense (benefit) of $0, $(2), $0 and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Amounts reclassified from accumulated other comprehensive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(income) loss, net of tax (expense) benefit of $3, $0, $0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 respectively</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Other comprehensive income (loss) before reclassifications,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net of tax expense (benefit) of $0, $(8), $0 and $0,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Amounts reclassified from accumulated other comprehensive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(income) loss, net of tax (expense) benefit of $1, $0, $0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 respectively</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342" w:lineRule="auto"/>
        <w:tabs>
          <w:tab w:leader="none" w:pos="3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a result of the divestiture of certain non-strategic Canadian operations in the third quarter of 2021, we reclassified $35 million of cumulative foreign currency translation adjustments from accumulated other comprehensive income</w:t>
      </w:r>
    </w:p>
    <w:p>
      <w:pPr>
        <w:sectPr>
          <w:pgSz w:w="11900" w:h="16838" w:orient="portrait"/>
          <w:cols w:equalWidth="0" w:num="1">
            <w:col w:w="9019"/>
          </w:cols>
          <w:pgMar w:left="1440" w:top="611"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to (gain) loss from divestitures, asset impairments and unusual items, net within our Consolidated Statement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Capital Stock, Dividends and Common Stock Repurchase Program</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 Stock</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1.5 billion shares of authorized common stock with a par value of $0.01 per common share. As of December 31, 2022, we had 407.9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quarterly dividends have been declared by our Board of Directors. Cash dividends declared and paid were $1,077 million in 2022, or $2.60 per common share, $970 million in 2021, or $2.30 per common share, and $927 million in 2020, or $2.18 per common share.</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December 2022, we announced that our Board of Directors expects to increase the quarterly dividend from $0.65 to $0.70 per share for dividends declared in 2023. However, all future dividend declarations are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In the table below, shares repurchased are measured and reported based on the period shares are delivered to us, which can differ from the period cash is delivered to a repurchase agent for the value of such shares. The following is a summary of our share repurchases under our common stock repurchase program for the year ended December 31:</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9"/>
              </w:rPr>
              <w:t>2022(a)</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2021(b)</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2020(c)</w:t>
            </w: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repurchased (in thousands)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Weighted average price per share</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160.26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146.61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108.92</w:t>
            </w: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67" w:lineRule="exact"/>
        <w:rPr>
          <w:sz w:val="20"/>
          <w:szCs w:val="20"/>
          <w:color w:val="auto"/>
        </w:rPr>
      </w:pPr>
    </w:p>
    <w:p>
      <w:pPr>
        <w:jc w:val="both"/>
        <w:ind w:left="380" w:right="79" w:hanging="330"/>
        <w:spacing w:after="0" w:line="273" w:lineRule="auto"/>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executed and completed four ASR agreements during 2022 to repurchase $1.417 billion of our common stock and received 8.8 million shares in connection with these ASR agreements. We also repurchased an additional 0.6 million shares of our common stock in open market transactions in compliance with Rule 10b5-1 and Rule 10b-18 of the Securities Exchange Act of 1934 (“Exchange Act”) for $83 million, inclusive of per-share commissions. Shares repurchased in 2022 include 0.4 million shares of our common stock for $70 million pursuant to our December 2021 ASR agreement that completed in January 2022.</w:t>
      </w:r>
    </w:p>
    <w:p>
      <w:pPr>
        <w:spacing w:after="0" w:line="69" w:lineRule="exact"/>
        <w:rPr>
          <w:rFonts w:ascii="Arial" w:cs="Arial" w:eastAsia="Arial" w:hAnsi="Arial"/>
          <w:sz w:val="17"/>
          <w:szCs w:val="17"/>
          <w:color w:val="auto"/>
        </w:rPr>
      </w:pPr>
    </w:p>
    <w:p>
      <w:pPr>
        <w:ind w:left="380" w:right="79" w:hanging="330"/>
        <w:spacing w:after="0" w:line="342" w:lineRule="auto"/>
        <w:tabs>
          <w:tab w:leader="none" w:pos="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executed and completed three ASR agreements during 2021 to repurchase $1.0 billion of our common stock and received 7.0 million shares in connection with these ASR agreements. Additionally, in December 2021, we executed</w:t>
      </w:r>
    </w:p>
    <w:p>
      <w:pPr>
        <w:sectPr>
          <w:pgSz w:w="11900" w:h="16838" w:orient="portrait"/>
          <w:cols w:equalWidth="0" w:num="1">
            <w:col w:w="9019"/>
          </w:cols>
          <w:pgMar w:left="1440" w:top="611"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380" w:right="79"/>
        <w:spacing w:after="0" w:line="259" w:lineRule="auto"/>
        <w:rPr>
          <w:sz w:val="20"/>
          <w:szCs w:val="20"/>
          <w:color w:val="auto"/>
        </w:rPr>
      </w:pPr>
      <w:r>
        <w:rPr>
          <w:rFonts w:ascii="Arial" w:cs="Arial" w:eastAsia="Arial" w:hAnsi="Arial"/>
          <w:sz w:val="18"/>
          <w:szCs w:val="18"/>
          <w:color w:val="auto"/>
        </w:rPr>
        <w:t>an ASR agreement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79" w:lineRule="exact"/>
        <w:rPr>
          <w:sz w:val="20"/>
          <w:szCs w:val="20"/>
          <w:color w:val="auto"/>
        </w:rPr>
      </w:pPr>
    </w:p>
    <w:p>
      <w:pPr>
        <w:jc w:val="both"/>
        <w:ind w:left="380" w:right="79" w:hanging="330"/>
        <w:spacing w:after="0" w:line="259" w:lineRule="auto"/>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During 2020, we executed and completed an ASR agreement to repurchase $313 million of our common stock and received 2.8 million shares in connection with this ASR agreement. We also repurchased an additional 0.9 million shares of our common stock in open market transactions in compliance with Rule 10b5-1 and Rule 10b-18 of the Exchange Act for $89 million, inclusive of per-share commissions.</w:t>
      </w:r>
    </w:p>
    <w:p>
      <w:pPr>
        <w:spacing w:after="0" w:line="7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announced in December 2022 that the Board of Directors has authorized up to $1.5 billion in future share repurchases. This new authorization replaces our prior $1.5 billion authorization that was fully utilized in 2022. Any future share repurchases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Equity-Based Compensation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2022, 2021 and 2020 was approximately 455,000, 513,000 and 570,000, respectively. After the January 2023 issuance of shares associated with the July to December 2022 offering period, 2.3 million shares remain available for issuance under the ESPP.</w:t>
      </w:r>
    </w:p>
    <w:p>
      <w:pPr>
        <w:spacing w:after="0" w:line="18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As a result of our ESPP, annual compensation expense increased by $13 million, or $10 million net of tax expense, for 2022, $12 million, or $9 million net of tax expense, for 2021 and $13 million, or $10 million net of tax expense, for 2020.</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both incentive plans that are subsequently cancelled, forfeited, terminate, expire or lapse. In May 2020, the Company’s Board of Directors amended the 2014 Plan to provide that the number of future shares surrendered in payment of the exercise or purchase price of an award, and the number of future shares used to satisfy the withholding obligations, shall no longer be credited back to the total number of shares available for issuance under the 2014 Plan. As of December 31, 2022, approximately 16.1 million shares were available for future grants under the 2014 Plan. All of our equity-based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17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Pursuant to the Incentive Plans, we have the ability to issue stock options, stock appreciation rights and stock awards, including restricted stock, restricted stock units (“RSUs”) and performance share units (“PSUs”). The terms and conditions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of equity awards granted under the Incentive Plans are determined by the Management Development and Compensation Committee of our Board of Directors.</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2022 annual incentive plan awards granted to the Company’s senior leadership team, which generally includes the Company’s executive officers, included a combination of PSUs and stock options. Additionally, several members of the Company’s senior leadership team received a grant of RSUs in 2022 in special recognition of leadership and contributions critical to the acquisition of Advanced Disposal and the subsequent integration and synergy generation. Awards granted to other eligible employees under the 2014 Plan included a combination of PSUs, RSUs and stock options in 2022. The Company also periodically grants RSUs to employees working on key initiatives, in connection with new hires and promotions and to field-based managers.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January 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136.43</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6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total fair market value of RSUs that vested during the years ended December 31, 2022, 2021 and 2020 was $15 million, $12 million and $14 million, respectively. During the year ended December 31, 2022, we issued approximately 77,000 shares of common stock for these vested RSUs, net of approximately 30,000 units deferred or used for payment of associated taxes.</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generally subject to pro-rata vesting upon an employee’s involuntary termination other than for cause and generally payout at the end of the three-year vesting period and become immediately vested in the event of an employee’s death or disability.</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Compensation expense associated with RSUs is measured based on the grant-date fair value of our common stock and is recognized on a straight-line basis over the required employment period. Beginning in 2021, the terms of the award agreements for new grants of RSUs were updated to provide for accelerated vesting following retirement as if the employee had remained employed until the end of the vesting period. Accordingly, compensation expense for RSUs granted to retirement eligible employees is recognized over the longer of (i) the period between grant date and the date that the recipient becomes retirement-eligible or (ii) the defined service requirement of the award. Compensation expense is only recognized for those awards that we expect to vest, which we estimate based upon an assessment of expected forfeitures.</w:t>
      </w:r>
    </w:p>
    <w:p>
      <w:pPr>
        <w:spacing w:after="0" w:line="192" w:lineRule="exact"/>
        <w:rPr>
          <w:sz w:val="20"/>
          <w:szCs w:val="20"/>
          <w:color w:val="auto"/>
        </w:rPr>
      </w:pPr>
    </w:p>
    <w:p>
      <w:pPr>
        <w:jc w:val="both"/>
        <w:ind w:left="60" w:right="79" w:firstLine="324"/>
        <w:spacing w:after="0" w:line="293" w:lineRule="auto"/>
        <w:rPr>
          <w:sz w:val="20"/>
          <w:szCs w:val="20"/>
          <w:color w:val="auto"/>
        </w:rPr>
      </w:pPr>
      <w:r>
        <w:rPr>
          <w:rFonts w:ascii="Arial" w:cs="Arial" w:eastAsia="Arial" w:hAnsi="Arial"/>
          <w:sz w:val="16"/>
          <w:szCs w:val="16"/>
          <w:i w:val="1"/>
          <w:iCs w:val="1"/>
          <w:color w:val="auto"/>
        </w:rPr>
        <w:t xml:space="preserve">Performance Share Units — </w:t>
      </w:r>
      <w:r>
        <w:rPr>
          <w:rFonts w:ascii="Arial" w:cs="Arial" w:eastAsia="Arial" w:hAnsi="Arial"/>
          <w:sz w:val="16"/>
          <w:szCs w:val="16"/>
          <w:color w:val="auto"/>
        </w:rPr>
        <w:t>Two types of PSUs are currently outstanding: (i) PSUs for which payout is dependent on</w:t>
      </w:r>
      <w:r>
        <w:rPr>
          <w:rFonts w:ascii="Arial" w:cs="Arial" w:eastAsia="Arial" w:hAnsi="Arial"/>
          <w:sz w:val="16"/>
          <w:szCs w:val="16"/>
          <w:i w:val="1"/>
          <w:iCs w:val="1"/>
          <w:color w:val="auto"/>
        </w:rPr>
        <w:t xml:space="preserve"> </w:t>
      </w:r>
      <w:r>
        <w:rPr>
          <w:rFonts w:ascii="Arial" w:cs="Arial" w:eastAsia="Arial" w:hAnsi="Arial"/>
          <w:sz w:val="16"/>
          <w:szCs w:val="16"/>
          <w:color w:val="auto"/>
        </w:rPr>
        <w:t>total shareholder return relative to the S&amp;P 500 Index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the first half of the first quarter of the succeeding year. At the end of the performance period, the number of shares awarded can range from 0% to 200% of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targeted amount, depending on the performance against the pre-established targets. A summary of our PSUs, at 100% of the targeted amount, is presented in the table below (units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168.49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147.79</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determination of achievement of performance results and corresponding vesting of PSUs for the three-year performance period ended December 31, 2022 was performed by the Management Development and Compensation Committee of our Board of Directors in January 2023. Accordingly, vesting information for such awards is not included in the table above as of December 31, 2022. The “vested” PSUs are for the three-year performance period ended December 31, 2021, as achievement of performance results and corresponding vesting was determined in February 2022. The performance of the Company’s common stock for purposes of the TSR PSUs exceeded target performance criteria, and the Company’s financial results, as measured for purposes of the Cash Flow PSUs, exceeded the maximum performance criteria. Accordingly, recipients of the PSU awards received a payout of 167.78% of the vested TSR PSUs and 200% of the vested Cash Flow PSUs. In February 2022, approximately 637,000 PSUs vested and we issued approximately 420,000 shares of common stock for these vested PSUs, net of units deferred or used for payment of associated taxes. The shares of common stock that were issued or deferred during the years ended December 31, 2022, 2021 and 2020 for prior PSU award grants had a fair market value of $91 million, $74 million and $89 million, respectively.</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his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The terms of the award agreements for outstanding PSUs provide for continued vesting following retirement as if the employee had remained employed until the end of the performance period, and compensation expense for PSUs granted to retirement-eligible employees is accelerated over the period that the recipient becomes retirement-eligible plus a defined service requirement.</w:t>
      </w:r>
    </w:p>
    <w:p>
      <w:pPr>
        <w:spacing w:after="0" w:line="18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7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Deferred Units — </w:t>
      </w:r>
      <w:r>
        <w:rPr>
          <w:rFonts w:ascii="Arial" w:cs="Arial" w:eastAsia="Arial" w:hAnsi="Arial"/>
          <w:sz w:val="17"/>
          <w:szCs w:val="17"/>
          <w:color w:val="auto"/>
        </w:rPr>
        <w:t>Certain employees can elect to defer some or all of the vested RSU or PSU awards until a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date or dates they choose.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2022, we had approximately 179,000 vested deferred units outstanding.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Stock Options — </w:t>
      </w:r>
      <w:r>
        <w:rPr>
          <w:rFonts w:ascii="Arial" w:cs="Arial" w:eastAsia="Arial" w:hAnsi="Arial"/>
          <w:sz w:val="17"/>
          <w:szCs w:val="17"/>
          <w:color w:val="auto"/>
        </w:rPr>
        <w:t>Stock options granted prior to 2021 vest in 25% increments on the first two anniversaries of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with the remaining 50% vesting on the third anniversary. Beginning in 2021, stock options granted vest ratably in three annual increments, beginning on the first anniversary of the date of grant.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477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 (a)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or expired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2022 (b)</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as of December 31, 2022 (c)</w:t>
            </w: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line="20" w:lineRule="exact"/>
              <w:rPr>
                <w:sz w:val="1"/>
                <w:szCs w:val="1"/>
                <w:color w:val="auto"/>
              </w:rPr>
            </w:pPr>
          </w:p>
        </w:tc>
      </w:tr>
      <w:tr>
        <w:trPr>
          <w:trHeight w:val="197"/>
        </w:trPr>
        <w:tc>
          <w:tcPr>
            <w:tcW w:w="6560" w:type="dxa"/>
            <w:vAlign w:val="bottom"/>
            <w:gridSpan w:val="3"/>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1,762</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approximately 141,000 stock options exercised pursuant to Rule 10b5-1 trading plans that provided for net share settlement, resulting in the Company withholding approximately 112,000 shares of our common stock to cover the associated stock option exercise price and taxes.</w:t>
      </w:r>
    </w:p>
    <w:p>
      <w:pPr>
        <w:spacing w:after="0" w:line="75"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Stock options outstanding as of December 31, 2022 have a weighted average remaining contractual term of 6.2 years and an aggregate intrinsic value of $163 million based on the market value of our common stock on December 31, 2022.</w:t>
      </w:r>
    </w:p>
    <w:p>
      <w:pPr>
        <w:spacing w:after="0" w:line="7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Stock options exercisable as of December 31, 2022 have an aggregate intrinsic value of $130 million based on the market value of our common stock on December 31, 2022.</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During 2022, 2021 and 2020, we received cash proceeds of $44 million, $66 million and $63 million, respectively, from the exercise of 675,000, 962,000 and 1,039,000 of employee stock options. The aggregate intrinsic value of stock options exercised during 2022, 2021 and 2020 was $51 million, $66 million and $58 million, respectively.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options exercisable as of December 31, 2022 were as follows (options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6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Per Share</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5"/>
              </w:rPr>
              <w:t>Remaining Years</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$36.88-$50.00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$50.01-$70.00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55.53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$70.01-$100.00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$100.01-$145.67</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119.87</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$36.88-$145.67</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2022, 2021 and 2020 was $26.44, $17.25 and $15.82, respectively. The fair value of stock options at the date of grant is amortized to expense over the vesting period less expected forfeitures, except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for stock options granted to retirement-eligible employees, for which expense is accelerated over the period that the recipient becomes retirement-eligible. The following table presents the weighted average assumptions used to value employee stock options granted during the year ended December 31 under the Black-Scholes valuation model:</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r>
      <w:tr>
        <w:trPr>
          <w:trHeight w:val="20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option life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years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years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years</w:t>
            </w: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96"/>
              </w:rPr>
              <w:t>23.4 %</w:t>
            </w:r>
          </w:p>
        </w:tc>
        <w:tc>
          <w:tcPr>
            <w:tcW w:w="160" w:type="dxa"/>
            <w:vAlign w:val="bottom"/>
          </w:tcPr>
          <w:p>
            <w:pPr>
              <w:spacing w:after="0"/>
              <w:rPr>
                <w:sz w:val="18"/>
                <w:szCs w:val="18"/>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96"/>
              </w:rPr>
              <w:t>23.2 %</w:t>
            </w:r>
          </w:p>
        </w:tc>
        <w:tc>
          <w:tcPr>
            <w:tcW w:w="160" w:type="dxa"/>
            <w:vAlign w:val="bottom"/>
          </w:tcPr>
          <w:p>
            <w:pPr>
              <w:spacing w:after="0"/>
              <w:rPr>
                <w:sz w:val="18"/>
                <w:szCs w:val="18"/>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96"/>
              </w:rPr>
              <w:t>16.6 %</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1.7 %</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20"/>
                <w:szCs w:val="20"/>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20"/>
                <w:szCs w:val="20"/>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1.4 %</w:t>
            </w:r>
          </w:p>
        </w:tc>
      </w:tr>
    </w:tbl>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expected dividend yield is the annual rate of dividends per share over the exercise price of the option as of the grant date.</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For the years ended December 31, 2022, 2021 and 2020, we recognized $71 million, $94 million and $79 million, respectively, of compensation expense associated with RSU, PSU and stock option awards as a component of selling, general and administrative expenses in our Consolidated Statements of Operations. Our income tax expense for the years ended December 31, 2022, 2021 and 2020 includes related income tax benefits of $14 million, $18 million and $15 million, respectively. We have not capitalized any equity-based compensation costs during the reported periods.</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2022, we estimate that $45 million of currently unrecognized compensation expense will be recognized over a weighted average period of 1.5 years for our unvested RSU, PSU and stock option awards issued and outstanding.</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Non-Employee Director Plan</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2014 Plan described above.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Basic and diluted earnings per share were computed using the following common share data for the year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(shares in millions):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02"/>
        </w:trPr>
        <w:tc>
          <w:tcPr>
            <w:tcW w:w="6420" w:type="dxa"/>
            <w:vAlign w:val="bottom"/>
          </w:tcPr>
          <w:p>
            <w:pPr>
              <w:ind w:left="120"/>
              <w:spacing w:after="0" w:line="201" w:lineRule="exact"/>
              <w:rPr>
                <w:sz w:val="20"/>
                <w:szCs w:val="20"/>
                <w:color w:val="auto"/>
              </w:rPr>
            </w:pPr>
            <w:r>
              <w:rPr>
                <w:rFonts w:ascii="Arial" w:cs="Arial" w:eastAsia="Arial" w:hAnsi="Arial"/>
                <w:sz w:val="18"/>
                <w:szCs w:val="18"/>
                <w:color w:val="auto"/>
                <w:w w:val="93"/>
              </w:rPr>
              <w:t>Dilutive effect of equity-based compensation awards and other contingently issuable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shares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1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Number of anti-dilutive potentially issuable shares excluded from diluted common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Refer to the Consolidated Statements of Operations for net income attributable to Waste Management,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300" w:right="59"/>
        <w:spacing w:after="0" w:line="286" w:lineRule="auto"/>
        <w:rPr>
          <w:sz w:val="20"/>
          <w:szCs w:val="20"/>
          <w:color w:val="auto"/>
        </w:rPr>
      </w:pPr>
      <w:r>
        <w:rPr>
          <w:rFonts w:ascii="Arial" w:cs="Arial" w:eastAsia="Arial" w:hAnsi="Arial"/>
          <w:sz w:val="17"/>
          <w:szCs w:val="17"/>
          <w:i w:val="1"/>
          <w:iCs w:val="1"/>
          <w:color w:val="auto"/>
        </w:rPr>
        <w:t xml:space="preserve">Level 2 — </w:t>
      </w:r>
      <w:r>
        <w:rPr>
          <w:rFonts w:ascii="Arial" w:cs="Arial" w:eastAsia="Arial" w:hAnsi="Arial"/>
          <w:sz w:val="17"/>
          <w:szCs w:val="17"/>
          <w:color w:val="auto"/>
        </w:rPr>
        <w:t>Observable inputs other than quoted prices in active markets for identical assets and liabilities,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identical or similar assets or liabilities in inactive markets, or other inputs that are observable or can be corroborated by observable market data for substantially the full term of the assets or liabilities.</w:t>
      </w:r>
    </w:p>
    <w:p>
      <w:pPr>
        <w:spacing w:after="0" w:line="57" w:lineRule="exact"/>
        <w:rPr>
          <w:sz w:val="20"/>
          <w:szCs w:val="20"/>
          <w:color w:val="auto"/>
        </w:rPr>
      </w:pPr>
    </w:p>
    <w:p>
      <w:pPr>
        <w:jc w:val="both"/>
        <w:ind w:left="300" w:right="79"/>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that are generally unobservable and typically reflect management’s estimate of assumptions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participants would use in pricing the asset or liability.</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as of December 31 (in millions):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Quoted prices in active markets (Level 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940" w:type="dxa"/>
            <w:vAlign w:val="bottom"/>
          </w:tcPr>
          <w:p>
            <w:pPr>
              <w:ind w:left="140"/>
              <w:spacing w:after="0"/>
              <w:rPr>
                <w:sz w:val="20"/>
                <w:szCs w:val="20"/>
                <w:color w:val="auto"/>
              </w:rPr>
            </w:pPr>
            <w:r>
              <w:rPr>
                <w:rFonts w:ascii="Arial" w:cs="Arial" w:eastAsia="Arial" w:hAnsi="Arial"/>
                <w:sz w:val="18"/>
                <w:szCs w:val="18"/>
                <w:color w:val="auto"/>
              </w:rPr>
              <w:t>Cash equivalents and 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Significant other observable inputs (Level 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Significant unobservable inputs (Level 3):</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69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See Note 11 for information related to our nonrecurring fair value measurements and the impact of impairments. See Note 17 for information related to the nonrecurring fair value measurement of assets and liabilities acquired in connection with our acquisitions.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 and Money Market Funds</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Cash equivalents primarily include short-term interest-bearing instruments with maturities of three months or less. We invest portions of our restricted trust funds in money market funds and we measure the fair value of these investments using quoted prices in active markets for identical assets. The fair value of our cash equivalents and money market funds approximates our cost basis in these instruments.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Securities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invest portions of our restricted trust funds in equity securities and we measure the fair value of these securities using quoted prices in active markets for identical assets. Any changes in fair value of these securities related to unrealized gains and losses have been appropriately reflected as a component of other income (expense).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available-for-sale securities include restricted trust funds and an investment in an unconsolidated entity, as discussed in Note 18. We invest primarily in debt securities, including U.S. Treasury securities, U.S. agency securities, municipal securities and mortgage- and asset-backed securities, which generally mature over the next nine years.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Redeemable Preferred Stock</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Redeemable preferred stock is related to a noncontrolling investment in an unconsolidated entity and is included in investments in unconsolidated entities in our Consolidated Balance Sheets. The fair value of our investment has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As of December 31, 2022 and 2021, the carrying value of our debt was $15.0 billion and $13.4 billion, respectively. The estimated fair value of our debt was approximately $13.8 billion and $14.1 billion as of December 31, 2022 and 2021, respectively. The decrease in the fair value of debt is primarily related to increases in current market rates of our senior notes, the impacts of which were substantially offset by net borrowings of $1.4 billion during 2022.</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2022 and 2021. These amounts have not been revalued since those dates, and current estimates of fair value could differ significantly from the amounts presented.</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Acquisitions and Divestitures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2022 Acquisitions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During the year ended December 31, 2022, we acquired 13 businesses, including the acquisition of a controlling interest in a business intended to allow us to deliver new recycling capabilities for our customers and provide circular solutions for film and clear plastic wrap used commercially, such as plastic stretch wrap for pallets, furniture film, grocery bags and potentially shrink wrap around food and beverage containers. Our other acquisitions in 2022 primarily related to our Solid Waste business. Total consideration, net of cash acquired, for all acquisitions was $507 million, which included $372 million in net cash paid and $135 million in non-cash consideration, primarily related to purchase price holdbacks and the conversion of $67 million in secured convertible promissory notes receivable into equity of the acquired business. In addition, we paid $5 million of holdbacks related to prior year acquisitions.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Total consideration for our 2022 acquisitions was primarily allocated to $138 million of property and equipment, $64 million of other intangible assets, $325 million of goodwill and $14 million of noncontrolling interests. Other intangible assets included $45 million of customer relationships and $19 million of covenants not-to-compete.</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remain in the measurement period for most of our 2022 acquisitions, and further adjustments to our preliminary purchase price allocations may occur, specifically for the valuation of certain acquired intangibles. The goodwill related to our 2022 acquisitions was primarily a result of expected synergies from combining the acquired businesses with our existing operations, of which less than half was tax deductible.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2021 Acquisitions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year ended December 31, 2021, we acquired 11 businesses primarily related to our Solid Waste business. Total consideration, net of cash acquired, for all acquisitions was $94 million, which included $73 million in net cash paid and $21 million of other consideration, primarily purchase price holdbacks and the settlement of a preexisting promissory note with one of the acquired businesses. In addition, we paid $3 million of holdbacks, primarily related to current year acquisitions.</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2021 acquisitions discussed above include our acquisition of the remaining ownership interest in a waste diversion technology company. Concurrent with our acquisition, the acquired entity issued shares to an unrelated third-party, diluting our ownership interest. We determined the entity constituted a variable interest entity and concluded that we did not have the power to direct its significant activities. As a result, we subsequently deconsolidated the entity and account for our remaining ownership interest as an equity method investment.</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2020 Acquisitions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year ended December 31, 2020, we acquired four businesses related to our Solid Waste business, including the acquisition of Advanced Disposal discussed further below. Total consideration, net of cash acquired of $36 million, for all acquisitions was $4.1 billion, none of which related to other consideration such as purchase price holdbacks. In 2020, we paid $3 million of holdbacks, all of which related to prior year acquisitions. Contingent consideration obligations are primarily based on achievement by the acquired businesses of certain negotiated goals, which generally include targeted financial metrics.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Advanced Disposal </w:t>
      </w:r>
      <w:r>
        <w:rPr>
          <w:rFonts w:ascii="Arial" w:cs="Arial" w:eastAsia="Arial" w:hAnsi="Arial"/>
          <w:sz w:val="18"/>
          <w:szCs w:val="18"/>
          <w:color w:val="auto"/>
        </w:rPr>
        <w:t>— On October 30, 2020, we completed our acquisition of all outstanding shares of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for $30.30 per share in cash, pursuant to an Agreement and Plan of Merger dated April 14, 2019, as amended on June 24, 2020. Total enterprise value of the acquisition was $4.6 billion when including approximately $1.8 billion of Advanced Disposal’s net debt. This acquisition grew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and our commercial paper program. In November 2020, we issued $2.5 billion of senior notes and used a portion of the proceeds to repay all outstanding borrowings under the $3.0 billion, 364-day, U.S. revolver and terminated the facility.</w:t>
      </w:r>
    </w:p>
    <w:p>
      <w:pPr>
        <w:spacing w:after="0" w:line="19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For the year ended December 31, 2022 and 2021, we incurred integration related costs of $10 million and $51 million, respectively, and for the year ended December 31, 2020, we incurred acquisition and integration related costs of $156 million, which were primarily classified as “Selling, general and administrative expenses.” The post-closing operating results of Advanced Disposal have been included in our consolidated financial statements, within our existing reportable segments. Post-closing through December 31, 2020, Advanced Disposal recognized $205 million, $142 million and $60 million of revenue, operating expenses and selling, general and administrative expenses, respectively, which are included in our Consolidated Statement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consolidated financial statements have not been retroactively restated to include Advanced Disposal’s historical financial position or results of operations. The acquisition was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The Company valued the customer relationship asset using an income approach; specifically, the multi-period excess earnings method. The significant assumptions used to value customer relationships included, among others, attrition rates, revenue growth rate, and discount rate. The Company valued the landfill assets using an income approach; specifically, the multi-period excess earnings method. The significant assumptions used to value landfill assets included, among others, the forecasted revenue and revenue growth (including forecasted waste volumes and rate per ton), discount rate, and forecasted capital expenditures. The allocation of the purchase price was finalized in October 2021.</w:t>
      </w:r>
    </w:p>
    <w:p>
      <w:pPr>
        <w:spacing w:after="0" w:line="16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Goodwill of $2.5 billion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reporting units that have integrated these operations as they are benefitting from the synergies of the combination. Goodwill related to this acquisition is not deductible for income tax purposes.</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the purchase price allocation as of the date acquired, and adjustments to October 30, 2021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October 30, 2020</w:t>
            </w:r>
          </w:p>
        </w:tc>
        <w:tc>
          <w:tcPr>
            <w:tcW w:w="2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b w:val="1"/>
                <w:bCs w:val="1"/>
                <w:color w:val="auto"/>
              </w:rPr>
              <w:t>October 30, 2021</w:t>
            </w:r>
          </w:p>
        </w:tc>
      </w:tr>
      <w:tr>
        <w:trPr>
          <w:trHeight w:val="209"/>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and other receivables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Parts and supplies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Assets held for sale (a)</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Liabilities held for sale (a)</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 (b)</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0"/>
        </w:trPr>
        <w:tc>
          <w:tcPr>
            <w:tcW w:w="392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purchase price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0"/>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spacing w:after="0" w:line="67" w:lineRule="exact"/>
        <w:rPr>
          <w:sz w:val="20"/>
          <w:szCs w:val="20"/>
          <w:color w:val="auto"/>
        </w:rPr>
      </w:pPr>
    </w:p>
    <w:p>
      <w:pPr>
        <w:jc w:val="both"/>
        <w:ind w:left="380" w:right="79" w:hanging="330"/>
        <w:spacing w:after="0" w:line="296" w:lineRule="auto"/>
        <w:tabs>
          <w:tab w:leader="none" w:pos="3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connection with our acquisition of Advanced Disposal, we and Advanced Disposal entered into an agreement that provided for GFL Environmental to acquire a combination of assets from us and Advanced Disposal to address divestitures required by the U.S. Department of Justice. Upon acquisition these assets met the criteria for reporting discontinued operations and were classified as held for sale and included within the “Assets held for sale” and “Liabilities held for sale” line items in the above final allocation of purchase price. Immediately following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acquisition, the divestiture transactions were consummated and the Company subsequently received cash proceeds from the sale of $856 million.</w:t>
      </w:r>
    </w:p>
    <w:p>
      <w:pPr>
        <w:spacing w:after="0" w:line="170" w:lineRule="exact"/>
        <w:rPr>
          <w:sz w:val="20"/>
          <w:szCs w:val="20"/>
          <w:color w:val="auto"/>
        </w:rPr>
      </w:pPr>
    </w:p>
    <w:p>
      <w:pPr>
        <w:jc w:val="both"/>
        <w:ind w:left="380" w:right="79" w:hanging="330"/>
        <w:spacing w:after="0" w:line="263" w:lineRule="auto"/>
        <w:tabs>
          <w:tab w:leader="none" w:pos="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the time of acquisition, Advanced Disposal had outstanding $425 million of 5.625% senior notes due November 2024, the fair value of which was $438 million. In November 2020, we redeemed the notes pursuant to an optional redemption feature.</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final allocation of $601 million for other intangibles includes $572 million for customer relationships with an amortization period of 15 years and $29 million of other intangibles with a weighted average amortization period of seven years.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Advanced Disposal as though the companies had been combined as of January 1, 2020. Examples of adjustments made to arrive at the pro forma amounts include, but are not limited to, the following:</w:t>
      </w:r>
    </w:p>
    <w:p>
      <w:pPr>
        <w:spacing w:after="0" w:line="165" w:lineRule="exact"/>
        <w:rPr>
          <w:sz w:val="20"/>
          <w:szCs w:val="20"/>
          <w:color w:val="auto"/>
        </w:rPr>
      </w:pPr>
    </w:p>
    <w:p>
      <w:pPr>
        <w:ind w:left="700" w:hanging="32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effect of divestitures required by the U.S. Department of Justice;</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Intercompany true-ups based on acquisition/divestiture activity;</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Transaction expenses incurred by us and Advanced Disposal;</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Adjustments to depreciation and amortization expense due to step-up in fair value of the acquired assets; and</w:t>
      </w:r>
    </w:p>
    <w:p>
      <w:pPr>
        <w:spacing w:after="0" w:line="20" w:lineRule="exact"/>
        <w:rPr>
          <w:rFonts w:ascii="Arial" w:cs="Arial" w:eastAsia="Arial" w:hAnsi="Arial"/>
          <w:sz w:val="17"/>
          <w:szCs w:val="17"/>
          <w:color w:val="auto"/>
        </w:rPr>
      </w:pPr>
    </w:p>
    <w:p>
      <w:pPr>
        <w:ind w:left="700" w:hanging="32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 expense adjustments.</w:t>
      </w:r>
    </w:p>
    <w:p>
      <w:pPr>
        <w:spacing w:after="0" w:line="21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unaudited pro forma financial information is for informational purposes only and is not necessarily indicative of the results of operations that would have been achieved as if the acquisition had taken place as of January 1, 2020 for the year ended December 31 (in millions, except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w:t>
            </w: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Net income attributable to Waste Management, Inc.</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7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79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r>
    </w:tbl>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2022, 2021 and 2020, the aggregate sales price for divestitures of certain landfill assets, as well as collection, hauling, disposal and ancillary operations, was $6 million, $48 million and $856 million, and we recognized net gains of $5 million, $44 million and $33 million, respectively. In 2021, divestitures primarily related to the sale of certain non-strategic Canadian operations, as discussed in Note 11. In 2020, divestitures primarily consisted of assets required to be sold by the U.S. Department of Justice in connection with our acquisition of Advanced Disposal, as discussed above. The remaining amounts reported in the Consolidated Statements of Cash Flows generally relate to the sale of fixed assets.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9" w:name="page120"/>
    <w:bookmarkEnd w:id="1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Variable Interest Entities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$321 million and $178 million as of December 31, 2022 and 2021, respectively. The debt balance related to our investments in low-income housing properties was $295 million and $156 million as of December 31, 2022 and 2021, respectively. Additional information related to these investments is discussed in Note 8.</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$93 million and $110 million as of December 31, 2022 and 2021, respectively.</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are the primary beneficiary. These trust funds are recorded in restricted funds in our Consolidated Balance Sheets. Unrealized gains and losses on available-for-sale securities held by these trusts are recorded as a component of accumulated other comprehensive income (loss). These trusts had a fair value of $113 million and $117 million as of December 31, 2022 and 2021, respectively.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Segment and Related Information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w:t>
      </w:r>
    </w:p>
    <w:p>
      <w:pPr>
        <w:spacing w:after="0" w:line="178"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our East and West Tiers are presented herein as “Other” as these operating segments do not meet the criteria to be aggregated with other operating segments and do not meet the quantitative criteria to be separately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as of December 31 and for the year then ended is shown in the following table (in millions):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51"/>
              <w:spacing w:after="0"/>
              <w:rPr>
                <w:sz w:val="20"/>
                <w:szCs w:val="20"/>
                <w:color w:val="auto"/>
              </w:rPr>
            </w:pPr>
            <w:r>
              <w:rPr>
                <w:rFonts w:ascii="Arial" w:cs="Arial" w:eastAsia="Arial" w:hAnsi="Arial"/>
                <w:sz w:val="14"/>
                <w:szCs w:val="14"/>
                <w:b w:val="1"/>
                <w:bCs w:val="1"/>
                <w:color w:val="auto"/>
                <w:w w:val="88"/>
              </w:rPr>
              <w:t>Gross</w:t>
            </w: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Intercompany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1"/>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Depreciation,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1"/>
              <w:spacing w:after="0" w:line="149" w:lineRule="exact"/>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Depletion and</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Expenditures</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Years Ended December 31:</w:t>
            </w:r>
          </w:p>
        </w:tc>
        <w:tc>
          <w:tcPr>
            <w:tcW w:w="26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Revenues(d)</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Operations(e)</w:t>
            </w:r>
          </w:p>
        </w:tc>
        <w:tc>
          <w:tcPr>
            <w:tcW w:w="14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9"/>
              </w:rPr>
              <w:t>(f)</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East Tier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10,283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West Tier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Solid Waste (a)</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20,473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16,373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Other (b)</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Corporate and Other (c)</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East Tier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West Tier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Solid Waste (a)</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18,647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15,001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Other (b)</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21,693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17,931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Corporate and Other (c)</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21,693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17,931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East Tier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West Tier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Solid Waste (a)</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16,114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12,954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Other (b)</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18,478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15,218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Corporate and Other (c)</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18,478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59" w:lineRule="auto"/>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78" w:lineRule="exact"/>
        <w:rPr>
          <w:rFonts w:ascii="Arial" w:cs="Arial" w:eastAsia="Arial" w:hAnsi="Arial"/>
          <w:sz w:val="18"/>
          <w:szCs w:val="18"/>
          <w:color w:val="auto"/>
        </w:rPr>
      </w:pPr>
    </w:p>
    <w:p>
      <w:pPr>
        <w:jc w:val="both"/>
        <w:ind w:left="380" w:right="59"/>
        <w:spacing w:after="0" w:line="287" w:lineRule="auto"/>
        <w:rPr>
          <w:rFonts w:ascii="Arial" w:cs="Arial" w:eastAsia="Arial" w:hAnsi="Arial"/>
          <w:sz w:val="18"/>
          <w:szCs w:val="18"/>
          <w:color w:val="auto"/>
        </w:rPr>
      </w:pPr>
      <w:r>
        <w:rPr>
          <w:rFonts w:ascii="Arial" w:cs="Arial" w:eastAsia="Arial" w:hAnsi="Arial"/>
          <w:sz w:val="16"/>
          <w:szCs w:val="16"/>
          <w:color w:val="auto"/>
        </w:rPr>
        <w:t>Income from operations in our Solid Waste business increased in 2022, as compared with 2021, primarily due to revenue growth in our collection and disposal businesses driven by both yield and volume. This increase was partially offset by (i) inflationary cost pressures; (ii) labor cost increases from frontline employee wage adjustments;</w:t>
      </w:r>
    </w:p>
    <w:p>
      <w:pPr>
        <w:spacing w:after="0" w:line="2" w:lineRule="exact"/>
        <w:rPr>
          <w:rFonts w:ascii="Arial" w:cs="Arial" w:eastAsia="Arial" w:hAnsi="Arial"/>
          <w:sz w:val="18"/>
          <w:szCs w:val="18"/>
          <w:color w:val="auto"/>
        </w:rPr>
      </w:pPr>
    </w:p>
    <w:p>
      <w:pPr>
        <w:jc w:val="both"/>
        <w:ind w:left="380" w:right="59" w:hanging="6"/>
        <w:spacing w:after="0" w:line="255" w:lineRule="auto"/>
        <w:tabs>
          <w:tab w:leader="none" w:pos="7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divestitures, asset impairments and unusual items, discussed in Note 11 above, that impacted our East Tier results and (iv) reduced profitability in our recycling business from the decline in recycling commodity prices and lower volumes.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Income from operations in our Solid Waste business increased in 2021, as compared with 2020, primarily due to</w:t>
      </w:r>
    </w:p>
    <w:p>
      <w:pPr>
        <w:spacing w:after="0" w:line="35" w:lineRule="exact"/>
        <w:rPr>
          <w:sz w:val="20"/>
          <w:szCs w:val="20"/>
          <w:color w:val="auto"/>
        </w:rPr>
      </w:pPr>
    </w:p>
    <w:p>
      <w:pPr>
        <w:jc w:val="both"/>
        <w:ind w:left="380" w:right="59" w:hanging="6"/>
        <w:spacing w:after="0" w:line="285" w:lineRule="auto"/>
        <w:tabs>
          <w:tab w:leader="none" w:pos="641" w:val="left"/>
        </w:tabs>
        <w:numPr>
          <w:ilvl w:val="1"/>
          <w:numId w:val="88"/>
        </w:numPr>
        <w:rPr>
          <w:rFonts w:ascii="Arial" w:cs="Arial" w:eastAsia="Arial" w:hAnsi="Arial"/>
          <w:sz w:val="16"/>
          <w:szCs w:val="16"/>
          <w:color w:val="auto"/>
        </w:rPr>
      </w:pPr>
      <w:r>
        <w:rPr>
          <w:rFonts w:ascii="Arial" w:cs="Arial" w:eastAsia="Arial" w:hAnsi="Arial"/>
          <w:sz w:val="16"/>
          <w:szCs w:val="16"/>
          <w:color w:val="auto"/>
        </w:rPr>
        <w:t>revenue growth in our collection and disposal businesses driven by both yield and volume, as well as the acquisition of Advanced Disposal; (ii) improved profitability in our recycling business from higher market prices for recycling commodities and improved costs at facilities where we have made investments in enhanced technology and equipment and (iii) changes from divestitures, asset impairments and unusual items, discussed in Note 11, that impacted both Tiers’ results. These increases were partially offset by (i) labor cost pressure from frontline employee wage adjustments, increased turnover driving up training costs and higher overtime due to driver shortages and volume growth; (ii) increased landfill depletion from higher volumes and revisions in landfill estimates, including the anticipated timing of capping, closure and post-closure activities at certain landfills and adjustments in 2020 to the inflation rate used to estimate capping, closure, and post-closure asset retirement obligations that benefitted costs in 2020 and (iii) inflationary cost pressures. During 2021, the positive earnings contributions from Advanced Disposal were offset by elevated depreciation, depletion and amortization of acquired assets.</w:t>
      </w:r>
    </w:p>
    <w:p>
      <w:pPr>
        <w:spacing w:after="0" w:line="66" w:lineRule="exact"/>
        <w:rPr>
          <w:rFonts w:ascii="Arial" w:cs="Arial" w:eastAsia="Arial" w:hAnsi="Arial"/>
          <w:sz w:val="16"/>
          <w:szCs w:val="16"/>
          <w:color w:val="auto"/>
        </w:rPr>
      </w:pPr>
    </w:p>
    <w:p>
      <w:pPr>
        <w:jc w:val="both"/>
        <w:ind w:left="380" w:right="79" w:hanging="330"/>
        <w:spacing w:after="0" w:line="255" w:lineRule="auto"/>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includes (i) elements of our Strategic Business Solutions (“WMSBS”) business that are not included in the operations of our reportable segments; (ii) elements of our sustainability business that includes landfill gas-to-energy operations managed by our WM Renewable Energy business, our SES business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84" w:lineRule="exact"/>
        <w:rPr>
          <w:rFonts w:ascii="Arial" w:cs="Arial" w:eastAsia="Arial" w:hAnsi="Arial"/>
          <w:sz w:val="18"/>
          <w:szCs w:val="18"/>
          <w:color w:val="auto"/>
        </w:rPr>
      </w:pPr>
    </w:p>
    <w:p>
      <w:pPr>
        <w:jc w:val="both"/>
        <w:ind w:left="380" w:right="59"/>
        <w:spacing w:after="0" w:line="275" w:lineRule="auto"/>
        <w:rPr>
          <w:rFonts w:ascii="Arial" w:cs="Arial" w:eastAsia="Arial" w:hAnsi="Arial"/>
          <w:sz w:val="18"/>
          <w:szCs w:val="18"/>
          <w:color w:val="auto"/>
        </w:rPr>
      </w:pPr>
      <w:r>
        <w:rPr>
          <w:rFonts w:ascii="Arial" w:cs="Arial" w:eastAsia="Arial" w:hAnsi="Arial"/>
          <w:sz w:val="17"/>
          <w:szCs w:val="17"/>
          <w:color w:val="auto"/>
        </w:rPr>
        <w:t>The decrease in income from operations in 2022, as compared with 2021, was due to the recognition of acquisition and integration-related costs, as well as, a prior year gain from divestitures of certain ancillary operations in our Other segment, discussed in Note 11, partially offset by improved profitability in our SES and WMSBS businesses. The increase in income from operations for 2021, as compared to 2020, was primarily driven by increased market values for renewable energy credits generated by our WM Renewable Energy business.</w:t>
      </w:r>
    </w:p>
    <w:p>
      <w:pPr>
        <w:spacing w:after="0" w:line="68"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66" w:lineRule="exact"/>
        <w:rPr>
          <w:rFonts w:ascii="Arial" w:cs="Arial" w:eastAsia="Arial" w:hAnsi="Arial"/>
          <w:sz w:val="18"/>
          <w:szCs w:val="18"/>
          <w:color w:val="auto"/>
        </w:rPr>
      </w:pPr>
    </w:p>
    <w:p>
      <w:pPr>
        <w:ind w:left="380" w:right="279"/>
        <w:spacing w:after="0" w:line="308" w:lineRule="auto"/>
        <w:rPr>
          <w:rFonts w:ascii="Arial" w:cs="Arial" w:eastAsia="Arial" w:hAnsi="Arial"/>
          <w:sz w:val="18"/>
          <w:szCs w:val="18"/>
          <w:color w:val="auto"/>
        </w:rPr>
      </w:pPr>
      <w:r>
        <w:rPr>
          <w:rFonts w:ascii="Arial" w:cs="Arial" w:eastAsia="Arial" w:hAnsi="Arial"/>
          <w:sz w:val="17"/>
          <w:szCs w:val="17"/>
          <w:color w:val="auto"/>
        </w:rPr>
        <w:t>These costs increased in 2022, as compared with 2021, primarily due to strategic investments in our digital platform and sustainability initiatives, partially offset by lower acquisition and integration related costs.</w:t>
      </w:r>
    </w:p>
    <w:p>
      <w:pPr>
        <w:spacing w:after="0" w:line="38" w:lineRule="exact"/>
        <w:rPr>
          <w:rFonts w:ascii="Arial" w:cs="Arial" w:eastAsia="Arial" w:hAnsi="Arial"/>
          <w:sz w:val="18"/>
          <w:szCs w:val="18"/>
          <w:color w:val="auto"/>
        </w:rPr>
      </w:pPr>
    </w:p>
    <w:p>
      <w:pPr>
        <w:jc w:val="both"/>
        <w:ind w:left="380" w:right="59"/>
        <w:spacing w:after="0" w:line="291" w:lineRule="auto"/>
        <w:rPr>
          <w:rFonts w:ascii="Arial" w:cs="Arial" w:eastAsia="Arial" w:hAnsi="Arial"/>
          <w:sz w:val="18"/>
          <w:szCs w:val="18"/>
          <w:color w:val="auto"/>
        </w:rPr>
      </w:pPr>
      <w:r>
        <w:rPr>
          <w:rFonts w:ascii="Arial" w:cs="Arial" w:eastAsia="Arial" w:hAnsi="Arial"/>
          <w:sz w:val="16"/>
          <w:szCs w:val="16"/>
          <w:color w:val="auto"/>
        </w:rPr>
        <w:t>These costs increased in 2021, as compared with 2020, due to (i) higher incentive compensation costs; (ii) increased labor, support and integration costs following our acquisition of Advanced Disposal; (iii) strategic investments in our digital platform; (iv) increased health and welfare costs attributable to medical care activity generally returning to pre-pandemic levels from the lower levels experienced during 2020 and (v) charges pertaining to reserves for certain loss contingencies during 2021. These increases were partially offset by lower consulting, advisory and legal fees following the completion of our acquisition of Advanced Disposal in the fourth quarter of 2020 and changes in the measurement of our environmental remediation obligations and recovery assets in both 2020 and 2021.</w:t>
      </w:r>
    </w:p>
    <w:p>
      <w:pPr>
        <w:spacing w:after="0" w:line="44"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the same as those described in Note 2.</w:t>
      </w:r>
    </w:p>
    <w:p>
      <w:pPr>
        <w:spacing w:after="0" w:line="62"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and equipment balances and, therefore, include timing differences for amounts accrued but not yet paid.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right="79" w:hanging="330"/>
        <w:spacing w:after="0" w:line="277" w:lineRule="auto"/>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Sheets as of December 31 is as follows (in millions):</w:t>
      </w:r>
    </w:p>
    <w:p>
      <w:pPr>
        <w:spacing w:after="0" w:line="5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8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reported above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$ 31,677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$ 29,392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$ 29,649</w:t>
            </w:r>
          </w:p>
        </w:tc>
        <w:tc>
          <w:tcPr>
            <w:tcW w:w="2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Elimination of intercompany investments and advances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70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r>
      <w:tr>
        <w:trPr>
          <w:trHeight w:val="209"/>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per Consolidated Balance Sheet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$ 31,367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$ 29,097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$ 29,345</w:t>
            </w:r>
          </w:p>
        </w:tc>
        <w:tc>
          <w:tcPr>
            <w:tcW w:w="2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left="380" w:right="59" w:hanging="330"/>
        <w:spacing w:after="0" w:line="259" w:lineRule="auto"/>
        <w:tabs>
          <w:tab w:leader="none" w:pos="432" w:val="left"/>
        </w:tabs>
        <w:numPr>
          <w:ilvl w:val="0"/>
          <w:numId w:val="91"/>
        </w:numPr>
        <w:rPr>
          <w:rFonts w:ascii="Arial" w:cs="Arial" w:eastAsia="Arial" w:hAnsi="Arial"/>
          <w:sz w:val="18"/>
          <w:szCs w:val="18"/>
          <w:color w:val="auto"/>
        </w:rPr>
      </w:pPr>
      <w:r>
        <w:rPr>
          <w:rFonts w:ascii="Arial" w:cs="Arial" w:eastAsia="Arial" w:hAnsi="Arial"/>
          <w:sz w:val="18"/>
          <w:szCs w:val="18"/>
          <w:color w:val="auto"/>
        </w:rPr>
        <w:t>Goodwill is included within each segment’s total assets. For segment reporting purposes, our material recovery facilities are included as a component of their respective Tiers and our recycling brokerage services are included as part of our “Other” operations. The following table presents changes in goodwill during the reported periods by segment (in millions):</w:t>
      </w:r>
    </w:p>
    <w:p>
      <w:pPr>
        <w:spacing w:after="0" w:line="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Solid Waste</w:t>
            </w: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East Tier</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West Tier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$ 5,101</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Acquired goodwill (a)</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Divested goodwill</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Foreign currency translation and other</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$ 5,120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Acquired goodwill</w:t>
            </w: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Divested goodwill</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Foreign currency translation and other</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20" w:type="dxa"/>
            <w:vAlign w:val="bottom"/>
            <w:tcBorders>
              <w:bottom w:val="single" w:sz="8" w:color="auto"/>
            </w:tcBorders>
          </w:tcPr>
          <w:p>
            <w:pPr>
              <w:spacing w:after="0"/>
              <w:rPr>
                <w:sz w:val="7"/>
                <w:szCs w:val="7"/>
                <w:color w:val="auto"/>
              </w:rPr>
            </w:pPr>
          </w:p>
        </w:tc>
        <w:tc>
          <w:tcPr>
            <w:tcW w:w="3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Includes $26 million of post-closing acquisition adjustments related to our acquisition of Advanced Disposal.</w:t>
      </w:r>
    </w:p>
    <w:p>
      <w:pPr>
        <w:spacing w:after="0" w:line="237"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year ended December 31 are as follows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r>
      <w:tr>
        <w:trPr>
          <w:trHeight w:val="21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21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r>
      <w:tr>
        <w:trPr>
          <w:trHeight w:val="216"/>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10"/>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13,169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10,053</w:t>
            </w:r>
          </w:p>
        </w:tc>
      </w:tr>
      <w:tr>
        <w:trPr>
          <w:trHeight w:val="21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3,667</w:t>
            </w: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r>
      <w:tr>
        <w:trPr>
          <w:trHeight w:val="21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r>
      <w:tr>
        <w:trPr>
          <w:trHeight w:val="216"/>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(4,320)</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(3,762)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(3,260)</w:t>
            </w:r>
          </w:p>
        </w:tc>
      </w:tr>
      <w:tr>
        <w:trPr>
          <w:trHeight w:val="209"/>
        </w:trPr>
        <w:tc>
          <w:tcPr>
            <w:tcW w:w="64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17,931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15,218</w:t>
            </w:r>
          </w:p>
        </w:tc>
      </w:tr>
      <w:tr>
        <w:trPr>
          <w:trHeight w:val="20"/>
        </w:trPr>
        <w:tc>
          <w:tcPr>
            <w:tcW w:w="2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67" w:lineRule="exact"/>
        <w:rPr>
          <w:sz w:val="20"/>
          <w:szCs w:val="20"/>
          <w:color w:val="auto"/>
        </w:rPr>
      </w:pPr>
    </w:p>
    <w:p>
      <w:pPr>
        <w:jc w:val="both"/>
        <w:ind w:left="380" w:right="79" w:hanging="330"/>
        <w:spacing w:after="0" w:line="254" w:lineRule="auto"/>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“Other” line of business includes (i) certain services provided by our WMSBS business; (ii) certain services within our sustainability business including our landfill gas-to-energy operations managed by our WM Renewable Energy business and (iii) certain other expanded service offerings and solutions and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ectPr>
          <w:pgSz w:w="11900" w:h="16838" w:orient="portrait"/>
          <w:cols w:equalWidth="0" w:num="1">
            <w:col w:w="9019"/>
          </w:cols>
          <w:pgMar w:left="1440" w:top="611"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3" w:name="page124"/>
    <w:bookmarkEnd w:id="1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6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2020 operating results were negatively impacted by COVID-19, as volume declines began in March 2020 in our landfill, industrial and commercial collection businesses due to steps taken by national and local governments to slow the spread of the virus, including travel bans, prohibitions on group events and gatherings, shutdowns of certain businesses, curfews, shelter-in-place orders and recommendations to practice social distancing. Throughout 2021 and 2022, our volumes recovered from the sharp decline experienced in 2020, with minimal impact from the resurgence in transmission of COVID-19 associated with recent virus variants, as communities and businesses remained open. However, the potential for future resurgence in transmission of COVID-19 and related business closures, due to virus variants or other pandemic conditions, could adversely impact our volumes and costs in the future.</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6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Net operating revenues relating to operations in the U.S. and Canada for the year ended December 31 are as follows (in millions):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14,505</w:t>
            </w: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r>
      <w:tr>
        <w:trPr>
          <w:trHeight w:val="209"/>
        </w:trPr>
        <w:tc>
          <w:tcPr>
            <w:tcW w:w="6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19,698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17,931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15,218</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Property and equipment, net of accumulated depreciation and depletion, relating to operations in the U.S. and Canada for the year ended December 31 are as follows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9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$ 14,725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Canada</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9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$ 15,719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900" w:type="dxa"/>
            <w:vAlign w:val="bottom"/>
            <w:vMerge w:val="restart"/>
          </w:tcPr>
          <w:p>
            <w:pPr>
              <w:jc w:val="right"/>
              <w:ind w:right="1676"/>
              <w:spacing w:after="0"/>
              <w:rPr>
                <w:sz w:val="20"/>
                <w:szCs w:val="20"/>
                <w:color w:val="auto"/>
              </w:rPr>
            </w:pPr>
            <w:r>
              <w:rPr>
                <w:rFonts w:ascii="Arial" w:cs="Arial" w:eastAsia="Arial" w:hAnsi="Arial"/>
                <w:sz w:val="18"/>
                <w:szCs w:val="18"/>
                <w:color w:val="auto"/>
              </w:rPr>
              <w:t>124</w:t>
            </w: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124" w:name="page125"/>
    <w:bookmarkEnd w:id="1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2022 (the end of the period covered by this Annual Report on Form 10-K) at a reasonable assurance level.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178" w:lineRule="exact"/>
        <w:rPr>
          <w:sz w:val="20"/>
          <w:szCs w:val="20"/>
          <w:color w:val="auto"/>
        </w:rPr>
      </w:pPr>
    </w:p>
    <w:p>
      <w:pPr>
        <w:ind w:left="720" w:right="79" w:hanging="319"/>
        <w:spacing w:after="0" w:line="277" w:lineRule="auto"/>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Management of the Company assessed the effectiveness of our internal control over financial reporting as of December 31, 2022 based on the 2013 framework in Internal Control—Integrated Framework issued by the Committee of Sponsoring Organizations of the Treadway Commission (the COSO criteria). Based on this assessment, management has concluded that our internal control over financial reporting was effective as of December 31, 2022.</w:t>
      </w:r>
    </w:p>
    <w:p>
      <w:pPr>
        <w:spacing w:after="0" w:line="171"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ectPr>
          <w:pgSz w:w="11900" w:h="16838" w:orient="portrait"/>
          <w:cols w:equalWidth="0" w:num="1">
            <w:col w:w="9019"/>
          </w:cols>
          <w:pgMar w:left="1440" w:top="611"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5" w:name="page126"/>
    <w:bookmarkEnd w:id="1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2022, we implemented a new general ledger accounting system, complementary finance enterprise resource planning system and a human capital management system. These new system implementations were achieved after a multi-year review of existing accounting, reporting and human capital processes and the design and configuration of system-enabled enhancements to such processes. The changes in our general ledger, finance enterprise resource planning and human capital management systems were subject to thorough testing and review by internal and external parties both before and after implementation.</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While these systems implementations enhance our framework for internal control over financial reporting, management, together with our CEO and CFO, has determined that the changes in our internal controls over financial reporting during the quarter ended December 31, 2022 have not been material and are not reasonably likely to materially affect our internal controls over financial reporting.</w:t>
      </w:r>
    </w:p>
    <w:p>
      <w:pPr>
        <w:spacing w:after="0" w:line="183"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sections entitled “Board of Directors,” “Election of Directors” and “Executive Officers” in the Company’s definitive Proxy Statement for its 2023 Annual Meeting of Stockholders (the “Proxy Statement”), to be held May 9, 2023. The Proxy Statement will be filed with the SEC within 120 days of the end of our fiscal year.</w:t>
      </w:r>
    </w:p>
    <w:p>
      <w:pPr>
        <w:spacing w:after="0" w:line="18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in the section “ESG — Corporate Governance” on the “Investors” page.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“Board of Directors — Compensation Committee Report,” “— Compensation Committee Interlocks and Insider Participation,” “— Non-Employee Director Compensation,” “Executive Compensation — Compensation Discussion and Analysis,” “— Executive Compensation Tables” and “— Pay Versus Performance” in the Proxy Statement.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 Executive Compensation Tables — Equity Compensation Plan Table,” “Director and Officer Stock Ownership,” and “Security Ownership of Certain Beneficial Owners” in the Proxy Statement.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ectPr>
          <w:pgSz w:w="11900" w:h="16838" w:orient="portrait"/>
          <w:cols w:equalWidth="0" w:num="1">
            <w:col w:w="9019"/>
          </w:cols>
          <w:pgMar w:left="1440" w:top="611"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6" w:name="page127"/>
    <w:bookmarkEnd w:id="1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(1) Consolidated Financial Statements:</w:t>
      </w:r>
    </w:p>
    <w:p>
      <w:pPr>
        <w:spacing w:after="0" w:line="225" w:lineRule="exact"/>
        <w:rPr>
          <w:sz w:val="20"/>
          <w:szCs w:val="20"/>
          <w:color w:val="auto"/>
        </w:rPr>
      </w:pPr>
    </w:p>
    <w:p>
      <w:pPr>
        <w:ind w:left="380" w:right="3999"/>
        <w:spacing w:after="0" w:line="310" w:lineRule="auto"/>
        <w:rPr>
          <w:sz w:val="20"/>
          <w:szCs w:val="20"/>
          <w:color w:val="auto"/>
        </w:rPr>
      </w:pPr>
      <w:r>
        <w:rPr>
          <w:rFonts w:ascii="Arial" w:cs="Arial" w:eastAsia="Arial" w:hAnsi="Arial"/>
          <w:sz w:val="15"/>
          <w:szCs w:val="15"/>
          <w:color w:val="auto"/>
        </w:rPr>
        <w:t>Reports of Independent Registered Public Accounting Firm Consolidated Balance Sheets as of December 31, 2022 and 2021</w:t>
      </w:r>
    </w:p>
    <w:p>
      <w:pPr>
        <w:spacing w:after="0" w:line="1" w:lineRule="exact"/>
        <w:rPr>
          <w:sz w:val="20"/>
          <w:szCs w:val="20"/>
          <w:color w:val="auto"/>
        </w:rPr>
      </w:pPr>
    </w:p>
    <w:p>
      <w:pPr>
        <w:ind w:left="380" w:right="879"/>
        <w:spacing w:after="0" w:line="253" w:lineRule="auto"/>
        <w:rPr>
          <w:sz w:val="20"/>
          <w:szCs w:val="20"/>
          <w:color w:val="auto"/>
        </w:rPr>
      </w:pPr>
      <w:r>
        <w:rPr>
          <w:rFonts w:ascii="Arial" w:cs="Arial" w:eastAsia="Arial" w:hAnsi="Arial"/>
          <w:sz w:val="18"/>
          <w:szCs w:val="18"/>
          <w:color w:val="auto"/>
        </w:rPr>
        <w:t>Consolidated Statements of Operations for the years ended December 31, 2022, 2021 and 2020 Consolidated Statements of Comprehensive Income for the years ended December 31, 2022, 2021 and 2020 Consolidated Statements of Cash Flows for the years ended December 31, 2022, 2021 and 2020 Consolidated Statements of Changes in Equity for the years ended December 31, 2022, 2021 and 2020 Notes to Consolidated Financial Statements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(2) Consolidated Financial Statement Schedules:</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All schedules have been omitted because the required information is not significant or is included in the financial statements or notes thereto, or is not applicable.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(3) Exhibits:</w:t>
      </w:r>
    </w:p>
    <w:p>
      <w:pPr>
        <w:spacing w:after="0" w:line="217" w:lineRule="exact"/>
        <w:rPr>
          <w:sz w:val="20"/>
          <w:szCs w:val="20"/>
          <w:color w:val="auto"/>
        </w:rPr>
      </w:pPr>
    </w:p>
    <w:p>
      <w:pPr>
        <w:ind w:left="60"/>
        <w:spacing w:after="0"/>
        <w:tabs>
          <w:tab w:leader="none" w:pos="47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6350</wp:posOffset>
            </wp:positionV>
            <wp:extent cx="4869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ind w:left="960" w:right="479" w:hanging="1227"/>
        <w:spacing w:after="0" w:line="25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EE"/>
          </w:rPr>
          <w:t>Third Restated Certificate of Incorporation of Waste Management, Inc. [incorporated by reference to</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EE"/>
          </w:rPr>
          <w:t>Exhibit 3.1 to Form 10-Q for the quarter ended June 30, 2010].</w:t>
        </w:r>
      </w:hyperlink>
    </w:p>
    <w:p>
      <w:pPr>
        <w:spacing w:after="0" w:line="1" w:lineRule="exact"/>
        <w:rPr>
          <w:sz w:val="20"/>
          <w:szCs w:val="20"/>
          <w:color w:val="auto"/>
        </w:rPr>
      </w:pPr>
    </w:p>
    <w:p>
      <w:pPr>
        <w:ind w:left="960" w:right="2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EE"/>
          </w:rPr>
          <w:t>Amended and Restated By-laws of Waste Management, Inc. [incorporated by reference to Exhibit 3.2 to</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EE"/>
          </w:rPr>
          <w:t>Form 8-K dated November 8, 2022].</w:t>
        </w:r>
      </w:hyperlink>
    </w:p>
    <w:p>
      <w:pPr>
        <w:spacing w:after="0" w:line="1" w:lineRule="exact"/>
        <w:rPr>
          <w:sz w:val="20"/>
          <w:szCs w:val="20"/>
          <w:color w:val="auto"/>
        </w:rPr>
      </w:pPr>
    </w:p>
    <w:p>
      <w:pPr>
        <w:ind w:left="960" w:right="3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EE"/>
          </w:rPr>
          <w:t>Specimen Stock Certificate [incorporated by reference to Exhibit 4.1 to Form 10-K for the year ended</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EE"/>
          </w:rPr>
          <w:t>December 31, 1998].</w:t>
        </w:r>
      </w:hyperlink>
    </w:p>
    <w:p>
      <w:pPr>
        <w:spacing w:after="0" w:line="1" w:lineRule="exact"/>
        <w:rPr>
          <w:sz w:val="20"/>
          <w:szCs w:val="20"/>
          <w:color w:val="auto"/>
        </w:rPr>
      </w:pPr>
    </w:p>
    <w:p>
      <w:pPr>
        <w:ind w:left="960" w:right="67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 xml:space="preserve">— </w:t>
      </w:r>
      <w:hyperlink r:id="rId136">
        <w:r>
          <w:rPr>
            <w:rFonts w:ascii="Arial" w:cs="Arial" w:eastAsia="Arial" w:hAnsi="Arial"/>
            <w:sz w:val="17"/>
            <w:szCs w:val="17"/>
            <w:u w:val="single" w:color="auto"/>
            <w:color w:val="0000EE"/>
          </w:rPr>
          <w:t>Third Restated Certificate of Incorporation of Waste Management Holdings, Inc. [incorporated by</w:t>
        </w:r>
      </w:hyperlink>
      <w:r>
        <w:rPr>
          <w:rFonts w:ascii="Arial" w:cs="Arial" w:eastAsia="Arial" w:hAnsi="Arial"/>
          <w:sz w:val="17"/>
          <w:szCs w:val="17"/>
          <w:color w:val="auto"/>
        </w:rPr>
        <w:t xml:space="preserve"> </w:t>
      </w:r>
      <w:hyperlink r:id="rId136">
        <w:r>
          <w:rPr>
            <w:rFonts w:ascii="Arial" w:cs="Arial" w:eastAsia="Arial" w:hAnsi="Arial"/>
            <w:sz w:val="17"/>
            <w:szCs w:val="17"/>
            <w:u w:val="single" w:color="auto"/>
            <w:color w:val="0000EE"/>
          </w:rPr>
          <w:t>reference to Exhibit 4.2 to Form 10-K for the year ended December 31, 2014].</w:t>
        </w:r>
      </w:hyperlink>
    </w:p>
    <w:p>
      <w:pPr>
        <w:ind w:left="960" w:right="55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EE"/>
          </w:rPr>
          <w:t>Amended and Restated By-laws of Waste Management Holdings, Inc. [incorporated by reference to</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EE"/>
          </w:rPr>
          <w:t>Exhibit 4.3 to Form 10-Q for the quarter ended June 30, 2014].</w:t>
        </w:r>
      </w:hyperlink>
    </w:p>
    <w:p>
      <w:pPr>
        <w:spacing w:after="0" w:line="1" w:lineRule="exact"/>
        <w:rPr>
          <w:sz w:val="20"/>
          <w:szCs w:val="20"/>
          <w:color w:val="auto"/>
        </w:rPr>
      </w:pPr>
    </w:p>
    <w:p>
      <w:pPr>
        <w:ind w:left="960" w:right="239" w:hanging="1227"/>
        <w:spacing w:after="0" w:line="28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 xml:space="preserve">— </w:t>
      </w:r>
      <w:hyperlink r:id="rId138">
        <w:r>
          <w:rPr>
            <w:rFonts w:ascii="Arial" w:cs="Arial" w:eastAsia="Arial" w:hAnsi="Arial"/>
            <w:sz w:val="16"/>
            <w:szCs w:val="16"/>
            <w:u w:val="single" w:color="auto"/>
            <w:color w:val="0000EE"/>
          </w:rPr>
          <w:t>Indenture for Subordinated Debt Securities dated February 1, 1997, among the Registrant and The Bank</w:t>
        </w:r>
      </w:hyperlink>
      <w:r>
        <w:rPr>
          <w:rFonts w:ascii="Arial" w:cs="Arial" w:eastAsia="Arial" w:hAnsi="Arial"/>
          <w:sz w:val="16"/>
          <w:szCs w:val="16"/>
          <w:color w:val="auto"/>
        </w:rPr>
        <w:t xml:space="preserve"> </w:t>
      </w:r>
      <w:hyperlink r:id="rId138">
        <w:r>
          <w:rPr>
            <w:rFonts w:ascii="Arial" w:cs="Arial" w:eastAsia="Arial" w:hAnsi="Arial"/>
            <w:sz w:val="16"/>
            <w:szCs w:val="16"/>
            <w:u w:val="single" w:color="auto"/>
            <w:color w:val="0000EE"/>
          </w:rPr>
          <w:t>of New York Mellon Trust Company, N.A. (the current successor to Texas Commerce Bank National</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Association), as trustee [incorporated by reference to Exhibit 4.1 to Form 8-K dated February 7, 1997].</w:t>
        </w:r>
      </w:hyperlink>
    </w:p>
    <w:p>
      <w:pPr>
        <w:spacing w:after="0" w:line="2" w:lineRule="exact"/>
        <w:rPr>
          <w:rFonts w:ascii="Arial" w:cs="Arial" w:eastAsia="Arial" w:hAnsi="Arial"/>
          <w:sz w:val="16"/>
          <w:szCs w:val="16"/>
          <w:color w:val="auto"/>
        </w:rPr>
      </w:pPr>
    </w:p>
    <w:p>
      <w:pPr>
        <w:ind w:left="960" w:right="9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EE"/>
          </w:rPr>
          <w:t>Indenture for Senior Debt Securities dated September 10, 1997, among the Registrant and The Bank of</w:t>
        </w:r>
      </w:hyperlink>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EE"/>
          </w:rPr>
          <w:t>New York Mellon Trust Company, N.A. (the current successor to Texas Commerce Bank National</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Association), as trustee [incorporated by reference to Exhibit 4.1 to Form 8-K dated September 10, 1997].</w:t>
        </w:r>
      </w:hyperlink>
    </w:p>
    <w:p>
      <w:pPr>
        <w:ind w:left="960" w:right="41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Description of Waste Management, Inc.’s Common Stock [incorporated by reference to Exhibit 4.9 to</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Form 10-K for the year ended December 31, 2019].</w:t>
        </w:r>
      </w:hyperlink>
    </w:p>
    <w:p>
      <w:pPr>
        <w:spacing w:after="0" w:line="1" w:lineRule="exact"/>
        <w:rPr>
          <w:sz w:val="20"/>
          <w:szCs w:val="20"/>
          <w:color w:val="auto"/>
        </w:rPr>
      </w:pPr>
    </w:p>
    <w:p>
      <w:pPr>
        <w:ind w:left="960" w:right="119" w:hanging="1227"/>
        <w:spacing w:after="0" w:line="281" w:lineRule="auto"/>
        <w:tabs>
          <w:tab w:leader="none" w:pos="9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u w:val="single" w:color="auto"/>
          <w:color w:val="0000EE"/>
        </w:rPr>
        <w:t>Schedule of Officers’ Certificates delivered pursuant to Section 301 of the Indenture dated September 10,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1997 establishing the terms and form of Waste Management, Inc.’s Senior Notes. Waste Management and its subsidiaries are parties to debt instruments that have not been filed with the SEC under which the total amount of securities authorized under any single instrument does not exceed 10% of the total assets of Waste Management and its subsidiaries on a consolidated basis. Pursuant to paragraph 4(iii)(A) of</w:t>
      </w:r>
    </w:p>
    <w:p>
      <w:pPr>
        <w:spacing w:after="0" w:line="3" w:lineRule="exact"/>
        <w:rPr>
          <w:sz w:val="20"/>
          <w:szCs w:val="20"/>
          <w:color w:val="auto"/>
        </w:rPr>
      </w:pPr>
    </w:p>
    <w:p>
      <w:pPr>
        <w:ind w:left="1280" w:right="339"/>
        <w:spacing w:after="0" w:line="250" w:lineRule="auto"/>
        <w:rPr>
          <w:sz w:val="20"/>
          <w:szCs w:val="20"/>
          <w:color w:val="auto"/>
        </w:rPr>
      </w:pPr>
      <w:r>
        <w:rPr>
          <w:rFonts w:ascii="Arial" w:cs="Arial" w:eastAsia="Arial" w:hAnsi="Arial"/>
          <w:sz w:val="18"/>
          <w:szCs w:val="18"/>
          <w:u w:val="single" w:color="auto"/>
          <w:color w:val="0000EE"/>
        </w:rPr>
        <w:t>Item 601(b) of Regulation S-K, Waste Management agrees to furnish a copy of such instruments to the SEC upon request.</w:t>
      </w:r>
    </w:p>
    <w:p>
      <w:pPr>
        <w:spacing w:after="0" w:line="1" w:lineRule="exact"/>
        <w:rPr>
          <w:sz w:val="20"/>
          <w:szCs w:val="20"/>
          <w:color w:val="auto"/>
        </w:rPr>
      </w:pPr>
    </w:p>
    <w:p>
      <w:pPr>
        <w:ind w:left="960" w:right="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Officers’ Certificate delivered pursuant to Section 301 of the Indenture dated September 10, 1997</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establishing the terms and form of the 4.15% Senior Notes due 2032 [incorporated by reference to Exhibit</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4.1 to Form 10-Q for the quarter ended June 30, 2022].</w:t>
        </w:r>
      </w:hyperlink>
    </w:p>
    <w:p>
      <w:pPr>
        <w:spacing w:after="0" w:line="1" w:lineRule="exact"/>
        <w:rPr>
          <w:rFonts w:ascii="Arial" w:cs="Arial" w:eastAsia="Arial" w:hAnsi="Arial"/>
          <w:sz w:val="18"/>
          <w:szCs w:val="18"/>
          <w:color w:val="auto"/>
        </w:rPr>
      </w:pPr>
    </w:p>
    <w:p>
      <w:pPr>
        <w:jc w:val="both"/>
        <w:ind w:left="960" w:right="299" w:hanging="1227"/>
        <w:spacing w:after="0" w:line="255"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Guarantee Agreement by Waste Management Holdings, Inc. in favor of The Bank of New York Mellon</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Trust Company, N.A., as Trustee for the holders of the 4.15% Senior Notes due 2032 [incorporated by</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reference to Exhibit 4.2 to Form 10-Q for the quarter ended June 30, 2022].</w:t>
        </w:r>
      </w:hyperlink>
    </w:p>
    <w:p>
      <w:pPr>
        <w:sectPr>
          <w:pgSz w:w="11900" w:h="16838" w:orient="portrait"/>
          <w:cols w:equalWidth="0" w:num="1">
            <w:col w:w="9019"/>
          </w:cols>
          <w:pgMar w:left="1440" w:top="611" w:right="1440" w:bottom="1440" w:gutter="0" w:footer="0" w:header="0"/>
        </w:sectPr>
      </w:pPr>
    </w:p>
    <w:p>
      <w:pPr>
        <w:spacing w:after="0" w:line="19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27" w:name="page128"/>
    <w:bookmarkEnd w:id="1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w:t>
      </w:r>
      <w:r>
        <w:rPr>
          <w:sz w:val="20"/>
          <w:szCs w:val="20"/>
          <w:color w:val="auto"/>
        </w:rPr>
        <w:tab/>
      </w:r>
      <w:hyperlink r:id="rId144">
        <w:r>
          <w:rPr>
            <w:rFonts w:ascii="Arial" w:cs="Arial" w:eastAsia="Arial" w:hAnsi="Arial"/>
            <w:sz w:val="16"/>
            <w:szCs w:val="16"/>
            <w:u w:val="single" w:color="auto"/>
            <w:color w:val="0000EE"/>
          </w:rPr>
          <w:t>2014 Stock Incentive Plan [incorporated by reference to Exhibit 10.1 to Form 8-K dated May 13, 2014].</w:t>
        </w:r>
      </w:hyperlink>
    </w:p>
    <w:p>
      <w:pPr>
        <w:spacing w:after="0" w:line="23" w:lineRule="exact"/>
        <w:rPr>
          <w:sz w:val="20"/>
          <w:szCs w:val="20"/>
          <w:color w:val="auto"/>
        </w:rPr>
      </w:pPr>
    </w:p>
    <w:p>
      <w:pPr>
        <w:ind w:left="960" w:right="3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First Amendment to 2014 Stock Incentive Plan [incorporated by reference to Exhibit 10.2 to Form 8-K</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dated May 12, 2020].</w:t>
        </w:r>
      </w:hyperlink>
    </w:p>
    <w:p>
      <w:pPr>
        <w:spacing w:after="0" w:line="1" w:lineRule="exact"/>
        <w:rPr>
          <w:sz w:val="20"/>
          <w:szCs w:val="20"/>
          <w:color w:val="auto"/>
        </w:rPr>
      </w:pPr>
    </w:p>
    <w:p>
      <w:pPr>
        <w:ind w:left="960" w:right="17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EE"/>
          </w:rPr>
          <w:t>Second Amendment to 2014 Stock Incentive Plan [incorporated by reference to Exhibit 10.3 to Form 10-</w:t>
        </w:r>
      </w:hyperlink>
      <w:hyperlink r:id="rId146">
        <w:r>
          <w:rPr>
            <w:rFonts w:ascii="Arial" w:cs="Arial" w:eastAsia="Arial" w:hAnsi="Arial"/>
            <w:sz w:val="18"/>
            <w:szCs w:val="18"/>
            <w:u w:val="single" w:color="auto"/>
            <w:color w:val="0000EE"/>
          </w:rPr>
          <w:t>Q for the quarter ended June 30, 2022].</w:t>
        </w:r>
      </w:hyperlink>
    </w:p>
    <w:p>
      <w:pPr>
        <w:spacing w:after="0" w:line="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t>
      </w:r>
      <w:r>
        <w:rPr>
          <w:sz w:val="20"/>
          <w:szCs w:val="20"/>
          <w:color w:val="auto"/>
        </w:rPr>
        <w:tab/>
      </w:r>
      <w:hyperlink r:id="rId147">
        <w:r>
          <w:rPr>
            <w:rFonts w:ascii="Arial" w:cs="Arial" w:eastAsia="Arial" w:hAnsi="Arial"/>
            <w:sz w:val="16"/>
            <w:szCs w:val="16"/>
            <w:u w:val="single" w:color="auto"/>
            <w:color w:val="0000EE"/>
          </w:rPr>
          <w:t>2009 Stock Incentive Plan [incorporated by reference to Appendix B to the Proxy Statement on Schedule</w:t>
        </w:r>
      </w:hyperlink>
    </w:p>
    <w:p>
      <w:pPr>
        <w:spacing w:after="0" w:line="9" w:lineRule="exact"/>
        <w:rPr>
          <w:sz w:val="20"/>
          <w:szCs w:val="20"/>
          <w:color w:val="auto"/>
        </w:rPr>
      </w:pPr>
    </w:p>
    <w:p>
      <w:pPr>
        <w:ind w:left="1280"/>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14A filed March 25, 2009].</w:t>
        </w:r>
      </w:hyperlink>
    </w:p>
    <w:p>
      <w:pPr>
        <w:spacing w:after="0" w:line="9" w:lineRule="exact"/>
        <w:rPr>
          <w:sz w:val="20"/>
          <w:szCs w:val="20"/>
          <w:color w:val="auto"/>
        </w:rPr>
      </w:pPr>
    </w:p>
    <w:p>
      <w:pPr>
        <w:ind w:left="960" w:right="7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 xml:space="preserve">— </w:t>
      </w:r>
      <w:hyperlink r:id="rId148">
        <w:r>
          <w:rPr>
            <w:rFonts w:ascii="Arial" w:cs="Arial" w:eastAsia="Arial" w:hAnsi="Arial"/>
            <w:sz w:val="18"/>
            <w:szCs w:val="18"/>
            <w:u w:val="single" w:color="auto"/>
            <w:color w:val="0000EE"/>
          </w:rPr>
          <w:t>2005 Annual Incentive Plan [incorporated by reference to Appendix D to the Proxy Statement on</w:t>
        </w:r>
      </w:hyperlink>
      <w:r>
        <w:rPr>
          <w:rFonts w:ascii="Arial" w:cs="Arial" w:eastAsia="Arial" w:hAnsi="Arial"/>
          <w:sz w:val="18"/>
          <w:szCs w:val="18"/>
          <w:color w:val="auto"/>
        </w:rPr>
        <w:t xml:space="preserve"> </w:t>
      </w:r>
      <w:hyperlink r:id="rId148">
        <w:r>
          <w:rPr>
            <w:rFonts w:ascii="Arial" w:cs="Arial" w:eastAsia="Arial" w:hAnsi="Arial"/>
            <w:sz w:val="18"/>
            <w:szCs w:val="18"/>
            <w:u w:val="single" w:color="auto"/>
            <w:color w:val="0000EE"/>
          </w:rPr>
          <w:t>Schedule 14A filed April 8, 2004].</w:t>
        </w:r>
      </w:hyperlink>
    </w:p>
    <w:p>
      <w:pPr>
        <w:spacing w:after="0" w:line="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w:t>
      </w:r>
      <w:r>
        <w:rPr>
          <w:sz w:val="20"/>
          <w:szCs w:val="20"/>
          <w:color w:val="auto"/>
        </w:rPr>
        <w:tab/>
      </w:r>
      <w:hyperlink r:id="rId149">
        <w:r>
          <w:rPr>
            <w:rFonts w:ascii="Arial" w:cs="Arial" w:eastAsia="Arial" w:hAnsi="Arial"/>
            <w:sz w:val="16"/>
            <w:szCs w:val="16"/>
            <w:u w:val="single" w:color="auto"/>
            <w:color w:val="0000EE"/>
          </w:rPr>
          <w:t>Waste Management, Inc. Employee Stock Purchase Plan (As Amended and Restated effective May 12,</w:t>
        </w:r>
      </w:hyperlink>
    </w:p>
    <w:p>
      <w:pPr>
        <w:spacing w:after="0" w:line="9" w:lineRule="exact"/>
        <w:rPr>
          <w:sz w:val="20"/>
          <w:szCs w:val="20"/>
          <w:color w:val="auto"/>
        </w:rPr>
      </w:pPr>
    </w:p>
    <w:p>
      <w:pPr>
        <w:ind w:left="1280"/>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2020) [incorporated by reference to Exhibit 10.1 to Form 8-K dated May 12, 2020].</w:t>
        </w:r>
      </w:hyperlink>
    </w:p>
    <w:p>
      <w:pPr>
        <w:spacing w:after="0" w:line="9" w:lineRule="exact"/>
        <w:rPr>
          <w:sz w:val="20"/>
          <w:szCs w:val="20"/>
          <w:color w:val="auto"/>
        </w:rPr>
      </w:pPr>
    </w:p>
    <w:p>
      <w:pPr>
        <w:ind w:left="960" w:right="11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 xml:space="preserve">— </w:t>
      </w:r>
      <w:hyperlink r:id="rId150">
        <w:r>
          <w:rPr>
            <w:rFonts w:ascii="Arial" w:cs="Arial" w:eastAsia="Arial" w:hAnsi="Arial"/>
            <w:sz w:val="17"/>
            <w:szCs w:val="17"/>
            <w:u w:val="single" w:color="auto"/>
            <w:color w:val="0000EE"/>
          </w:rPr>
          <w:t>Waste Management, Inc. 409A Deferral Savings Plan as Amended and Restated effective January 1, 2014</w:t>
        </w:r>
      </w:hyperlink>
      <w:r>
        <w:rPr>
          <w:rFonts w:ascii="Arial" w:cs="Arial" w:eastAsia="Arial" w:hAnsi="Arial"/>
          <w:sz w:val="17"/>
          <w:szCs w:val="17"/>
          <w:color w:val="auto"/>
        </w:rPr>
        <w:t xml:space="preserve"> </w:t>
      </w:r>
      <w:hyperlink r:id="rId150">
        <w:r>
          <w:rPr>
            <w:rFonts w:ascii="Arial" w:cs="Arial" w:eastAsia="Arial" w:hAnsi="Arial"/>
            <w:sz w:val="17"/>
            <w:szCs w:val="17"/>
            <w:u w:val="single" w:color="auto"/>
            <w:color w:val="0000EE"/>
          </w:rPr>
          <w:t>[incorporated by reference to Exhibit 10.2 to Form 10-Q for the quarter ended March 31, 2014].</w:t>
        </w:r>
      </w:hyperlink>
    </w:p>
    <w:p>
      <w:pPr>
        <w:ind w:left="960" w:right="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EE"/>
          </w:rPr>
          <w:t>$3.5 Billion Sixth Amended and Restated Revolving Credit Agreement dated as of May 27, 2022 by and</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EE"/>
          </w:rPr>
          <w:t>among Waste Management, Inc., Waste Management of Canada Corporation, WM Quebec Inc. and Waste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Management Holdings, Inc., certain banks party thereto, and Bank of America, N.A., as administrative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agent [incorporated by reference to Exhibit 10.1 to Form 8-K dated May 27, 2022].</w:t>
        </w:r>
      </w:hyperlink>
    </w:p>
    <w:p>
      <w:pPr>
        <w:spacing w:after="0" w:line="2" w:lineRule="exact"/>
        <w:rPr>
          <w:rFonts w:ascii="Arial" w:cs="Arial" w:eastAsia="Arial" w:hAnsi="Arial"/>
          <w:sz w:val="18"/>
          <w:szCs w:val="18"/>
          <w:u w:val="single" w:color="auto"/>
          <w:color w:val="0000EE"/>
        </w:rPr>
      </w:pPr>
    </w:p>
    <w:p>
      <w:pPr>
        <w:ind w:left="960" w:right="259" w:hanging="1227"/>
        <w:spacing w:after="0" w:line="28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 xml:space="preserve">— </w:t>
      </w:r>
      <w:hyperlink r:id="rId152">
        <w:r>
          <w:rPr>
            <w:rFonts w:ascii="Arial" w:cs="Arial" w:eastAsia="Arial" w:hAnsi="Arial"/>
            <w:sz w:val="16"/>
            <w:szCs w:val="16"/>
            <w:u w:val="single" w:color="auto"/>
            <w:color w:val="0000EE"/>
          </w:rPr>
          <w:t>$1.0 Billion Term Loan Credit Agreement dated as of May 27, 2022 by and among Waste Management,</w:t>
        </w:r>
      </w:hyperlink>
      <w:r>
        <w:rPr>
          <w:rFonts w:ascii="Arial" w:cs="Arial" w:eastAsia="Arial" w:hAnsi="Arial"/>
          <w:sz w:val="16"/>
          <w:szCs w:val="16"/>
          <w:color w:val="auto"/>
        </w:rPr>
        <w:t xml:space="preserve"> </w:t>
      </w:r>
      <w:hyperlink r:id="rId152">
        <w:r>
          <w:rPr>
            <w:rFonts w:ascii="Arial" w:cs="Arial" w:eastAsia="Arial" w:hAnsi="Arial"/>
            <w:sz w:val="16"/>
            <w:szCs w:val="16"/>
            <w:u w:val="single" w:color="auto"/>
            <w:color w:val="0000EE"/>
          </w:rPr>
          <w:t>Inc., Waste Management Holdings, Inc., certain banks party thereto, and Bank of America, N.A., as</w:t>
        </w:r>
      </w:hyperlink>
      <w:r>
        <w:rPr>
          <w:rFonts w:ascii="Arial" w:cs="Arial" w:eastAsia="Arial" w:hAnsi="Arial"/>
          <w:sz w:val="16"/>
          <w:szCs w:val="16"/>
          <w:u w:val="single" w:color="auto"/>
          <w:color w:val="0000EE"/>
        </w:rPr>
        <w:t xml:space="preserve"> </w:t>
      </w:r>
      <w:hyperlink r:id="rId152">
        <w:r>
          <w:rPr>
            <w:rFonts w:ascii="Arial" w:cs="Arial" w:eastAsia="Arial" w:hAnsi="Arial"/>
            <w:sz w:val="16"/>
            <w:szCs w:val="16"/>
            <w:u w:val="single" w:color="auto"/>
            <w:color w:val="0000EE"/>
          </w:rPr>
          <w:t>administrative agent [incorporated by reference to Exhibit 10.2 to Form 8-K dated May 27, 2022].</w:t>
        </w:r>
      </w:hyperlink>
    </w:p>
    <w:p>
      <w:pPr>
        <w:spacing w:after="0" w:line="2" w:lineRule="exact"/>
        <w:rPr>
          <w:rFonts w:ascii="Arial" w:cs="Arial" w:eastAsia="Arial" w:hAnsi="Arial"/>
          <w:sz w:val="16"/>
          <w:szCs w:val="16"/>
          <w:color w:val="auto"/>
        </w:rPr>
      </w:pPr>
    </w:p>
    <w:p>
      <w:pPr>
        <w:ind w:left="960" w:right="9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 xml:space="preserve">— </w:t>
      </w:r>
      <w:hyperlink r:id="rId153">
        <w:r>
          <w:rPr>
            <w:rFonts w:ascii="Arial" w:cs="Arial" w:eastAsia="Arial" w:hAnsi="Arial"/>
            <w:sz w:val="17"/>
            <w:szCs w:val="17"/>
            <w:u w:val="single" w:color="auto"/>
            <w:color w:val="0000EE"/>
          </w:rPr>
          <w:t>Commercial Paper Dealer Agreement, substantially in the form as executed with each of Mizuho</w:t>
        </w:r>
      </w:hyperlink>
      <w:r>
        <w:rPr>
          <w:rFonts w:ascii="Arial" w:cs="Arial" w:eastAsia="Arial" w:hAnsi="Arial"/>
          <w:sz w:val="17"/>
          <w:szCs w:val="17"/>
          <w:color w:val="auto"/>
        </w:rPr>
        <w:t xml:space="preserve"> </w:t>
      </w:r>
      <w:hyperlink r:id="rId153">
        <w:r>
          <w:rPr>
            <w:rFonts w:ascii="Arial" w:cs="Arial" w:eastAsia="Arial" w:hAnsi="Arial"/>
            <w:sz w:val="17"/>
            <w:szCs w:val="17"/>
            <w:u w:val="single" w:color="auto"/>
            <w:color w:val="0000EE"/>
          </w:rPr>
          <w:t>Securities USA LLC, BofA Securities, Inc., J.P. Morgan Securities LLC, MUFG Securities Americas Inc.,</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Wells Fargo Securities, LLC, RBC Capital Markets, LLC and Siebert Williams Shank &amp; Co., LLC as</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Dealer [incorporated by reference to Exhibit 10.11 to Form 10-K for the year ended December 31, 2016].</w:t>
        </w:r>
      </w:hyperlink>
    </w:p>
    <w:p>
      <w:pPr>
        <w:spacing w:after="0" w:line="1" w:lineRule="exact"/>
        <w:rPr>
          <w:rFonts w:ascii="Arial" w:cs="Arial" w:eastAsia="Arial" w:hAnsi="Arial"/>
          <w:sz w:val="17"/>
          <w:szCs w:val="17"/>
          <w:u w:val="single" w:color="auto"/>
          <w:color w:val="0000EE"/>
        </w:rPr>
      </w:pPr>
    </w:p>
    <w:p>
      <w:pPr>
        <w:ind w:left="960" w:right="79" w:hanging="1227"/>
        <w:spacing w:after="0" w:line="250"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u w:val="single" w:color="auto"/>
          <w:color w:val="0000EE"/>
        </w:rPr>
        <w:t>Commercial Paper Issuing and Paying Agent Agreement between Waste Management, Inc. and U.S. Bank</w:t>
      </w:r>
      <w:r>
        <w:rPr>
          <w:rFonts w:ascii="Arial" w:cs="Arial" w:eastAsia="Arial" w:hAnsi="Arial"/>
          <w:sz w:val="18"/>
          <w:szCs w:val="18"/>
          <w:color w:val="auto"/>
        </w:rPr>
        <w:t xml:space="preserve"> </w:t>
      </w:r>
      <w:r>
        <w:rPr>
          <w:rFonts w:ascii="Arial" w:cs="Arial" w:eastAsia="Arial" w:hAnsi="Arial"/>
          <w:sz w:val="18"/>
          <w:szCs w:val="18"/>
          <w:u w:val="single" w:color="auto"/>
          <w:color w:val="0000EE"/>
        </w:rPr>
        <w:t>Trust Company, National Association dated October 28, 2022.</w:t>
      </w:r>
    </w:p>
    <w:p>
      <w:pPr>
        <w:spacing w:after="0" w:line="1" w:lineRule="exact"/>
        <w:rPr>
          <w:rFonts w:ascii="Arial" w:cs="Arial" w:eastAsia="Arial" w:hAnsi="Arial"/>
          <w:sz w:val="17"/>
          <w:szCs w:val="17"/>
          <w:u w:val="single" w:color="auto"/>
          <w:color w:val="0000EE"/>
        </w:rPr>
      </w:pPr>
    </w:p>
    <w:p>
      <w:pPr>
        <w:ind w:left="960" w:right="1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EE"/>
          </w:rPr>
          <w:t>First Amended and Restated Employment Agreement between USA Waste-Management Resources, LLC</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EE"/>
          </w:rPr>
          <w:t>and James C. Fish, Jr. dated December 22, 2017 [incorporated by reference to Exhibit 10.2 to Form 8-K</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dated December 22, 2017].</w:t>
        </w:r>
      </w:hyperlink>
    </w:p>
    <w:p>
      <w:pPr>
        <w:spacing w:after="0" w:line="1" w:lineRule="exact"/>
        <w:rPr>
          <w:rFonts w:ascii="Arial" w:cs="Arial" w:eastAsia="Arial" w:hAnsi="Arial"/>
          <w:sz w:val="18"/>
          <w:szCs w:val="18"/>
          <w:color w:val="auto"/>
        </w:rPr>
      </w:pPr>
    </w:p>
    <w:p>
      <w:pPr>
        <w:ind w:left="960" w:right="139" w:hanging="1227"/>
        <w:spacing w:after="0" w:line="28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 xml:space="preserve">— </w:t>
      </w:r>
      <w:hyperlink r:id="rId155">
        <w:r>
          <w:rPr>
            <w:rFonts w:ascii="Arial" w:cs="Arial" w:eastAsia="Arial" w:hAnsi="Arial"/>
            <w:sz w:val="16"/>
            <w:szCs w:val="16"/>
            <w:u w:val="single" w:color="auto"/>
            <w:color w:val="0000EE"/>
          </w:rPr>
          <w:t>Employment Agreement between USA Waste-Management Resources, LLC and Devina A. Rankin dated</w:t>
        </w:r>
      </w:hyperlink>
      <w:r>
        <w:rPr>
          <w:rFonts w:ascii="Arial" w:cs="Arial" w:eastAsia="Arial" w:hAnsi="Arial"/>
          <w:sz w:val="16"/>
          <w:szCs w:val="16"/>
          <w:color w:val="auto"/>
        </w:rPr>
        <w:t xml:space="preserve"> </w:t>
      </w:r>
      <w:hyperlink r:id="rId155">
        <w:r>
          <w:rPr>
            <w:rFonts w:ascii="Arial" w:cs="Arial" w:eastAsia="Arial" w:hAnsi="Arial"/>
            <w:sz w:val="16"/>
            <w:szCs w:val="16"/>
            <w:u w:val="single" w:color="auto"/>
            <w:color w:val="0000EE"/>
          </w:rPr>
          <w:t>December 22, 2017 [incorporated by reference to Exhibit 10.3 to Form 8-K dated December 22, 2017].</w:t>
        </w:r>
      </w:hyperlink>
    </w:p>
    <w:p>
      <w:pPr>
        <w:spacing w:after="0" w:line="1" w:lineRule="exact"/>
        <w:rPr>
          <w:sz w:val="20"/>
          <w:szCs w:val="20"/>
          <w:color w:val="auto"/>
        </w:rPr>
      </w:pPr>
    </w:p>
    <w:p>
      <w:pPr>
        <w:jc w:val="right"/>
        <w:ind w:left="60" w:right="119"/>
        <w:spacing w:after="0" w:line="265"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10.14†     —  </w:t>
      </w:r>
      <w:hyperlink r:id="rId156">
        <w:r>
          <w:rPr>
            <w:rFonts w:ascii="Arial" w:cs="Arial" w:eastAsia="Arial" w:hAnsi="Arial"/>
            <w:sz w:val="17"/>
            <w:szCs w:val="17"/>
            <w:u w:val="single" w:color="auto"/>
            <w:color w:val="0000EE"/>
          </w:rPr>
          <w:t>First Amended and Restated Employment Agreement between USA Waste-Management Resources, LLC</w:t>
        </w:r>
      </w:hyperlink>
      <w:r>
        <w:rPr>
          <w:rFonts w:ascii="Arial" w:cs="Arial" w:eastAsia="Arial" w:hAnsi="Arial"/>
          <w:sz w:val="17"/>
          <w:szCs w:val="17"/>
          <w:color w:val="auto"/>
        </w:rPr>
        <w:t xml:space="preserve"> </w:t>
      </w:r>
      <w:hyperlink r:id="rId156">
        <w:r>
          <w:rPr>
            <w:rFonts w:ascii="Arial" w:cs="Arial" w:eastAsia="Arial" w:hAnsi="Arial"/>
            <w:sz w:val="17"/>
            <w:szCs w:val="17"/>
            <w:u w:val="single" w:color="auto"/>
            <w:color w:val="0000EE"/>
          </w:rPr>
          <w:t>and John J. Morris, Jr. [incorporated by reference to Exhibit 10.4 to Form 8-K dated December 22, 2017].</w:t>
        </w:r>
      </w:hyperlink>
    </w:p>
    <w:p>
      <w:pPr>
        <w:jc w:val="both"/>
        <w:ind w:left="960" w:right="33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Employment Agreement between USA Waste-Management Resources, LLC and Charles C. Boettcher</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EE"/>
          </w:rPr>
          <w:t>dated December 22, 2017 [incorporated by reference to Exhibit 10.23 to Form 10-K for the year ended</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December 31, 2017].</w:t>
        </w:r>
      </w:hyperlink>
    </w:p>
    <w:p>
      <w:pPr>
        <w:spacing w:after="0" w:line="1" w:lineRule="exact"/>
        <w:rPr>
          <w:rFonts w:ascii="Arial" w:cs="Arial" w:eastAsia="Arial" w:hAnsi="Arial"/>
          <w:sz w:val="18"/>
          <w:szCs w:val="18"/>
          <w:color w:val="auto"/>
        </w:rPr>
      </w:pPr>
    </w:p>
    <w:p>
      <w:pPr>
        <w:ind w:left="960" w:right="7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Form of Director and Executive Officer Indemnity Agreement [incorporated by reference to Exhibit 10.43</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to Form 10-K for the year ended December 31, 2012].</w:t>
        </w:r>
      </w:hyperlink>
    </w:p>
    <w:p>
      <w:pPr>
        <w:spacing w:after="0" w:line="1" w:lineRule="exact"/>
        <w:rPr>
          <w:sz w:val="20"/>
          <w:szCs w:val="20"/>
          <w:color w:val="auto"/>
        </w:rPr>
      </w:pPr>
    </w:p>
    <w:p>
      <w:pPr>
        <w:ind w:left="960" w:right="7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EE"/>
          </w:rPr>
          <w:t>Waste Management Holdings, Inc. Executive Severance Plan [incorporated by reference to Exhibit 10.1 to</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EE"/>
          </w:rPr>
          <w:t>Form 8-K dated December 22, 2017].</w:t>
        </w:r>
      </w:hyperlink>
    </w:p>
    <w:p>
      <w:pPr>
        <w:spacing w:after="0" w:line="1"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w:t>
      </w:r>
      <w:r>
        <w:rPr>
          <w:sz w:val="20"/>
          <w:szCs w:val="20"/>
          <w:color w:val="auto"/>
        </w:rPr>
        <w:tab/>
      </w:r>
      <w:hyperlink r:id="rId160">
        <w:r>
          <w:rPr>
            <w:rFonts w:ascii="Arial" w:cs="Arial" w:eastAsia="Arial" w:hAnsi="Arial"/>
            <w:sz w:val="16"/>
            <w:szCs w:val="16"/>
            <w:u w:val="single" w:color="auto"/>
            <w:color w:val="0000EE"/>
          </w:rPr>
          <w:t>Form of 2020 Long Term Incentive Compensation Award Agreement for Senior Leadership Team</w:t>
        </w:r>
      </w:hyperlink>
    </w:p>
    <w:p>
      <w:pPr>
        <w:spacing w:after="0" w:line="9" w:lineRule="exact"/>
        <w:rPr>
          <w:sz w:val="20"/>
          <w:szCs w:val="20"/>
          <w:color w:val="auto"/>
        </w:rPr>
      </w:pPr>
    </w:p>
    <w:p>
      <w:pPr>
        <w:jc w:val="center"/>
        <w:ind w:right="559"/>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[incorporated by reference to Exhibit 10.1 to Form 8-K dated February 19, 2020].</w:t>
        </w:r>
      </w:hyperlink>
    </w:p>
    <w:p>
      <w:pPr>
        <w:spacing w:after="0" w:line="9" w:lineRule="exact"/>
        <w:rPr>
          <w:sz w:val="20"/>
          <w:szCs w:val="20"/>
          <w:color w:val="auto"/>
        </w:rPr>
      </w:pPr>
    </w:p>
    <w:p>
      <w:pPr>
        <w:ind w:left="60"/>
        <w:spacing w:after="0"/>
        <w:tabs>
          <w:tab w:leader="none" w:pos="940" w:val="left"/>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w:t>
      </w:r>
      <w:r>
        <w:rPr>
          <w:sz w:val="20"/>
          <w:szCs w:val="20"/>
          <w:color w:val="auto"/>
        </w:rPr>
        <w:tab/>
      </w:r>
      <w:hyperlink r:id="rId161">
        <w:r>
          <w:rPr>
            <w:rFonts w:ascii="Arial" w:cs="Arial" w:eastAsia="Arial" w:hAnsi="Arial"/>
            <w:sz w:val="16"/>
            <w:szCs w:val="16"/>
            <w:u w:val="single" w:color="auto"/>
            <w:color w:val="0000EE"/>
          </w:rPr>
          <w:t>Form of 2021 Long Term Incentive Compensation Award Agreement for Senior Leadership Team</w:t>
        </w:r>
      </w:hyperlink>
    </w:p>
    <w:p>
      <w:pPr>
        <w:spacing w:after="0" w:line="9" w:lineRule="exact"/>
        <w:rPr>
          <w:sz w:val="20"/>
          <w:szCs w:val="20"/>
          <w:color w:val="auto"/>
        </w:rPr>
      </w:pPr>
    </w:p>
    <w:p>
      <w:pPr>
        <w:ind w:left="1280"/>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[incorporated by reference to Exhibit 10.1 to Form 8-K dated February 23, 2021].</w:t>
        </w:r>
      </w:hyperlink>
    </w:p>
    <w:p>
      <w:pPr>
        <w:spacing w:after="0" w:line="9" w:lineRule="exact"/>
        <w:rPr>
          <w:sz w:val="20"/>
          <w:szCs w:val="20"/>
          <w:color w:val="auto"/>
        </w:rPr>
      </w:pPr>
    </w:p>
    <w:p>
      <w:pPr>
        <w:ind w:left="960" w:right="1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EE"/>
          </w:rPr>
          <w:t>Form of 2021 Long Term Incentive Compensation RSU Award Agreement [incorporated by reference to</w:t>
        </w:r>
      </w:hyperlink>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EE"/>
          </w:rPr>
          <w:t>Exhibit 10.19 to Form 10-K for the year ended December 31, 2021].</w:t>
        </w:r>
      </w:hyperlink>
    </w:p>
    <w:p>
      <w:pPr>
        <w:spacing w:after="0" w:line="1" w:lineRule="exact"/>
        <w:rPr>
          <w:sz w:val="20"/>
          <w:szCs w:val="20"/>
          <w:color w:val="auto"/>
        </w:rPr>
      </w:pPr>
    </w:p>
    <w:p>
      <w:pPr>
        <w:ind w:left="960" w:right="679" w:hanging="1227"/>
        <w:spacing w:after="0" w:line="265"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 xml:space="preserve">— </w:t>
      </w:r>
      <w:hyperlink r:id="rId163">
        <w:r>
          <w:rPr>
            <w:rFonts w:ascii="Arial" w:cs="Arial" w:eastAsia="Arial" w:hAnsi="Arial"/>
            <w:sz w:val="17"/>
            <w:szCs w:val="17"/>
            <w:u w:val="single" w:color="auto"/>
            <w:color w:val="0000EE"/>
          </w:rPr>
          <w:t>Form of 2022 Long Term Incentive Compensation Award Agreement for Senior Leadership Team</w:t>
        </w:r>
      </w:hyperlink>
      <w:r>
        <w:rPr>
          <w:rFonts w:ascii="Arial" w:cs="Arial" w:eastAsia="Arial" w:hAnsi="Arial"/>
          <w:sz w:val="17"/>
          <w:szCs w:val="17"/>
          <w:color w:val="auto"/>
        </w:rPr>
        <w:t xml:space="preserve"> </w:t>
      </w:r>
      <w:hyperlink r:id="rId163">
        <w:r>
          <w:rPr>
            <w:rFonts w:ascii="Arial" w:cs="Arial" w:eastAsia="Arial" w:hAnsi="Arial"/>
            <w:sz w:val="17"/>
            <w:szCs w:val="17"/>
            <w:u w:val="single" w:color="auto"/>
            <w:color w:val="0000EE"/>
          </w:rPr>
          <w:t>[incorporated by reference to Exhibit 10.1 to Form 8-K dated March 1, 2022].</w:t>
        </w:r>
      </w:hyperlink>
    </w:p>
    <w:p>
      <w:pPr>
        <w:ind w:left="960" w:right="199" w:hanging="1227"/>
        <w:spacing w:after="0" w:line="250"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EE"/>
          </w:rPr>
          <w:t>Form of 2022 Long Term Incentive Compensation RSU Award Agreement [incorporated by reference to</w:t>
        </w:r>
      </w:hyperlink>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EE"/>
          </w:rPr>
          <w:t>Exhibit 10.2 to Form 8-K dated March 1, 2022].</w:t>
        </w:r>
      </w:hyperlink>
    </w:p>
    <w:p>
      <w:pPr>
        <w:spacing w:after="0" w:line="1" w:lineRule="exact"/>
        <w:rPr>
          <w:sz w:val="20"/>
          <w:szCs w:val="20"/>
          <w:color w:val="auto"/>
        </w:rPr>
      </w:pPr>
    </w:p>
    <w:p>
      <w:pPr>
        <w:ind w:left="60"/>
        <w:spacing w:after="0"/>
        <w:tabs>
          <w:tab w:leader="none" w:pos="940" w:val="left"/>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0000EE"/>
        </w:rPr>
        <w:t>Subsidiaries of the Registrant.</w:t>
      </w:r>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0000EE"/>
        </w:rPr>
        <w:t>Guarantor Subsidiary.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8" w:name="page129"/>
    <w:bookmarkEnd w:id="1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7780" w:type="dxa"/>
            <w:vAlign w:val="bottom"/>
            <w:gridSpan w:val="9"/>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Consent of Independent Registered Public Accounting Firm.</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7780" w:type="dxa"/>
            <w:vAlign w:val="bottom"/>
            <w:gridSpan w:val="9"/>
          </w:tcPr>
          <w:p>
            <w:pPr>
              <w:ind w:left="60"/>
              <w:spacing w:after="0" w:line="196" w:lineRule="exact"/>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color w:val="0000EE"/>
                <w:w w:val="91"/>
              </w:rPr>
              <w:t>Certification Pursuant to Rules 13a-14(a) and 15d-14(a) under the Securities Exchange Act of 1934 of</w:t>
            </w:r>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James C. Fish, Jr., President and Chief Executive Officer.</w:t>
            </w:r>
          </w:p>
        </w:tc>
        <w:tc>
          <w:tcPr>
            <w:tcW w:w="322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7780" w:type="dxa"/>
            <w:vAlign w:val="bottom"/>
            <w:gridSpan w:val="9"/>
          </w:tcPr>
          <w:p>
            <w:pPr>
              <w:ind w:left="60"/>
              <w:spacing w:after="0" w:line="196" w:lineRule="exact"/>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color w:val="0000EE"/>
                <w:w w:val="91"/>
              </w:rPr>
              <w:t>Certification Pursuant to Rules 13a-14(a) and 15d-14(a) under the Securities Exchange Act of 1934 of</w:t>
            </w:r>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Devina A. Rankin, Executive Vice President and Chief Financial Officer.</w:t>
            </w:r>
          </w:p>
        </w:tc>
        <w:tc>
          <w:tcPr>
            <w:tcW w:w="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780" w:type="dxa"/>
            <w:vAlign w:val="bottom"/>
            <w:gridSpan w:val="9"/>
          </w:tcPr>
          <w:p>
            <w:pPr>
              <w:ind w:left="60"/>
              <w:spacing w:after="0" w:line="196" w:lineRule="exact"/>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color w:val="0000EE"/>
                <w:w w:val="91"/>
              </w:rPr>
              <w:t>Certification Pursuant to 18 U.S.C. §1350 of James C. Fish, Jr., President and Chief Executive Officer.</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7780" w:type="dxa"/>
            <w:vAlign w:val="bottom"/>
            <w:gridSpan w:val="9"/>
          </w:tcPr>
          <w:p>
            <w:pPr>
              <w:ind w:left="60"/>
              <w:spacing w:after="0" w:line="196" w:lineRule="exact"/>
              <w:rPr>
                <w:sz w:val="20"/>
                <w:szCs w:val="20"/>
                <w:color w:val="auto"/>
              </w:rPr>
            </w:pPr>
            <w:r>
              <w:rPr>
                <w:rFonts w:ascii="Arial" w:cs="Arial" w:eastAsia="Arial" w:hAnsi="Arial"/>
                <w:sz w:val="18"/>
                <w:szCs w:val="18"/>
                <w:color w:val="auto"/>
                <w:w w:val="94"/>
              </w:rPr>
              <w:t xml:space="preserve">—  </w:t>
            </w:r>
            <w:r>
              <w:rPr>
                <w:rFonts w:ascii="Arial" w:cs="Arial" w:eastAsia="Arial" w:hAnsi="Arial"/>
                <w:sz w:val="18"/>
                <w:szCs w:val="18"/>
                <w:color w:val="0000EE"/>
                <w:w w:val="94"/>
              </w:rPr>
              <w:t>Certification Pursuant to 18 U.S.C. §1350 of Devina A. Rankin, Executive Vice President and Chief</w:t>
            </w:r>
          </w:p>
        </w:tc>
      </w:tr>
      <w:tr>
        <w:trPr>
          <w:trHeight w:val="19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Financial Officer.</w:t>
            </w:r>
          </w:p>
        </w:tc>
        <w:tc>
          <w:tcPr>
            <w:tcW w:w="5940" w:type="dxa"/>
            <w:vAlign w:val="bottom"/>
            <w:tcBorders>
              <w:top w:val="single" w:sz="8" w:color="0000EE"/>
            </w:tcBorders>
            <w:gridSpan w:val="5"/>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95*</w:t>
            </w:r>
          </w:p>
        </w:tc>
        <w:tc>
          <w:tcPr>
            <w:tcW w:w="38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Mine Safety Disclosures.</w:t>
            </w:r>
          </w:p>
        </w:tc>
        <w:tc>
          <w:tcPr>
            <w:tcW w:w="5580" w:type="dxa"/>
            <w:vAlign w:val="bottom"/>
            <w:gridSpan w:val="6"/>
          </w:tcPr>
          <w:p>
            <w:pPr>
              <w:spacing w:after="0"/>
              <w:rPr>
                <w:sz w:val="17"/>
                <w:szCs w:val="17"/>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400" w:type="dxa"/>
            <w:vAlign w:val="bottom"/>
            <w:gridSpan w:val="8"/>
          </w:tcPr>
          <w:p>
            <w:pPr>
              <w:spacing w:after="0"/>
              <w:rPr>
                <w:sz w:val="20"/>
                <w:szCs w:val="20"/>
                <w:color w:val="auto"/>
              </w:rPr>
            </w:pPr>
            <w:r>
              <w:rPr>
                <w:rFonts w:ascii="Arial" w:cs="Arial" w:eastAsia="Arial" w:hAnsi="Arial"/>
                <w:sz w:val="18"/>
                <w:szCs w:val="18"/>
                <w:color w:val="auto"/>
              </w:rPr>
              <w:t>Inline XBRL Instance.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7780" w:type="dxa"/>
            <w:vAlign w:val="bottom"/>
            <w:gridSpan w:val="9"/>
          </w:tcPr>
          <w:p>
            <w:pPr>
              <w:ind w:left="60"/>
              <w:spacing w:after="0"/>
              <w:rPr>
                <w:sz w:val="20"/>
                <w:szCs w:val="20"/>
                <w:color w:val="auto"/>
              </w:rPr>
            </w:pPr>
            <w:r>
              <w:rPr>
                <w:rFonts w:ascii="Arial" w:cs="Arial" w:eastAsia="Arial" w:hAnsi="Arial"/>
                <w:sz w:val="18"/>
                <w:szCs w:val="18"/>
                <w:color w:val="auto"/>
              </w:rPr>
              <w:t>—  Inline XBRL Taxonomy Extension Schema.</w:t>
            </w:r>
          </w:p>
        </w:tc>
      </w:tr>
      <w:tr>
        <w:trPr>
          <w:trHeight w:val="216"/>
        </w:trPr>
        <w:tc>
          <w:tcPr>
            <w:tcW w:w="8620" w:type="dxa"/>
            <w:vAlign w:val="bottom"/>
            <w:gridSpan w:val="10"/>
          </w:tcPr>
          <w:p>
            <w:pPr>
              <w:spacing w:after="0"/>
              <w:rPr>
                <w:sz w:val="20"/>
                <w:szCs w:val="20"/>
                <w:color w:val="auto"/>
              </w:rPr>
            </w:pPr>
            <w:r>
              <w:rPr>
                <w:rFonts w:ascii="Arial" w:cs="Arial" w:eastAsia="Arial" w:hAnsi="Arial"/>
                <w:sz w:val="18"/>
                <w:szCs w:val="18"/>
                <w:color w:val="auto"/>
              </w:rPr>
              <w:t>101.CAL*  —  Inline XBRL Taxonomy Extension Calculation.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7780" w:type="dxa"/>
            <w:vAlign w:val="bottom"/>
            <w:gridSpan w:val="9"/>
          </w:tcPr>
          <w:p>
            <w:pPr>
              <w:ind w:left="60"/>
              <w:spacing w:after="0"/>
              <w:rPr>
                <w:sz w:val="20"/>
                <w:szCs w:val="20"/>
                <w:color w:val="auto"/>
              </w:rPr>
            </w:pPr>
            <w:r>
              <w:rPr>
                <w:rFonts w:ascii="Arial" w:cs="Arial" w:eastAsia="Arial" w:hAnsi="Arial"/>
                <w:sz w:val="18"/>
                <w:szCs w:val="18"/>
                <w:color w:val="auto"/>
              </w:rPr>
              <w:t>—  Inline XBRL Taxonomy Extension Labels.</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7780" w:type="dxa"/>
            <w:vAlign w:val="bottom"/>
            <w:gridSpan w:val="9"/>
          </w:tcPr>
          <w:p>
            <w:pPr>
              <w:ind w:left="60"/>
              <w:spacing w:after="0"/>
              <w:rPr>
                <w:sz w:val="20"/>
                <w:szCs w:val="20"/>
                <w:color w:val="auto"/>
              </w:rPr>
            </w:pPr>
            <w:r>
              <w:rPr>
                <w:rFonts w:ascii="Arial" w:cs="Arial" w:eastAsia="Arial" w:hAnsi="Arial"/>
                <w:sz w:val="18"/>
                <w:szCs w:val="18"/>
                <w:color w:val="auto"/>
              </w:rPr>
              <w:t>—  Inline XBRL Taxonomy Extension Presentation.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7780" w:type="dxa"/>
            <w:vAlign w:val="bottom"/>
            <w:gridSpan w:val="9"/>
          </w:tcPr>
          <w:p>
            <w:pPr>
              <w:ind w:left="60"/>
              <w:spacing w:after="0"/>
              <w:rPr>
                <w:sz w:val="20"/>
                <w:szCs w:val="20"/>
                <w:color w:val="auto"/>
              </w:rPr>
            </w:pPr>
            <w:r>
              <w:rPr>
                <w:rFonts w:ascii="Arial" w:cs="Arial" w:eastAsia="Arial" w:hAnsi="Arial"/>
                <w:sz w:val="18"/>
                <w:szCs w:val="18"/>
                <w:color w:val="auto"/>
              </w:rPr>
              <w:t>—  Inline XBRL Taxonomy Extension Definition.</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4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360" w:hanging="310"/>
        <w:spacing w:after="0"/>
        <w:tabs>
          <w:tab w:leader="none" w:pos="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9" w:name="page130"/>
    <w:bookmarkEnd w:id="1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C. FISH, JR.</w:t>
            </w:r>
          </w:p>
        </w:tc>
      </w:tr>
      <w:tr>
        <w:trPr>
          <w:trHeight w:val="195"/>
        </w:trPr>
        <w:tc>
          <w:tcPr>
            <w:tcW w:w="32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Chief Executive Officer and Director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7, 2023</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791"/>
              <w:spacing w:after="0"/>
              <w:rPr>
                <w:sz w:val="20"/>
                <w:szCs w:val="20"/>
                <w:color w:val="auto"/>
              </w:rPr>
            </w:pPr>
            <w:r>
              <w:rPr>
                <w:rFonts w:ascii="Arial" w:cs="Arial" w:eastAsia="Arial" w:hAnsi="Arial"/>
                <w:sz w:val="14"/>
                <w:szCs w:val="14"/>
                <w:b w:val="1"/>
                <w:bCs w:val="1"/>
                <w:color w:val="auto"/>
                <w:w w:val="92"/>
              </w:rPr>
              <w:t>Signature</w:t>
            </w:r>
          </w:p>
        </w:tc>
        <w:tc>
          <w:tcPr>
            <w:tcW w:w="280" w:type="dxa"/>
            <w:vAlign w:val="bottom"/>
          </w:tcPr>
          <w:p>
            <w:pPr>
              <w:spacing w:after="0"/>
              <w:rPr>
                <w:sz w:val="14"/>
                <w:szCs w:val="14"/>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5"/>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51"/>
              <w:spacing w:after="0"/>
              <w:rPr>
                <w:sz w:val="20"/>
                <w:szCs w:val="20"/>
                <w:color w:val="auto"/>
              </w:rPr>
            </w:pPr>
            <w:r>
              <w:rPr>
                <w:rFonts w:ascii="Arial" w:cs="Arial" w:eastAsia="Arial" w:hAnsi="Arial"/>
                <w:sz w:val="18"/>
                <w:szCs w:val="18"/>
                <w:color w:val="auto"/>
                <w:w w:val="92"/>
              </w:rPr>
              <w:t>JAMES C. FISH, JR.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President, Chief Executive Officer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86"/>
              </w:rPr>
              <w:t>James C. Fish, Jr.</w:t>
            </w:r>
          </w:p>
        </w:tc>
        <w:tc>
          <w:tcPr>
            <w:tcW w:w="280" w:type="dxa"/>
            <w:vAlign w:val="bottom"/>
          </w:tcPr>
          <w:p>
            <w:pPr>
              <w:spacing w:after="0"/>
              <w:rPr>
                <w:sz w:val="19"/>
                <w:szCs w:val="19"/>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(Principal Executive Officer)</w:t>
            </w: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rPr>
              <w:t>DEVINA A. RANKIN</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Executive Vice President and</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195"/>
        </w:trPr>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tcPr>
          <w:p>
            <w:pPr>
              <w:jc w:val="center"/>
              <w:ind w:right="771"/>
              <w:spacing w:after="0" w:line="195" w:lineRule="exact"/>
              <w:rPr>
                <w:sz w:val="20"/>
                <w:szCs w:val="20"/>
                <w:color w:val="auto"/>
              </w:rPr>
            </w:pPr>
            <w:r>
              <w:rPr>
                <w:rFonts w:ascii="Arial" w:cs="Arial" w:eastAsia="Arial" w:hAnsi="Arial"/>
                <w:sz w:val="18"/>
                <w:szCs w:val="18"/>
                <w:color w:val="auto"/>
                <w:w w:val="93"/>
              </w:rPr>
              <w:t>Devina A. Rankin</w:t>
            </w:r>
          </w:p>
        </w:tc>
        <w:tc>
          <w:tcPr>
            <w:tcW w:w="280" w:type="dxa"/>
            <w:vAlign w:val="bottom"/>
          </w:tcPr>
          <w:p>
            <w:pPr>
              <w:spacing w:after="0"/>
              <w:rPr>
                <w:sz w:val="16"/>
                <w:szCs w:val="16"/>
                <w:color w:val="auto"/>
              </w:rPr>
            </w:pPr>
          </w:p>
        </w:tc>
        <w:tc>
          <w:tcPr>
            <w:tcW w:w="404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Chief Financial Officer</w:t>
            </w:r>
          </w:p>
        </w:tc>
        <w:tc>
          <w:tcPr>
            <w:tcW w:w="1520" w:type="dxa"/>
            <w:vAlign w:val="bottom"/>
          </w:tcPr>
          <w:p>
            <w:pPr>
              <w:spacing w:after="0"/>
              <w:rPr>
                <w:sz w:val="16"/>
                <w:szCs w:val="16"/>
                <w:color w:val="auto"/>
              </w:rPr>
            </w:pPr>
          </w:p>
        </w:tc>
      </w:tr>
      <w:tr>
        <w:trPr>
          <w:trHeight w:val="230"/>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Financial Officer)</w:t>
            </w:r>
          </w:p>
        </w:tc>
        <w:tc>
          <w:tcPr>
            <w:tcW w:w="1520" w:type="dxa"/>
            <w:vAlign w:val="bottom"/>
          </w:tcPr>
          <w:p>
            <w:pPr>
              <w:spacing w:after="0"/>
              <w:rPr>
                <w:sz w:val="20"/>
                <w:szCs w:val="20"/>
                <w:color w:val="auto"/>
              </w:rPr>
            </w:pPr>
          </w:p>
        </w:tc>
      </w:tr>
      <w:tr>
        <w:trPr>
          <w:trHeight w:val="432"/>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3"/>
              </w:rPr>
              <w:t>/s/</w:t>
            </w:r>
          </w:p>
        </w:tc>
        <w:tc>
          <w:tcPr>
            <w:tcW w:w="220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rPr>
              <w:t>LESLIE K. NAGY</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Vice President and Chief Accounting Officer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94"/>
              </w:rPr>
              <w:t>Leslie K. Nagy</w:t>
            </w:r>
          </w:p>
        </w:tc>
        <w:tc>
          <w:tcPr>
            <w:tcW w:w="280" w:type="dxa"/>
            <w:vAlign w:val="bottom"/>
          </w:tcPr>
          <w:p>
            <w:pPr>
              <w:spacing w:after="0"/>
              <w:rPr>
                <w:sz w:val="19"/>
                <w:szCs w:val="19"/>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Accounting Officer)</w:t>
            </w: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96"/>
              </w:rPr>
              <w:t>ANDRÉS R. GLUSKI</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93"/>
              </w:rPr>
              <w:t>Andrés R. Gluski</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2200" w:type="dxa"/>
            <w:vAlign w:val="bottom"/>
            <w:tcBorders>
              <w:bottom w:val="single" w:sz="8" w:color="auto"/>
            </w:tcBorders>
          </w:tcPr>
          <w:p>
            <w:pPr>
              <w:jc w:val="center"/>
              <w:ind w:right="471"/>
              <w:spacing w:after="0"/>
              <w:rPr>
                <w:sz w:val="20"/>
                <w:szCs w:val="20"/>
                <w:color w:val="auto"/>
              </w:rPr>
            </w:pPr>
            <w:r>
              <w:rPr>
                <w:rFonts w:ascii="Arial" w:cs="Arial" w:eastAsia="Arial" w:hAnsi="Arial"/>
                <w:sz w:val="18"/>
                <w:szCs w:val="18"/>
                <w:color w:val="auto"/>
                <w:w w:val="98"/>
              </w:rPr>
              <w:t>VICTORIA M. HOLT</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96"/>
              </w:rPr>
              <w:t>Victoria M. Holt</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color w:val="auto"/>
              </w:rPr>
              <w:t>KATHLEEN M. MAZZARELLA</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Arial" w:cs="Arial" w:eastAsia="Arial" w:hAnsi="Arial"/>
                <w:sz w:val="18"/>
                <w:szCs w:val="18"/>
                <w:color w:val="auto"/>
                <w:w w:val="92"/>
              </w:rPr>
              <w:t>Kathleen M. Mazzarella</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51"/>
              <w:spacing w:after="0"/>
              <w:rPr>
                <w:sz w:val="20"/>
                <w:szCs w:val="20"/>
                <w:color w:val="auto"/>
              </w:rPr>
            </w:pPr>
            <w:r>
              <w:rPr>
                <w:rFonts w:ascii="Arial" w:cs="Arial" w:eastAsia="Arial" w:hAnsi="Arial"/>
                <w:sz w:val="18"/>
                <w:szCs w:val="18"/>
                <w:color w:val="auto"/>
                <w:w w:val="98"/>
              </w:rPr>
              <w:t>/s/  SEAN E. MENKE</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89"/>
              </w:rPr>
              <w:t>Sean E. Menke</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WILLIAM B. PLUMMER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Arial" w:cs="Arial" w:eastAsia="Arial" w:hAnsi="Arial"/>
                <w:sz w:val="18"/>
                <w:szCs w:val="18"/>
                <w:color w:val="auto"/>
                <w:w w:val="95"/>
              </w:rPr>
              <w:t>William B. Plummer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51"/>
              <w:spacing w:after="0"/>
              <w:rPr>
                <w:sz w:val="20"/>
                <w:szCs w:val="20"/>
                <w:color w:val="auto"/>
              </w:rPr>
            </w:pPr>
            <w:r>
              <w:rPr>
                <w:rFonts w:ascii="Arial" w:cs="Arial" w:eastAsia="Arial" w:hAnsi="Arial"/>
                <w:sz w:val="18"/>
                <w:szCs w:val="18"/>
                <w:color w:val="auto"/>
                <w:w w:val="93"/>
              </w:rPr>
              <w:t>/s/  JOHN C. POPE</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center"/>
              <w:ind w:right="771"/>
              <w:spacing w:after="0"/>
              <w:rPr>
                <w:sz w:val="20"/>
                <w:szCs w:val="20"/>
                <w:color w:val="auto"/>
              </w:rPr>
            </w:pPr>
            <w:r>
              <w:rPr>
                <w:rFonts w:ascii="Arial" w:cs="Arial" w:eastAsia="Arial" w:hAnsi="Arial"/>
                <w:sz w:val="18"/>
                <w:szCs w:val="18"/>
                <w:color w:val="auto"/>
                <w:w w:val="86"/>
              </w:rPr>
              <w:t>John C. Pope</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3"/>
              </w:rPr>
              <w:t>/s/</w:t>
            </w:r>
          </w:p>
        </w:tc>
        <w:tc>
          <w:tcPr>
            <w:tcW w:w="262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color w:val="auto"/>
                <w:w w:val="95"/>
              </w:rPr>
              <w:t>MARYROSE T. SYLVESTER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Arial" w:cs="Arial" w:eastAsia="Arial" w:hAnsi="Arial"/>
                <w:sz w:val="18"/>
                <w:szCs w:val="18"/>
                <w:color w:val="auto"/>
                <w:w w:val="90"/>
              </w:rPr>
              <w:t>Maryrose T. Sylvester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3"/>
              </w:rPr>
              <w:t>/s/</w:t>
            </w:r>
          </w:p>
        </w:tc>
        <w:tc>
          <w:tcPr>
            <w:tcW w:w="262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8"/>
                <w:szCs w:val="18"/>
                <w:color w:val="auto"/>
                <w:w w:val="98"/>
              </w:rPr>
              <w:t>THOMAS H. WEIDEMEYER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Chairman of the Board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24"/>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Arial" w:cs="Arial" w:eastAsia="Arial" w:hAnsi="Arial"/>
                <w:sz w:val="18"/>
                <w:szCs w:val="18"/>
                <w:color w:val="auto"/>
                <w:w w:val="89"/>
              </w:rPr>
              <w:t>Thomas H. Weidemeyer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30" w:name="page131"/>
    <w:bookmarkEnd w:id="130"/>
    <w:p>
      <w:pPr>
        <w:jc w:val="right"/>
        <w:ind w:right="59"/>
        <w:spacing w:after="0"/>
        <w:rPr>
          <w:sz w:val="20"/>
          <w:szCs w:val="20"/>
          <w:color w:val="auto"/>
        </w:rPr>
      </w:pPr>
      <w:r>
        <w:rPr>
          <w:rFonts w:ascii="Arial" w:cs="Arial" w:eastAsia="Arial" w:hAnsi="Arial"/>
          <w:sz w:val="18"/>
          <w:szCs w:val="18"/>
          <w:b w:val="1"/>
          <w:bCs w:val="1"/>
          <w:color w:val="auto"/>
        </w:rPr>
        <w:t>Exhibit 4.7</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Schedule of Officers’ Certificates</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delivered pursuant to Section 301 of the Indenture dated September 10, 1997</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by and between Waste Management, Inc. and The Bank of New York Mellon Trust Company, N.A., as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Principal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Principal</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left="197"/>
              <w:spacing w:after="0"/>
              <w:rPr>
                <w:sz w:val="20"/>
                <w:szCs w:val="20"/>
                <w:color w:val="auto"/>
              </w:rPr>
            </w:pPr>
            <w:r>
              <w:rPr>
                <w:rFonts w:ascii="Arial" w:cs="Arial" w:eastAsia="Arial" w:hAnsi="Arial"/>
                <w:sz w:val="13"/>
                <w:szCs w:val="13"/>
                <w:b w:val="1"/>
                <w:bCs w:val="1"/>
                <w:color w:val="auto"/>
                <w:w w:val="97"/>
              </w:rPr>
              <w:t>Interest</w:t>
            </w:r>
          </w:p>
        </w:tc>
        <w:tc>
          <w:tcPr>
            <w:tcW w:w="28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Amount</w:t>
            </w:r>
          </w:p>
        </w:tc>
        <w:tc>
          <w:tcPr>
            <w:tcW w:w="114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 Rate</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left="197"/>
              <w:spacing w:after="0"/>
              <w:rPr>
                <w:sz w:val="20"/>
                <w:szCs w:val="20"/>
                <w:color w:val="auto"/>
              </w:rPr>
            </w:pPr>
            <w:r>
              <w:rPr>
                <w:rFonts w:ascii="Arial" w:cs="Arial" w:eastAsia="Arial" w:hAnsi="Arial"/>
                <w:sz w:val="13"/>
                <w:szCs w:val="13"/>
                <w:b w:val="1"/>
                <w:bCs w:val="1"/>
                <w:color w:val="auto"/>
                <w:w w:val="92"/>
              </w:rPr>
              <w:t>Payment</w:t>
            </w:r>
          </w:p>
        </w:tc>
        <w:tc>
          <w:tcPr>
            <w:tcW w:w="280" w:type="dxa"/>
            <w:vAlign w:val="bottom"/>
          </w:tcPr>
          <w:p>
            <w:pPr>
              <w:spacing w:after="0"/>
              <w:rPr>
                <w:sz w:val="14"/>
                <w:szCs w:val="14"/>
                <w:color w:val="auto"/>
              </w:rPr>
            </w:pPr>
          </w:p>
        </w:tc>
      </w:tr>
      <w:tr>
        <w:trPr>
          <w:trHeight w:val="174"/>
        </w:trPr>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Issued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3"/>
              </w:rPr>
              <w:t>Outstanding</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annum)</w:t>
            </w:r>
          </w:p>
        </w:tc>
        <w:tc>
          <w:tcPr>
            <w:tcW w:w="240" w:type="dxa"/>
            <w:vAlign w:val="bottom"/>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c>
          <w:tcPr>
            <w:tcW w:w="240" w:type="dxa"/>
            <w:vAlign w:val="bottom"/>
          </w:tcPr>
          <w:p>
            <w:pPr>
              <w:spacing w:after="0"/>
              <w:rPr>
                <w:sz w:val="15"/>
                <w:szCs w:val="15"/>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Maturity Date</w:t>
            </w:r>
          </w:p>
        </w:tc>
        <w:tc>
          <w:tcPr>
            <w:tcW w:w="160" w:type="dxa"/>
            <w:vAlign w:val="bottom"/>
          </w:tcPr>
          <w:p>
            <w:pPr>
              <w:spacing w:after="0"/>
              <w:rPr>
                <w:sz w:val="15"/>
                <w:szCs w:val="15"/>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CUSIP</w:t>
            </w:r>
          </w:p>
        </w:tc>
        <w:tc>
          <w:tcPr>
            <w:tcW w:w="160" w:type="dxa"/>
            <w:vAlign w:val="bottom"/>
          </w:tcPr>
          <w:p>
            <w:pPr>
              <w:spacing w:after="0"/>
              <w:rPr>
                <w:sz w:val="15"/>
                <w:szCs w:val="15"/>
                <w:color w:val="auto"/>
              </w:rPr>
            </w:pPr>
          </w:p>
        </w:tc>
        <w:tc>
          <w:tcPr>
            <w:tcW w:w="162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w w:val="90"/>
              </w:rPr>
              <w:t>Dates</w:t>
            </w:r>
          </w:p>
        </w:tc>
        <w:tc>
          <w:tcPr>
            <w:tcW w:w="280" w:type="dxa"/>
            <w:vAlign w:val="bottom"/>
            <w:tcBorders>
              <w:bottom w:val="single" w:sz="8" w:color="auto"/>
            </w:tcBorders>
          </w:tcPr>
          <w:p>
            <w:pPr>
              <w:spacing w:after="0"/>
              <w:rPr>
                <w:sz w:val="15"/>
                <w:szCs w:val="15"/>
                <w:color w:val="auto"/>
              </w:rPr>
            </w:pPr>
          </w:p>
        </w:tc>
      </w:tr>
      <w:tr>
        <w:trPr>
          <w:trHeight w:val="192"/>
        </w:trPr>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line="193" w:lineRule="exact"/>
              <w:rPr>
                <w:sz w:val="20"/>
                <w:szCs w:val="20"/>
                <w:color w:val="auto"/>
              </w:rPr>
            </w:pPr>
            <w:r>
              <w:rPr>
                <w:rFonts w:ascii="Arial" w:cs="Arial" w:eastAsia="Arial" w:hAnsi="Arial"/>
                <w:sz w:val="17"/>
                <w:szCs w:val="17"/>
                <w:color w:val="auto"/>
                <w:w w:val="98"/>
              </w:rPr>
              <w:t>600 million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line="193" w:lineRule="exact"/>
              <w:rPr>
                <w:sz w:val="20"/>
                <w:szCs w:val="20"/>
                <w:color w:val="auto"/>
              </w:rPr>
            </w:pPr>
            <w:r>
              <w:rPr>
                <w:rFonts w:ascii="Arial" w:cs="Arial" w:eastAsia="Arial" w:hAnsi="Arial"/>
                <w:sz w:val="17"/>
                <w:szCs w:val="17"/>
                <w:color w:val="auto"/>
                <w:w w:val="98"/>
              </w:rPr>
              <w:t>258 million</w:t>
            </w:r>
          </w:p>
        </w:tc>
        <w:tc>
          <w:tcPr>
            <w:tcW w:w="900" w:type="dxa"/>
            <w:vAlign w:val="bottom"/>
          </w:tcPr>
          <w:p>
            <w:pPr>
              <w:jc w:val="right"/>
              <w:ind w:right="16"/>
              <w:spacing w:after="0" w:line="193" w:lineRule="exact"/>
              <w:rPr>
                <w:sz w:val="20"/>
                <w:szCs w:val="20"/>
                <w:color w:val="auto"/>
              </w:rPr>
            </w:pPr>
            <w:r>
              <w:rPr>
                <w:rFonts w:ascii="Arial" w:cs="Arial" w:eastAsia="Arial" w:hAnsi="Arial"/>
                <w:sz w:val="17"/>
                <w:szCs w:val="17"/>
                <w:color w:val="auto"/>
              </w:rPr>
              <w:t>7.00%</w:t>
            </w:r>
          </w:p>
        </w:tc>
        <w:tc>
          <w:tcPr>
            <w:tcW w:w="240" w:type="dxa"/>
            <w:vAlign w:val="bottom"/>
          </w:tcPr>
          <w:p>
            <w:pPr>
              <w:spacing w:after="0"/>
              <w:rPr>
                <w:sz w:val="16"/>
                <w:szCs w:val="16"/>
                <w:color w:val="auto"/>
              </w:rPr>
            </w:pPr>
          </w:p>
        </w:tc>
        <w:tc>
          <w:tcPr>
            <w:tcW w:w="900" w:type="dxa"/>
            <w:vAlign w:val="bottom"/>
          </w:tcPr>
          <w:p>
            <w:pPr>
              <w:jc w:val="center"/>
              <w:spacing w:after="0" w:line="193" w:lineRule="exact"/>
              <w:rPr>
                <w:sz w:val="20"/>
                <w:szCs w:val="20"/>
                <w:color w:val="auto"/>
              </w:rPr>
            </w:pPr>
            <w:r>
              <w:rPr>
                <w:rFonts w:ascii="Arial" w:cs="Arial" w:eastAsia="Arial" w:hAnsi="Arial"/>
                <w:sz w:val="17"/>
                <w:szCs w:val="17"/>
                <w:color w:val="auto"/>
                <w:w w:val="92"/>
              </w:rPr>
              <w:t>7/17/1998</w:t>
            </w:r>
          </w:p>
        </w:tc>
        <w:tc>
          <w:tcPr>
            <w:tcW w:w="240" w:type="dxa"/>
            <w:vAlign w:val="bottom"/>
          </w:tcPr>
          <w:p>
            <w:pPr>
              <w:spacing w:after="0"/>
              <w:rPr>
                <w:sz w:val="16"/>
                <w:szCs w:val="16"/>
                <w:color w:val="auto"/>
              </w:rPr>
            </w:pPr>
          </w:p>
        </w:tc>
        <w:tc>
          <w:tcPr>
            <w:tcW w:w="1000" w:type="dxa"/>
            <w:vAlign w:val="bottom"/>
          </w:tcPr>
          <w:p>
            <w:pPr>
              <w:jc w:val="center"/>
              <w:spacing w:after="0" w:line="193" w:lineRule="exact"/>
              <w:rPr>
                <w:sz w:val="20"/>
                <w:szCs w:val="20"/>
                <w:color w:val="auto"/>
              </w:rPr>
            </w:pPr>
            <w:r>
              <w:rPr>
                <w:rFonts w:ascii="Arial" w:cs="Arial" w:eastAsia="Arial" w:hAnsi="Arial"/>
                <w:sz w:val="17"/>
                <w:szCs w:val="17"/>
                <w:color w:val="auto"/>
                <w:w w:val="94"/>
              </w:rPr>
              <w:t>7/15/2028*</w:t>
            </w:r>
          </w:p>
        </w:tc>
        <w:tc>
          <w:tcPr>
            <w:tcW w:w="160" w:type="dxa"/>
            <w:vAlign w:val="bottom"/>
          </w:tcPr>
          <w:p>
            <w:pPr>
              <w:spacing w:after="0"/>
              <w:rPr>
                <w:sz w:val="16"/>
                <w:szCs w:val="16"/>
                <w:color w:val="auto"/>
              </w:rPr>
            </w:pPr>
          </w:p>
        </w:tc>
        <w:tc>
          <w:tcPr>
            <w:tcW w:w="1240" w:type="dxa"/>
            <w:vAlign w:val="bottom"/>
            <w:gridSpan w:val="2"/>
          </w:tcPr>
          <w:p>
            <w:pPr>
              <w:jc w:val="center"/>
              <w:ind w:right="160"/>
              <w:spacing w:after="0" w:line="193" w:lineRule="exact"/>
              <w:rPr>
                <w:sz w:val="20"/>
                <w:szCs w:val="20"/>
                <w:color w:val="auto"/>
              </w:rPr>
            </w:pPr>
            <w:r>
              <w:rPr>
                <w:rFonts w:ascii="Arial" w:cs="Arial" w:eastAsia="Arial" w:hAnsi="Arial"/>
                <w:sz w:val="17"/>
                <w:szCs w:val="17"/>
                <w:color w:val="auto"/>
                <w:w w:val="93"/>
              </w:rPr>
              <w:t>902917AH6</w:t>
            </w:r>
          </w:p>
        </w:tc>
        <w:tc>
          <w:tcPr>
            <w:tcW w:w="1620" w:type="dxa"/>
            <w:vAlign w:val="bottom"/>
          </w:tcPr>
          <w:p>
            <w:pPr>
              <w:jc w:val="center"/>
              <w:ind w:left="197"/>
              <w:spacing w:after="0" w:line="193" w:lineRule="exact"/>
              <w:rPr>
                <w:sz w:val="20"/>
                <w:szCs w:val="20"/>
                <w:color w:val="auto"/>
              </w:rPr>
            </w:pPr>
            <w:r>
              <w:rPr>
                <w:rFonts w:ascii="Arial" w:cs="Arial" w:eastAsia="Arial" w:hAnsi="Arial"/>
                <w:sz w:val="17"/>
                <w:szCs w:val="17"/>
                <w:color w:val="auto"/>
                <w:w w:val="90"/>
              </w:rPr>
              <w:t>January 15; July 15</w:t>
            </w:r>
          </w:p>
        </w:tc>
        <w:tc>
          <w:tcPr>
            <w:tcW w:w="280" w:type="dxa"/>
            <w:vAlign w:val="bottom"/>
          </w:tcPr>
          <w:p>
            <w:pPr>
              <w:spacing w:after="0"/>
              <w:rPr>
                <w:sz w:val="16"/>
                <w:szCs w:val="16"/>
                <w:color w:val="auto"/>
              </w:rPr>
            </w:pP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250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81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7.375%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1/21/2000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4"/>
              </w:rPr>
              <w:t>5/15/2029*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94106LAG4</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144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7.75%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1/3/2003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4"/>
              </w:rPr>
              <w:t>5/15/2032*</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94106LAN9</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600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246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6.125%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11/17/2009</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11/30/2039</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94106LAV1</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30; November 30</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350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156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5/8/2014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5/15/2024</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5"/>
              </w:rPr>
              <w:t>94106LAZ2</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600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422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3.125%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3/1/2025</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94106LBA6</w:t>
            </w:r>
          </w:p>
        </w:tc>
        <w:tc>
          <w:tcPr>
            <w:tcW w:w="1620" w:type="dxa"/>
            <w:vAlign w:val="bottom"/>
          </w:tcPr>
          <w:p>
            <w:pPr>
              <w:jc w:val="right"/>
              <w:spacing w:after="0"/>
              <w:rPr>
                <w:sz w:val="20"/>
                <w:szCs w:val="20"/>
                <w:color w:val="auto"/>
              </w:rPr>
            </w:pPr>
            <w:r>
              <w:rPr>
                <w:rFonts w:ascii="Arial" w:cs="Arial" w:eastAsia="Arial" w:hAnsi="Arial"/>
                <w:sz w:val="17"/>
                <w:szCs w:val="17"/>
                <w:color w:val="auto"/>
              </w:rPr>
              <w:t>March 1; September</w:t>
            </w:r>
          </w:p>
        </w:tc>
        <w:tc>
          <w:tcPr>
            <w:tcW w:w="280" w:type="dxa"/>
            <w:vAlign w:val="bottom"/>
          </w:tcPr>
          <w:p>
            <w:pPr>
              <w:spacing w:after="0"/>
              <w:rPr>
                <w:sz w:val="20"/>
                <w:szCs w:val="20"/>
                <w:color w:val="auto"/>
              </w:rPr>
            </w:pPr>
            <w:r>
              <w:rPr>
                <w:rFonts w:ascii="Arial" w:cs="Arial" w:eastAsia="Arial" w:hAnsi="Arial"/>
                <w:sz w:val="17"/>
                <w:szCs w:val="17"/>
                <w:color w:val="auto"/>
              </w:rPr>
              <w:t>1</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450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297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3.90%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3/1/2035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94106LBB4</w:t>
            </w:r>
          </w:p>
        </w:tc>
        <w:tc>
          <w:tcPr>
            <w:tcW w:w="1620" w:type="dxa"/>
            <w:vAlign w:val="bottom"/>
          </w:tcPr>
          <w:p>
            <w:pPr>
              <w:jc w:val="right"/>
              <w:spacing w:after="0"/>
              <w:rPr>
                <w:sz w:val="20"/>
                <w:szCs w:val="20"/>
                <w:color w:val="auto"/>
              </w:rPr>
            </w:pPr>
            <w:r>
              <w:rPr>
                <w:rFonts w:ascii="Arial" w:cs="Arial" w:eastAsia="Arial" w:hAnsi="Arial"/>
                <w:sz w:val="17"/>
                <w:szCs w:val="17"/>
                <w:color w:val="auto"/>
              </w:rPr>
              <w:t>March 1; September</w:t>
            </w:r>
          </w:p>
        </w:tc>
        <w:tc>
          <w:tcPr>
            <w:tcW w:w="280" w:type="dxa"/>
            <w:vAlign w:val="bottom"/>
          </w:tcPr>
          <w:p>
            <w:pPr>
              <w:spacing w:after="0"/>
              <w:rPr>
                <w:sz w:val="20"/>
                <w:szCs w:val="20"/>
                <w:color w:val="auto"/>
              </w:rPr>
            </w:pPr>
            <w:r>
              <w:rPr>
                <w:rFonts w:ascii="Arial" w:cs="Arial" w:eastAsia="Arial" w:hAnsi="Arial"/>
                <w:sz w:val="17"/>
                <w:szCs w:val="17"/>
                <w:color w:val="auto"/>
              </w:rPr>
              <w:t>1</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750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416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4.10%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3/1/2045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94106LBC2</w:t>
            </w:r>
          </w:p>
        </w:tc>
        <w:tc>
          <w:tcPr>
            <w:tcW w:w="1620" w:type="dxa"/>
            <w:vAlign w:val="bottom"/>
          </w:tcPr>
          <w:p>
            <w:pPr>
              <w:jc w:val="right"/>
              <w:spacing w:after="0"/>
              <w:rPr>
                <w:sz w:val="20"/>
                <w:szCs w:val="20"/>
                <w:color w:val="auto"/>
              </w:rPr>
            </w:pPr>
            <w:r>
              <w:rPr>
                <w:rFonts w:ascii="Arial" w:cs="Arial" w:eastAsia="Arial" w:hAnsi="Arial"/>
                <w:sz w:val="17"/>
                <w:szCs w:val="17"/>
                <w:color w:val="auto"/>
              </w:rPr>
              <w:t>March 1; September</w:t>
            </w:r>
          </w:p>
        </w:tc>
        <w:tc>
          <w:tcPr>
            <w:tcW w:w="280" w:type="dxa"/>
            <w:vAlign w:val="bottom"/>
          </w:tcPr>
          <w:p>
            <w:pPr>
              <w:spacing w:after="0"/>
              <w:rPr>
                <w:sz w:val="20"/>
                <w:szCs w:val="20"/>
                <w:color w:val="auto"/>
              </w:rPr>
            </w:pPr>
            <w:r>
              <w:rPr>
                <w:rFonts w:ascii="Arial" w:cs="Arial" w:eastAsia="Arial" w:hAnsi="Arial"/>
                <w:sz w:val="17"/>
                <w:szCs w:val="17"/>
                <w:color w:val="auto"/>
              </w:rPr>
              <w:t>1</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500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2.40%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5/16/2016</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5/15/2023</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94106LBD0</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750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750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11/8/2017</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11/15/2027</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94106LBE8</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 billion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684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4.15%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5/22/2019</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7/15/2049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94106LBK4</w:t>
            </w:r>
          </w:p>
        </w:tc>
        <w:tc>
          <w:tcPr>
            <w:tcW w:w="1620" w:type="dxa"/>
            <w:vAlign w:val="bottom"/>
          </w:tcPr>
          <w:p>
            <w:pPr>
              <w:jc w:val="center"/>
              <w:ind w:left="197"/>
              <w:spacing w:after="0"/>
              <w:rPr>
                <w:sz w:val="20"/>
                <w:szCs w:val="20"/>
                <w:color w:val="auto"/>
              </w:rPr>
            </w:pPr>
            <w:r>
              <w:rPr>
                <w:rFonts w:ascii="Arial" w:cs="Arial" w:eastAsia="Arial" w:hAnsi="Arial"/>
                <w:sz w:val="17"/>
                <w:szCs w:val="17"/>
                <w:color w:val="auto"/>
                <w:w w:val="90"/>
              </w:rPr>
              <w:t>January 15; July 15</w:t>
            </w:r>
          </w:p>
        </w:tc>
        <w:tc>
          <w:tcPr>
            <w:tcW w:w="280" w:type="dxa"/>
            <w:vAlign w:val="bottom"/>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500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0.75%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11/15/2025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6"/>
              </w:rPr>
              <w:t>94106LBL2</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500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3/15/2028</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94106LBN8</w:t>
            </w:r>
          </w:p>
        </w:tc>
        <w:tc>
          <w:tcPr>
            <w:tcW w:w="1620" w:type="dxa"/>
            <w:vAlign w:val="bottom"/>
          </w:tcPr>
          <w:p>
            <w:pPr>
              <w:jc w:val="right"/>
              <w:spacing w:after="0"/>
              <w:rPr>
                <w:sz w:val="20"/>
                <w:szCs w:val="20"/>
                <w:color w:val="auto"/>
              </w:rPr>
            </w:pPr>
            <w:r>
              <w:rPr>
                <w:rFonts w:ascii="Arial" w:cs="Arial" w:eastAsia="Arial" w:hAnsi="Arial"/>
                <w:sz w:val="17"/>
                <w:szCs w:val="17"/>
                <w:color w:val="auto"/>
                <w:w w:val="95"/>
              </w:rPr>
              <w:t>March 15; September</w:t>
            </w:r>
          </w:p>
        </w:tc>
        <w:tc>
          <w:tcPr>
            <w:tcW w:w="280" w:type="dxa"/>
            <w:vAlign w:val="bottom"/>
          </w:tcPr>
          <w:p>
            <w:pPr>
              <w:spacing w:after="0"/>
              <w:rPr>
                <w:sz w:val="20"/>
                <w:szCs w:val="20"/>
                <w:color w:val="auto"/>
              </w:rPr>
            </w:pPr>
            <w:r>
              <w:rPr>
                <w:rFonts w:ascii="Arial" w:cs="Arial" w:eastAsia="Arial" w:hAnsi="Arial"/>
                <w:sz w:val="17"/>
                <w:szCs w:val="17"/>
                <w:color w:val="auto"/>
              </w:rPr>
              <w:t>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 billion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 billion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3/15/2031</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94106LBP3</w:t>
            </w:r>
          </w:p>
        </w:tc>
        <w:tc>
          <w:tcPr>
            <w:tcW w:w="1620" w:type="dxa"/>
            <w:vAlign w:val="bottom"/>
          </w:tcPr>
          <w:p>
            <w:pPr>
              <w:jc w:val="right"/>
              <w:spacing w:after="0"/>
              <w:rPr>
                <w:sz w:val="20"/>
                <w:szCs w:val="20"/>
                <w:color w:val="auto"/>
              </w:rPr>
            </w:pPr>
            <w:r>
              <w:rPr>
                <w:rFonts w:ascii="Arial" w:cs="Arial" w:eastAsia="Arial" w:hAnsi="Arial"/>
                <w:sz w:val="17"/>
                <w:szCs w:val="17"/>
                <w:color w:val="auto"/>
                <w:w w:val="95"/>
              </w:rPr>
              <w:t>March 15; September</w:t>
            </w:r>
          </w:p>
        </w:tc>
        <w:tc>
          <w:tcPr>
            <w:tcW w:w="280" w:type="dxa"/>
            <w:vAlign w:val="bottom"/>
          </w:tcPr>
          <w:p>
            <w:pPr>
              <w:spacing w:after="0"/>
              <w:rPr>
                <w:sz w:val="20"/>
                <w:szCs w:val="20"/>
                <w:color w:val="auto"/>
              </w:rPr>
            </w:pPr>
            <w:r>
              <w:rPr>
                <w:rFonts w:ascii="Arial" w:cs="Arial" w:eastAsia="Arial" w:hAnsi="Arial"/>
                <w:sz w:val="17"/>
                <w:szCs w:val="17"/>
                <w:color w:val="auto"/>
              </w:rPr>
              <w:t>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500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500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11/15/2050</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5"/>
              </w:rPr>
              <w:t>94106LBM0</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2"/>
              </w:rPr>
              <w:t>May 15; November 15</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475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475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2.00%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5/12/2021</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6/1/2029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94106LBQ1</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88"/>
              </w:rPr>
              <w:t>June 1; December 1</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475 million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475 million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2.95%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5/12/2021</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6/1/2041</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94106LBR9</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88"/>
              </w:rPr>
              <w:t>June 1; December 1</w:t>
            </w:r>
          </w:p>
        </w:tc>
      </w:tr>
      <w:tr>
        <w:trPr>
          <w:trHeight w:val="243"/>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 billion</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 billion</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4.15%</w:t>
            </w:r>
          </w:p>
        </w:tc>
        <w:tc>
          <w:tcPr>
            <w:tcW w:w="2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5/12/2022</w:t>
            </w:r>
          </w:p>
        </w:tc>
        <w:tc>
          <w:tcPr>
            <w:tcW w:w="2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4/15/2032</w:t>
            </w:r>
          </w:p>
        </w:tc>
        <w:tc>
          <w:tcPr>
            <w:tcW w:w="16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94106LBS7</w:t>
            </w:r>
          </w:p>
        </w:tc>
        <w:tc>
          <w:tcPr>
            <w:tcW w:w="1900" w:type="dxa"/>
            <w:vAlign w:val="bottom"/>
            <w:gridSpan w:val="2"/>
          </w:tcPr>
          <w:p>
            <w:pPr>
              <w:jc w:val="center"/>
              <w:spacing w:after="0"/>
              <w:rPr>
                <w:sz w:val="20"/>
                <w:szCs w:val="20"/>
                <w:color w:val="auto"/>
              </w:rPr>
            </w:pPr>
            <w:r>
              <w:rPr>
                <w:rFonts w:ascii="Arial" w:cs="Arial" w:eastAsia="Arial" w:hAnsi="Arial"/>
                <w:sz w:val="17"/>
                <w:szCs w:val="17"/>
                <w:color w:val="auto"/>
                <w:w w:val="93"/>
              </w:rPr>
              <w:t>April 15; October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79375</wp:posOffset>
            </wp:positionV>
            <wp:extent cx="14141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3" w:lineRule="exact"/>
        <w:rPr>
          <w:sz w:val="20"/>
          <w:szCs w:val="20"/>
          <w:color w:val="auto"/>
        </w:rPr>
      </w:pPr>
    </w:p>
    <w:p>
      <w:pPr>
        <w:jc w:val="both"/>
        <w:ind w:left="360" w:right="59" w:hanging="316"/>
        <w:spacing w:after="0" w:line="311" w:lineRule="auto"/>
        <w:tabs>
          <w:tab w:leader="none" w:pos="3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Only these series of Senior Notes do not contain a Change of Control Offer covenant. Such covenant provides that, if a change of control triggering event occurs, each holder of the notes may require us to purchase all or a portion of such holder’s notes at a price equal to 101% of the principal amount, plus accrued interest, if any, to the date of purchase.</w:t>
      </w:r>
    </w:p>
    <w:p>
      <w:pPr>
        <w:spacing w:after="0" w:line="14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This schedule is provided in accordance with Instruction 2 to Regulation S-K Item 601, as each of the series of Senior Notes is governed by an instrument that differs only in the material respects set forth in the schedule above from the Officers’ Certificate identified as Exhibit 4.8 to this Form 10-K. Each of the series of Senior Notes identified above is also guaranteed by Waste Management Holdings, Inc. in favor of The Bank of New York Mellon Trust Company, N.A., as Trustee for the holders of Waste Management, Inc.’s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1" w:name="page132"/>
    <w:bookmarkEnd w:id="131"/>
    <w:p>
      <w:pPr>
        <w:jc w:val="right"/>
        <w:ind w:right="219"/>
        <w:spacing w:after="0"/>
        <w:rPr>
          <w:sz w:val="20"/>
          <w:szCs w:val="20"/>
          <w:color w:val="auto"/>
        </w:rPr>
      </w:pPr>
      <w:r>
        <w:rPr>
          <w:rFonts w:ascii="Arial" w:cs="Arial" w:eastAsia="Arial" w:hAnsi="Arial"/>
          <w:sz w:val="22"/>
          <w:szCs w:val="22"/>
          <w:b w:val="1"/>
          <w:bCs w:val="1"/>
          <w:color w:val="auto"/>
        </w:rPr>
        <w:t>Exhibit 10.11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ISSUING AND PAYING AGENT AGREEMENT</w:t>
      </w:r>
    </w:p>
    <w:p>
      <w:pPr>
        <w:spacing w:after="0" w:line="233"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21"/>
          <w:szCs w:val="21"/>
          <w:b w:val="1"/>
          <w:bCs w:val="1"/>
          <w:color w:val="auto"/>
        </w:rPr>
        <w:t xml:space="preserve">THIS ISSUING AND PAYING AGENT AGREEMENT </w:t>
      </w:r>
      <w:r>
        <w:rPr>
          <w:rFonts w:ascii="Arial" w:cs="Arial" w:eastAsia="Arial" w:hAnsi="Arial"/>
          <w:sz w:val="21"/>
          <w:szCs w:val="21"/>
          <w:color w:val="auto"/>
        </w:rPr>
        <w:t>(the "Agreement") is entered</w:t>
      </w:r>
      <w:r>
        <w:rPr>
          <w:rFonts w:ascii="Arial" w:cs="Arial" w:eastAsia="Arial" w:hAnsi="Arial"/>
          <w:sz w:val="21"/>
          <w:szCs w:val="21"/>
          <w:b w:val="1"/>
          <w:bCs w:val="1"/>
          <w:color w:val="auto"/>
        </w:rPr>
        <w:t xml:space="preserve"> </w:t>
      </w:r>
      <w:r>
        <w:rPr>
          <w:rFonts w:ascii="Arial" w:cs="Arial" w:eastAsia="Arial" w:hAnsi="Arial"/>
          <w:sz w:val="21"/>
          <w:szCs w:val="21"/>
          <w:color w:val="auto"/>
        </w:rPr>
        <w:t>into as of October 28, 2022 by and between U.S. Bank Trust Company, National Association (the "Agent") and Waste Management, Inc. (the "Company") regarding the Company’s commercial paper program of Company (hereinafter referred to as the “Program”).</w:t>
      </w:r>
    </w:p>
    <w:p>
      <w:pPr>
        <w:spacing w:after="0" w:line="193"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at the request of Company, Agent is prepared to act (a) as depositary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safekeeping of certain notes of Company which may be issued and sold in the United States commercial paper market under the Program (the "Commercial Paper Notes"; such Commercial Paper Notes when issued in book-entry form being hereinafter referred to as "Book-Entry Commercial Paper Notes" and when issued in the form of certificated promissory notes being hereinafter referred to as "Certificated Commercial Paper Notes"), (b) as issuing agent on behalf of Company in connection with the issuance of the Commercial Paper Notes, (c) as paying agent to undertake certain obligations to make payments in respect of the Commercial Paper Notes, and (d) as depositary to receive certain funds on behalf of Company, as set forth herein, and</w:t>
      </w:r>
    </w:p>
    <w:p>
      <w:pPr>
        <w:spacing w:after="0" w:line="177"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Agreement will govern Agent's rights, powers and duties as such</w:t>
      </w:r>
      <w:r>
        <w:rPr>
          <w:rFonts w:ascii="Arial" w:cs="Arial" w:eastAsia="Arial" w:hAnsi="Arial"/>
          <w:sz w:val="22"/>
          <w:szCs w:val="22"/>
          <w:b w:val="1"/>
          <w:bCs w:val="1"/>
          <w:color w:val="auto"/>
        </w:rPr>
        <w:t xml:space="preserve"> </w:t>
      </w:r>
      <w:r>
        <w:rPr>
          <w:rFonts w:ascii="Arial" w:cs="Arial" w:eastAsia="Arial" w:hAnsi="Arial"/>
          <w:sz w:val="22"/>
          <w:szCs w:val="22"/>
          <w:color w:val="auto"/>
        </w:rPr>
        <w:t>depositary, issuing agent and paying agent for the Commercial Paper Notes and Company's rights and obligations in connection therewith.</w:t>
      </w:r>
    </w:p>
    <w:p>
      <w:pPr>
        <w:spacing w:after="0" w:line="204"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parties hereto agree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89" w:lineRule="exact"/>
        <w:rPr>
          <w:sz w:val="20"/>
          <w:szCs w:val="20"/>
          <w:color w:val="auto"/>
        </w:rPr>
      </w:pPr>
    </w:p>
    <w:p>
      <w:pPr>
        <w:jc w:val="both"/>
        <w:ind w:left="200" w:right="219" w:firstLine="657"/>
        <w:spacing w:after="0" w:line="276" w:lineRule="auto"/>
        <w:tabs>
          <w:tab w:leader="none" w:pos="1496"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Appointment of Agent.</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hereby appoints Agent and Agent hereby agrees</w:t>
      </w:r>
      <w:r>
        <w:rPr>
          <w:rFonts w:ascii="Arial" w:cs="Arial" w:eastAsia="Arial" w:hAnsi="Arial"/>
          <w:sz w:val="19"/>
          <w:szCs w:val="19"/>
          <w:b w:val="1"/>
          <w:bCs w:val="1"/>
          <w:color w:val="auto"/>
        </w:rPr>
        <w:t xml:space="preserve"> </w:t>
      </w:r>
      <w:r>
        <w:rPr>
          <w:rFonts w:ascii="Arial" w:cs="Arial" w:eastAsia="Arial" w:hAnsi="Arial"/>
          <w:sz w:val="19"/>
          <w:szCs w:val="19"/>
          <w:color w:val="auto"/>
        </w:rPr>
        <w:t>to act, on the terms and conditions specified herein, as depositary with respect to funds received by Agent pursuant to Sections 6 and 7 hereof (the “Note Funds”), and as issuing and paying agent for the Commercial Paper Notes issued under the Program. The Commercial Paper Notes will be sold through such commercial paper dealers and/or placement agents as Company shall have notified Agent in writing from time to time (collectively, the "Dealers"). The Dealer(s) is/are currently Mizuho Securities, BofA Merrill Lynch, J.P. Morgan Securities LLC, MUFG Securities Americas Inc, and Wells Fargo Securities.</w:t>
      </w:r>
    </w:p>
    <w:p>
      <w:pPr>
        <w:spacing w:after="0" w:line="190" w:lineRule="exact"/>
        <w:rPr>
          <w:rFonts w:ascii="Arial" w:cs="Arial" w:eastAsia="Arial" w:hAnsi="Arial"/>
          <w:sz w:val="19"/>
          <w:szCs w:val="19"/>
          <w:b w:val="1"/>
          <w:bCs w:val="1"/>
          <w:color w:val="auto"/>
        </w:rPr>
      </w:pPr>
    </w:p>
    <w:p>
      <w:pPr>
        <w:jc w:val="both"/>
        <w:ind w:left="200" w:right="219" w:firstLine="657"/>
        <w:spacing w:after="0" w:line="250" w:lineRule="auto"/>
        <w:tabs>
          <w:tab w:leader="none" w:pos="1496"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Letter of Representations.</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will promptly deliver to Agent an executed</w:t>
      </w:r>
      <w:r>
        <w:rPr>
          <w:rFonts w:ascii="Arial" w:cs="Arial" w:eastAsia="Arial" w:hAnsi="Arial"/>
          <w:sz w:val="21"/>
          <w:szCs w:val="21"/>
          <w:b w:val="1"/>
          <w:bCs w:val="1"/>
          <w:color w:val="auto"/>
        </w:rPr>
        <w:t xml:space="preserve"> </w:t>
      </w:r>
      <w:r>
        <w:rPr>
          <w:rFonts w:ascii="Arial" w:cs="Arial" w:eastAsia="Arial" w:hAnsi="Arial"/>
          <w:sz w:val="21"/>
          <w:szCs w:val="21"/>
          <w:color w:val="auto"/>
        </w:rPr>
        <w:t>version of the form of Letter of Representations (the "Letter of Representations") provided by the Depository Trust Company ("DTC"). Company understands and agrees that such Letter of Representations when executed by Company and Agent and accepted by DTC shall supplement the provisions of this Agreement and that Company, Agent, and DTC shall be bound by the terms and provisions of the Letter of Representations, including any procedures and operational arrangements applicable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639445</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2" w:name="page133"/>
    <w:bookmarkEnd w:id="132"/>
    <w:p>
      <w:pPr>
        <w:ind w:left="1500" w:hanging="643"/>
        <w:spacing w:after="0"/>
        <w:tabs>
          <w:tab w:leader="none" w:pos="150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Commercial Paper Notes.</w:t>
      </w:r>
    </w:p>
    <w:p>
      <w:pPr>
        <w:spacing w:after="0" w:line="240" w:lineRule="exact"/>
        <w:rPr>
          <w:sz w:val="20"/>
          <w:szCs w:val="20"/>
          <w:color w:val="auto"/>
        </w:rPr>
      </w:pPr>
    </w:p>
    <w:p>
      <w:pPr>
        <w:jc w:val="both"/>
        <w:ind w:left="200" w:right="219" w:firstLine="657"/>
        <w:spacing w:after="0" w:line="236" w:lineRule="auto"/>
        <w:tabs>
          <w:tab w:leader="none" w:pos="1496"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Company’s Book-Entry Commercial Paper Notes shall be represented by one or more master notes ("Master Note" or "Master Notes") which shall be executed by manual or facsimile signature by an Authorized Representative (as hereafter defined). Agent will hold the Master Note(s) in safekeeping for the account of DTC, in accordance with Agent's customary practice.</w:t>
      </w:r>
    </w:p>
    <w:p>
      <w:pPr>
        <w:spacing w:after="0" w:line="214" w:lineRule="exact"/>
        <w:rPr>
          <w:rFonts w:ascii="Arial" w:cs="Arial" w:eastAsia="Arial" w:hAnsi="Arial"/>
          <w:sz w:val="22"/>
          <w:szCs w:val="22"/>
          <w:color w:val="auto"/>
        </w:rPr>
      </w:pPr>
    </w:p>
    <w:p>
      <w:pPr>
        <w:ind w:left="200" w:right="219" w:firstLine="657"/>
        <w:spacing w:after="0" w:line="272" w:lineRule="auto"/>
        <w:tabs>
          <w:tab w:leader="none" w:pos="1496" w:val="left"/>
        </w:tabs>
        <w:numPr>
          <w:ilvl w:val="0"/>
          <w:numId w:val="99"/>
        </w:numPr>
        <w:rPr>
          <w:rFonts w:ascii="Arial" w:cs="Arial" w:eastAsia="Arial" w:hAnsi="Arial"/>
          <w:sz w:val="19"/>
          <w:szCs w:val="19"/>
          <w:color w:val="auto"/>
        </w:rPr>
      </w:pPr>
      <w:r>
        <w:rPr>
          <w:rFonts w:ascii="Arial" w:cs="Arial" w:eastAsia="Arial" w:hAnsi="Arial"/>
          <w:sz w:val="19"/>
          <w:szCs w:val="19"/>
          <w:color w:val="auto"/>
        </w:rPr>
        <w:t>If Certificated Commercial Paper Notes are to be issued, they shall be in the form provided by Company, shall be serially numbered and shall have been executed by manual or facsimile signature of an Authorized Representative, but shall otherwise be uncompleted. Company will from time to time furnish Agent with an adequate supply of Certificated Commercial Paper Notes, as Company in its sole and absolute discretion considers appropriate. Each Certificated Commercial Paper Note delivered to Agent shall be accompanied by a letter from Company identifying the Certificated Commercial Paper Note transmitted therewith, and Agent shall acknowledge receipt of such Certificated Commercial Paper Note(s) on the copy of such letter or pursuant to some other form of written receipt deemed appropriate by Agent at the time of delivery to Agent of such Certificated Commercial Paper Note(s). Pending the issuance of Certificated Commercial Paper Notes as provided in Section 5 hereof, all Certificated Commercial Paper Notes delivered to Agent shall be held by Agent for the account of Company, for safekeeping in accordance with Agent's customary practice.</w:t>
      </w:r>
    </w:p>
    <w:p>
      <w:pPr>
        <w:spacing w:after="0" w:line="200" w:lineRule="exact"/>
        <w:rPr>
          <w:sz w:val="20"/>
          <w:szCs w:val="20"/>
          <w:color w:val="auto"/>
        </w:rPr>
      </w:pPr>
    </w:p>
    <w:p>
      <w:pPr>
        <w:spacing w:after="0" w:line="225" w:lineRule="exact"/>
        <w:rPr>
          <w:sz w:val="20"/>
          <w:szCs w:val="20"/>
          <w:color w:val="auto"/>
        </w:rPr>
      </w:pPr>
    </w:p>
    <w:p>
      <w:pPr>
        <w:jc w:val="both"/>
        <w:ind w:left="200" w:right="219" w:firstLine="657"/>
        <w:spacing w:after="0" w:line="269" w:lineRule="auto"/>
        <w:tabs>
          <w:tab w:leader="none" w:pos="1496"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Authorized Representatives</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delivery of this Agreement, Company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furnishing to Agent, and from time to time thereafter may furnish to Agent, and shall furnish to Agent upon Agent’s request, certificates ("Incumbency Certificates") of a Company officer certifying the incumbency and specimen signatures of officers or agents of Company authorized to execute Commercial Paper Notes on behalf of Company by manual or facsimile signature and/or to take other action hereunder on behalf of Company (each an "Authorized Representative"). Until Agent receives and has a reasonable time to act upon a subsequent Incumbency Certificate of Company, Agent is entitled to rely on the last such Incumbency Certificate delivered to Agent for purposes of determining the Authorized Representatives. Agent shall not have any responsibility to Company to determine by whom or by what means a facsimile signature may have been affixed on the Commercial Paper Notes, or to determine whether any facsimile or manual signature resembles the specimen signature(s) filed with Agent by a duly authorized officer of Company. Any Commercial Paper Notes bearing the manual or facsimile signature of a person who is an Authorized Representative on the date such signature is affixed shall be binding on Company after the authentication thereof by Agent notwithstanding that such person shall have died or shall have otherwise ceased to hold his office on the date such Commercial Paper Note is countersigned or delivered to Agent. Company represents and warrants that each Authorized Representative may appoint other officers, employees and agents of the Company (an </w:t>
      </w:r>
      <w:r>
        <w:rPr>
          <w:rFonts w:ascii="Arial" w:cs="Arial" w:eastAsia="Arial" w:hAnsi="Arial"/>
          <w:sz w:val="19"/>
          <w:szCs w:val="19"/>
          <w:b w:val="1"/>
          <w:bCs w:val="1"/>
          <w:color w:val="auto"/>
        </w:rPr>
        <w:t>“Authorized Person"</w:t>
      </w:r>
      <w:r>
        <w:rPr>
          <w:rFonts w:ascii="Arial" w:cs="Arial" w:eastAsia="Arial" w:hAnsi="Arial"/>
          <w:sz w:val="19"/>
          <w:szCs w:val="19"/>
          <w:color w:val="auto"/>
        </w:rPr>
        <w:t>) including without limitation any Dealers, to give notices and /or issuance instructions to Agent under this Agreement, provided that notice of the appointment of each Authorized Person is delivered to Agent in writing. Each such appointment shall remain in effect unless and until revoked by Company in a written notice to Agent.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3" w:name="page134"/>
    <w:bookmarkEnd w:id="133"/>
    <w:p>
      <w:pPr>
        <w:ind w:left="1500" w:hanging="643"/>
        <w:spacing w:after="0"/>
        <w:tabs>
          <w:tab w:leader="none" w:pos="150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Completion, Authentication and Delivery of Commercial Paper Notes</w:t>
      </w:r>
      <w:r>
        <w:rPr>
          <w:rFonts w:ascii="Arial" w:cs="Arial" w:eastAsia="Arial" w:hAnsi="Arial"/>
          <w:sz w:val="22"/>
          <w:szCs w:val="22"/>
          <w:u w:val="single" w:color="auto"/>
          <w:color w:val="auto"/>
        </w:rPr>
        <w:t>.</w:t>
      </w:r>
    </w:p>
    <w:p>
      <w:pPr>
        <w:spacing w:after="0" w:line="239" w:lineRule="exact"/>
        <w:rPr>
          <w:rFonts w:ascii="Arial" w:cs="Arial" w:eastAsia="Arial" w:hAnsi="Arial"/>
          <w:sz w:val="22"/>
          <w:szCs w:val="22"/>
          <w:b w:val="1"/>
          <w:bCs w:val="1"/>
          <w:color w:val="auto"/>
        </w:rPr>
      </w:pPr>
    </w:p>
    <w:p>
      <w:pPr>
        <w:jc w:val="both"/>
        <w:ind w:left="200" w:right="219" w:firstLine="1305"/>
        <w:spacing w:after="0" w:line="238" w:lineRule="auto"/>
        <w:tabs>
          <w:tab w:leader="none" w:pos="214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In the case of Book-Entry Commercial Paper Notes, instructions by an Authorized Representative or an Authorized Person to the Agent for the issuance of Book-Entry Commercial Paper Notes shall include the following information with respect to each Book-Entry Commercial Paper Note:</w:t>
      </w:r>
    </w:p>
    <w:p>
      <w:pPr>
        <w:spacing w:after="0" w:line="212" w:lineRule="exact"/>
        <w:rPr>
          <w:sz w:val="20"/>
          <w:szCs w:val="20"/>
          <w:color w:val="auto"/>
        </w:rPr>
      </w:pPr>
    </w:p>
    <w:p>
      <w:pPr>
        <w:ind w:left="2160" w:right="219" w:hanging="655"/>
        <w:spacing w:after="0" w:line="250" w:lineRule="auto"/>
        <w:tabs>
          <w:tab w:leader="none" w:pos="21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date of issuance of each such Book-Entry Commercial Paper Note (which shall be a Business Day);</w:t>
      </w:r>
    </w:p>
    <w:p>
      <w:pPr>
        <w:spacing w:after="0" w:line="201" w:lineRule="exact"/>
        <w:rPr>
          <w:rFonts w:ascii="Arial" w:cs="Arial" w:eastAsia="Arial" w:hAnsi="Arial"/>
          <w:sz w:val="22"/>
          <w:szCs w:val="22"/>
          <w:color w:val="auto"/>
        </w:rPr>
      </w:pPr>
    </w:p>
    <w:p>
      <w:pPr>
        <w:jc w:val="both"/>
        <w:ind w:left="2160" w:right="219" w:hanging="655"/>
        <w:spacing w:after="0" w:line="238" w:lineRule="auto"/>
        <w:tabs>
          <w:tab w:leader="none" w:pos="21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maturity date of each such Book-Entry Commercial Paper Note (provided that the Authorized Representative or Authorized Person shall ensure that such date is a Business Day and that it shall not be more than 397 days from the date of issue);</w:t>
      </w:r>
    </w:p>
    <w:p>
      <w:pPr>
        <w:spacing w:after="0" w:line="211" w:lineRule="exact"/>
        <w:rPr>
          <w:rFonts w:ascii="Arial" w:cs="Arial" w:eastAsia="Arial" w:hAnsi="Arial"/>
          <w:sz w:val="22"/>
          <w:szCs w:val="22"/>
          <w:color w:val="auto"/>
        </w:rPr>
      </w:pPr>
    </w:p>
    <w:p>
      <w:pPr>
        <w:jc w:val="both"/>
        <w:ind w:left="2160" w:right="219" w:hanging="655"/>
        <w:spacing w:after="0"/>
        <w:tabs>
          <w:tab w:leader="none" w:pos="21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face amount (provided that the Authorized Representative or the Authorized Person shall ensure that such face amount is $250,000 or integral multiples of $1,000 in excess thereof) in figures; and</w:t>
      </w:r>
    </w:p>
    <w:p>
      <w:pPr>
        <w:spacing w:after="0" w:line="213" w:lineRule="exact"/>
        <w:rPr>
          <w:rFonts w:ascii="Arial" w:cs="Arial" w:eastAsia="Arial" w:hAnsi="Arial"/>
          <w:sz w:val="22"/>
          <w:szCs w:val="22"/>
          <w:color w:val="auto"/>
        </w:rPr>
      </w:pPr>
    </w:p>
    <w:p>
      <w:pPr>
        <w:ind w:left="2160" w:hanging="655"/>
        <w:spacing w:after="0"/>
        <w:tabs>
          <w:tab w:leader="none" w:pos="21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interest rate and applicable discount or interest amount.</w:t>
      </w:r>
    </w:p>
    <w:p>
      <w:pPr>
        <w:spacing w:after="0" w:line="233" w:lineRule="exact"/>
        <w:rPr>
          <w:rFonts w:ascii="Arial" w:cs="Arial" w:eastAsia="Arial" w:hAnsi="Arial"/>
          <w:sz w:val="22"/>
          <w:szCs w:val="22"/>
          <w:color w:val="auto"/>
        </w:rPr>
      </w:pPr>
    </w:p>
    <w:p>
      <w:pPr>
        <w:jc w:val="both"/>
        <w:ind w:left="200" w:right="219" w:firstLine="657"/>
        <w:spacing w:after="0" w:line="245" w:lineRule="auto"/>
        <w:tabs>
          <w:tab w:leader="none" w:pos="149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From time to time during the term of this Agreement and subject to the terms and conditions hereof, and upon Agent’s timely receipt from such Authorized Representative or Authorized Person of instructions pursuant to Section 5(a) delivered to Agent prior to 1:00 pm, New York City time, on a day, other than a Saturday or Sunday, on which Agent is open to the public for all banking purposes(a “</w:t>
      </w:r>
      <w:r>
        <w:rPr>
          <w:rFonts w:ascii="Arial" w:cs="Arial" w:eastAsia="Arial" w:hAnsi="Arial"/>
          <w:sz w:val="21"/>
          <w:szCs w:val="21"/>
          <w:b w:val="1"/>
          <w:bCs w:val="1"/>
          <w:color w:val="auto"/>
        </w:rPr>
        <w:t>Business Day</w:t>
      </w:r>
      <w:r>
        <w:rPr>
          <w:rFonts w:ascii="Arial" w:cs="Arial" w:eastAsia="Arial" w:hAnsi="Arial"/>
          <w:sz w:val="21"/>
          <w:szCs w:val="21"/>
          <w:color w:val="auto"/>
        </w:rPr>
        <w:t>”) in accordance with Section 19, Agent shall transmit such issuance instructions to DTC for the issuance of Book-Entry Commercial Paper Notes as instructed pursuant to Section 5(a) in a manner set forth in, and take other actions as are required by, the Letter of Representations and DTC's applicable rules, regulations and procedures for book-entry commercial paper program.</w:t>
      </w:r>
    </w:p>
    <w:p>
      <w:pPr>
        <w:spacing w:after="0" w:line="211" w:lineRule="exact"/>
        <w:rPr>
          <w:rFonts w:ascii="Arial" w:cs="Arial" w:eastAsia="Arial" w:hAnsi="Arial"/>
          <w:sz w:val="21"/>
          <w:szCs w:val="21"/>
          <w:color w:val="auto"/>
        </w:rPr>
      </w:pPr>
    </w:p>
    <w:p>
      <w:pPr>
        <w:jc w:val="both"/>
        <w:ind w:left="200" w:right="219" w:firstLine="657"/>
        <w:spacing w:after="0" w:line="246" w:lineRule="auto"/>
        <w:tabs>
          <w:tab w:leader="none" w:pos="149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Company hereby directs Agent to effect each delivery of a Commercial Paper Note before receipt of payment in immediately available funds. Therefore, once Agent has delivered a Commercial Paper Note to a Dealer or its agent as provided herein, Company shall bear all risk that a Dealer or its agent fails to remit payment for the Commercial Paper Note to Agent. Agent shall have no liability to Company for any failure or inability on the part of the Dealer to make payment for Commercial Paper Notes. Nothing in this Agreement shall require Agent to purchase any Commercial Paper Note or expend Agent's own funds for the purchase price of a Commercial Paper Note or Commercial Paper Notes.</w:t>
      </w:r>
    </w:p>
    <w:p>
      <w:pPr>
        <w:spacing w:after="0" w:line="206" w:lineRule="exact"/>
        <w:rPr>
          <w:rFonts w:ascii="Arial" w:cs="Arial" w:eastAsia="Arial" w:hAnsi="Arial"/>
          <w:sz w:val="21"/>
          <w:szCs w:val="21"/>
          <w:color w:val="auto"/>
        </w:rPr>
      </w:pPr>
    </w:p>
    <w:p>
      <w:pPr>
        <w:ind w:left="200" w:right="219" w:firstLine="657"/>
        <w:spacing w:after="0" w:line="276" w:lineRule="auto"/>
        <w:tabs>
          <w:tab w:leader="none" w:pos="149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Company agrees that Agent is not under any obligation to assess or review the financial condition or creditworthiness of any person to or for whose account Agent delivers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34" w:name="page135"/>
    <w:bookmarkEnd w:id="134"/>
    <w:p>
      <w:pPr>
        <w:jc w:val="both"/>
        <w:ind w:left="200" w:right="219"/>
        <w:spacing w:after="0" w:line="238" w:lineRule="auto"/>
        <w:rPr>
          <w:sz w:val="20"/>
          <w:szCs w:val="20"/>
          <w:color w:val="auto"/>
        </w:rPr>
      </w:pPr>
      <w:r>
        <w:rPr>
          <w:rFonts w:ascii="Arial" w:cs="Arial" w:eastAsia="Arial" w:hAnsi="Arial"/>
          <w:sz w:val="22"/>
          <w:szCs w:val="22"/>
          <w:color w:val="auto"/>
        </w:rPr>
        <w:t>Commercial Paper Note pursuant to instructions from an Authorized Representative or Authorized Person or advise Company as to the results of any such appraisal or investigation Agent may have conducted on its own or of any adverse information concerning any such person that may in any way have come to Agent's attention.</w:t>
      </w:r>
    </w:p>
    <w:p>
      <w:pPr>
        <w:spacing w:after="0" w:line="212" w:lineRule="exact"/>
        <w:rPr>
          <w:sz w:val="20"/>
          <w:szCs w:val="20"/>
          <w:color w:val="auto"/>
        </w:rPr>
      </w:pPr>
    </w:p>
    <w:p>
      <w:pPr>
        <w:jc w:val="both"/>
        <w:ind w:left="200" w:right="219" w:firstLine="657"/>
        <w:spacing w:after="0" w:line="235" w:lineRule="auto"/>
        <w:tabs>
          <w:tab w:leader="none" w:pos="149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It is understood that DTC may request the delivery of Certificated Commercial Paper Notes in exchange for Book-Entry Commercial Paper Notes upon the termination of DTC's services pursuant to the DTC Letter of Representations. Accordingly, upon such termination, Agent is authorized to complete and deliver Certificated Commercial Paper Notes in partial or complete substitution for Book-Entry Commercial Paper Notes of the same face amount and maturity as requested by DTC.</w:t>
      </w:r>
    </w:p>
    <w:p>
      <w:pPr>
        <w:spacing w:after="0" w:line="214" w:lineRule="exact"/>
        <w:rPr>
          <w:rFonts w:ascii="Arial" w:cs="Arial" w:eastAsia="Arial" w:hAnsi="Arial"/>
          <w:sz w:val="22"/>
          <w:szCs w:val="22"/>
          <w:color w:val="auto"/>
        </w:rPr>
      </w:pPr>
    </w:p>
    <w:p>
      <w:pPr>
        <w:jc w:val="both"/>
        <w:ind w:left="200" w:right="219" w:firstLine="657"/>
        <w:spacing w:after="0" w:line="234" w:lineRule="auto"/>
        <w:tabs>
          <w:tab w:leader="none" w:pos="141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the case of Certificated Commercial Paper Notes, during the term of this Agreement and subject to the terms and conditions hereof, upon Agent's timely receipt from an Authorized Representative or an Authorized Person of instructions delivered to Agent in accordance with Section 19 prior to 12:30 pm New York time on a Business Day, on the date of issuance of any Certificated Commercial Paper Notes, Agent shall withdraw the respective Certificated Commercial Paper Notes from safekeeping and take the following actions in accordance with such instructions:</w:t>
      </w:r>
    </w:p>
    <w:p>
      <w:pPr>
        <w:spacing w:after="0" w:line="217" w:lineRule="exact"/>
        <w:rPr>
          <w:rFonts w:ascii="Arial" w:cs="Arial" w:eastAsia="Arial" w:hAnsi="Arial"/>
          <w:sz w:val="22"/>
          <w:szCs w:val="22"/>
          <w:color w:val="auto"/>
        </w:rPr>
      </w:pPr>
    </w:p>
    <w:p>
      <w:pPr>
        <w:jc w:val="both"/>
        <w:ind w:left="2160" w:right="219" w:hanging="655"/>
        <w:spacing w:after="0" w:line="279" w:lineRule="auto"/>
        <w:tabs>
          <w:tab w:leader="none" w:pos="216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complete each such Certificated Commercial Paper Note as to the face amount, net dollar amount, payee, the date of issue and maturity date, (provided that the Authorized Representative or Authorized Person shall ensure that such maturity date is a Business Day and that it shall not be more than 397 days from the date of issue and that such face amount is 250,000 or integral multiples of $1,000 in excess thereof in figures);</w:t>
      </w:r>
    </w:p>
    <w:p>
      <w:pPr>
        <w:spacing w:after="0" w:line="177" w:lineRule="exact"/>
        <w:rPr>
          <w:rFonts w:ascii="Arial" w:cs="Arial" w:eastAsia="Arial" w:hAnsi="Arial"/>
          <w:sz w:val="19"/>
          <w:szCs w:val="19"/>
          <w:color w:val="auto"/>
        </w:rPr>
      </w:pPr>
    </w:p>
    <w:p>
      <w:pPr>
        <w:ind w:left="2160" w:right="219" w:hanging="655"/>
        <w:spacing w:after="0" w:line="250" w:lineRule="auto"/>
        <w:tabs>
          <w:tab w:leader="none" w:pos="216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authenticate (by countersigning) each such Certificated Commercial Paper Note in the appropriate space provided thereon; and</w:t>
      </w:r>
    </w:p>
    <w:p>
      <w:pPr>
        <w:spacing w:after="0" w:line="201" w:lineRule="exact"/>
        <w:rPr>
          <w:rFonts w:ascii="Arial" w:cs="Arial" w:eastAsia="Arial" w:hAnsi="Arial"/>
          <w:sz w:val="22"/>
          <w:szCs w:val="22"/>
          <w:color w:val="auto"/>
        </w:rPr>
      </w:pPr>
    </w:p>
    <w:p>
      <w:pPr>
        <w:jc w:val="both"/>
        <w:ind w:left="2160" w:right="219" w:hanging="655"/>
        <w:spacing w:after="0"/>
        <w:tabs>
          <w:tab w:leader="none" w:pos="216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deliver each such Certificated Commercial Paper Note to the Dealer, or the consignee, if any, designated by such Authorized Representative or Authorized Person for the account of the Dealer.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5" w:name="page136"/>
    <w:bookmarkEnd w:id="135"/>
    <w:p>
      <w:pPr>
        <w:jc w:val="both"/>
        <w:ind w:left="200" w:right="219" w:firstLine="657"/>
        <w:spacing w:after="0" w:line="271" w:lineRule="auto"/>
        <w:tabs>
          <w:tab w:leader="none" w:pos="149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Agent shall receive written instructions from Company pursuant to Section 19 not to issue or deliver Commercial Paper Notes, until such instructions are revoked in writing or superseded by further written instructions from Company, Agent shall not issue or deliver Commercial Paper Notes, provided, however, that notwithstanding contrary instructions from Company, Agent shall deliver Commercial Paper Notes with respect to agreements for the sale of Commercial Paper Notes concluded by an Authorized Representative or Authorized Person prior to receipt by the Authorized Representative or Authorized Person of the Company’s instructions not to issue or deliver such Commercial Paper Notes, which the Authorized Representative or Authorized Person shall be required to confirm to Agent in writing prior to Agent's delivery of the Commercial Paper Notes. For purposes of the preceding provision, Agent may conclusively rely on written notice given or delivered to Agent by an Authorized Representative or Authorized Person as to whether any particular Commercial Paper Notes are to be issued in respect of such agreements concluded by such Authorized Representative or Authorized Person, and Agent shall have no obligation to make any other or further investigation.</w:t>
      </w:r>
    </w:p>
    <w:p>
      <w:pPr>
        <w:spacing w:after="0" w:line="186" w:lineRule="exact"/>
        <w:rPr>
          <w:sz w:val="20"/>
          <w:szCs w:val="20"/>
          <w:color w:val="auto"/>
        </w:rPr>
      </w:pPr>
    </w:p>
    <w:p>
      <w:pPr>
        <w:jc w:val="both"/>
        <w:ind w:left="200" w:right="219" w:firstLine="657"/>
        <w:spacing w:after="0" w:line="269" w:lineRule="auto"/>
        <w:tabs>
          <w:tab w:leader="none" w:pos="1496"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Proceeds of Sale of the Commercial Paper Notes.</w:t>
      </w:r>
      <w:r>
        <w:rPr>
          <w:rFonts w:ascii="Arial" w:cs="Arial" w:eastAsia="Arial" w:hAnsi="Arial"/>
          <w:sz w:val="19"/>
          <w:szCs w:val="19"/>
          <w:b w:val="1"/>
          <w:bCs w:val="1"/>
          <w:color w:val="auto"/>
        </w:rPr>
        <w:t xml:space="preserve"> </w:t>
      </w:r>
      <w:r>
        <w:rPr>
          <w:rFonts w:ascii="Arial" w:cs="Arial" w:eastAsia="Arial" w:hAnsi="Arial"/>
          <w:sz w:val="19"/>
          <w:szCs w:val="19"/>
          <w:color w:val="auto"/>
        </w:rPr>
        <w:t>Contemporaneously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execution and delivery of this Agreement, and for the purposes of this Agreement, Agent will establish an account designated as the Waste Management Inc Note Account (the "Note Account"). On each day on which a Dealer or its agent receives Commercial Paper Notes (whether through the facilities of DTC in the manner set forth in the Letter of Representations or by delivery in accordance with the provisions of this Agreement), all proceeds received by Agent in connection with such sale shall be credited in immediately available funds to the Note Account. From time to time upon written instructions received by Agent from an Authorized Person or Authorized Representative, Agent agrees to transfer immediately available funds from the Note Account to any Agent or trust company in the United States for Company's account. If Agent chooses, in its sole discretion, to credit Company’s account before Agent has collected funds for delivery of Commercial Paper Notes, it is understood that such credit shall be an advance to Company to be promptly repaid to Agent from the proceeds of sale of Commercial Paper Notes. If any such advance is not repaid by 5:00 pm New York time on the day it is made, Company shall repay such advance on the next Business Day together with interest thereon at the rate charged by Agent for such advance (which rate shall be no less than the Prime Rate). As used in this Agreement, “Prime Rate” means the rate of per annum interest which U.S. Bank National Association (“USBNA”) announces publicly or otherwise makes available to the public from time to time as its “prime rate” (currently calculated on the basis of the actual number of days elapsed over a year of 360 days) with any change in the “prime rate” to be effective on and as of the date of any change in said “prime rate”. The Prime Rate and the calculation thereof may be established by USBNA in its sole discretion and is not necessarily the lowest rate of interest offered by USBNA to its most creditworthy customers. The Prime Rate is a variable or fluctuating rate which increases or decreases from time to time. Funds in the Note Account will be held by Agent uninvested.</w:t>
      </w:r>
    </w:p>
    <w:p>
      <w:pPr>
        <w:spacing w:after="0" w:line="200" w:lineRule="exact"/>
        <w:rPr>
          <w:rFonts w:ascii="Arial" w:cs="Arial" w:eastAsia="Arial" w:hAnsi="Arial"/>
          <w:sz w:val="19"/>
          <w:szCs w:val="19"/>
          <w:b w:val="1"/>
          <w:bCs w:val="1"/>
          <w:color w:val="auto"/>
        </w:rPr>
      </w:pPr>
    </w:p>
    <w:p>
      <w:pPr>
        <w:spacing w:after="0" w:line="242" w:lineRule="exact"/>
        <w:rPr>
          <w:rFonts w:ascii="Arial" w:cs="Arial" w:eastAsia="Arial" w:hAnsi="Arial"/>
          <w:sz w:val="19"/>
          <w:szCs w:val="19"/>
          <w:b w:val="1"/>
          <w:bCs w:val="1"/>
          <w:color w:val="auto"/>
        </w:rPr>
      </w:pPr>
    </w:p>
    <w:p>
      <w:pPr>
        <w:ind w:left="1500" w:hanging="643"/>
        <w:spacing w:after="0"/>
        <w:tabs>
          <w:tab w:leader="none" w:pos="150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 of Matured Commercial Paper Notes.</w:t>
      </w:r>
    </w:p>
    <w:p>
      <w:pPr>
        <w:spacing w:after="0" w:line="239" w:lineRule="exact"/>
        <w:rPr>
          <w:sz w:val="20"/>
          <w:szCs w:val="20"/>
          <w:color w:val="auto"/>
        </w:rPr>
      </w:pPr>
    </w:p>
    <w:p>
      <w:pPr>
        <w:ind w:left="200" w:right="219" w:firstLine="657"/>
        <w:spacing w:after="0" w:line="328" w:lineRule="auto"/>
        <w:tabs>
          <w:tab w:leader="none" w:pos="149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By 1:00 pm New York time on the date that any Commercial Paper Notes any payment of interest or principal is due or are scheduled to mature, Company shall ensure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285750</wp:posOffset>
            </wp:positionV>
            <wp:extent cx="545211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6" w:name="page137"/>
    <w:bookmarkEnd w:id="136"/>
    <w:p>
      <w:pPr>
        <w:jc w:val="both"/>
        <w:ind w:left="200" w:right="219"/>
        <w:spacing w:after="0" w:line="235" w:lineRule="auto"/>
        <w:rPr>
          <w:sz w:val="20"/>
          <w:szCs w:val="20"/>
          <w:color w:val="auto"/>
        </w:rPr>
      </w:pPr>
      <w:r>
        <w:rPr>
          <w:rFonts w:ascii="Arial" w:cs="Arial" w:eastAsia="Arial" w:hAnsi="Arial"/>
          <w:sz w:val="22"/>
          <w:szCs w:val="22"/>
          <w:color w:val="auto"/>
        </w:rPr>
        <w:t>there shall have been transferred to Agent for deposit in the Note Account immediately available funds at least equal to the amount of Commercial Paper Notes maturing on such date. When any matured Commercial Paper Note is presented to Agent for payment by the holder thereof (which may, in the case of Book-Entry Commercial Paper Notes, be DTC or a nominee of DTC), payment shall be made from and charged to the Note Account to the extent funds are available in said account.</w:t>
      </w:r>
    </w:p>
    <w:p>
      <w:pPr>
        <w:spacing w:after="0" w:line="215" w:lineRule="exact"/>
        <w:rPr>
          <w:sz w:val="20"/>
          <w:szCs w:val="20"/>
          <w:color w:val="auto"/>
        </w:rPr>
      </w:pPr>
    </w:p>
    <w:p>
      <w:pPr>
        <w:jc w:val="both"/>
        <w:ind w:left="200" w:right="219" w:firstLine="657"/>
        <w:spacing w:after="0" w:line="236" w:lineRule="auto"/>
        <w:tabs>
          <w:tab w:leader="none" w:pos="149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Each Commercial Paper Note presented to Agent for payment at or prior to 2:15 pm New York time on any Business Day at or after the maturity date of such Commercial Paper Note shall be paid by Agent on the same day as such presentation (or if presented after 2:15 pm New York time on any such Business Day, then on the next succeeding Business Day) to the extent funds are available in the Note Account.</w:t>
      </w:r>
    </w:p>
    <w:p>
      <w:pPr>
        <w:spacing w:after="0" w:line="214" w:lineRule="exact"/>
        <w:rPr>
          <w:rFonts w:ascii="Arial" w:cs="Arial" w:eastAsia="Arial" w:hAnsi="Arial"/>
          <w:sz w:val="22"/>
          <w:szCs w:val="22"/>
          <w:color w:val="auto"/>
        </w:rPr>
      </w:pPr>
    </w:p>
    <w:p>
      <w:pPr>
        <w:jc w:val="both"/>
        <w:ind w:left="200" w:right="219" w:firstLine="657"/>
        <w:spacing w:after="0" w:line="274" w:lineRule="auto"/>
        <w:tabs>
          <w:tab w:leader="none" w:pos="146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Agent may, but shall have no obligation to, make a payment pursuant to Section 7(a) hereof prior to receipt from Company of sufficient immediately available funds. In such case, Company agrees to promptly repay such advance provided that, if such advance is not repaid by 5:00 pm New York time on the day it is made, Company shall repay such advance on the next Business Day together with interest thereon at the Prime Rate. No prior action or course of dealing on the part of Agent with respect to advances of the purchase price or payments of matured Commercial Paper Notes shall give rise to any claim or cause of action by Company against Agent in the event that Agent refuses to pay or settle any Commercial Paper Notes for which Company has not timely provided funds as required by this Agreement.</w:t>
      </w:r>
    </w:p>
    <w:p>
      <w:pPr>
        <w:spacing w:after="0" w:line="179" w:lineRule="exact"/>
        <w:rPr>
          <w:sz w:val="20"/>
          <w:szCs w:val="20"/>
          <w:color w:val="auto"/>
        </w:rPr>
      </w:pPr>
    </w:p>
    <w:p>
      <w:pPr>
        <w:jc w:val="both"/>
        <w:ind w:left="200" w:right="219" w:firstLine="657"/>
        <w:spacing w:after="0" w:line="243" w:lineRule="auto"/>
        <w:tabs>
          <w:tab w:leader="none" w:pos="1496"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of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hereby warrants and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to Agent, and, each request to issue Commercial Paper Notes shall constitute Company's continuing warranty and representation, as follows:</w:t>
      </w:r>
    </w:p>
    <w:p>
      <w:pPr>
        <w:spacing w:after="0" w:line="210" w:lineRule="exact"/>
        <w:rPr>
          <w:sz w:val="20"/>
          <w:szCs w:val="20"/>
          <w:color w:val="auto"/>
        </w:rPr>
      </w:pPr>
    </w:p>
    <w:p>
      <w:pPr>
        <w:jc w:val="both"/>
        <w:ind w:left="200" w:right="219" w:firstLine="657"/>
        <w:spacing w:after="0" w:line="257" w:lineRule="auto"/>
        <w:tabs>
          <w:tab w:leader="none" w:pos="149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This Agreement is, and all Commercial Paper Notes delivered to Agent pursuant to this Agreement will be, duly authorized, executed and delivered by Company. Agent's appointment to act for Company hereunder is duly authorized by Company.</w:t>
      </w:r>
    </w:p>
    <w:p>
      <w:pPr>
        <w:spacing w:after="0" w:line="196" w:lineRule="exact"/>
        <w:rPr>
          <w:rFonts w:ascii="Arial" w:cs="Arial" w:eastAsia="Arial" w:hAnsi="Arial"/>
          <w:sz w:val="21"/>
          <w:szCs w:val="21"/>
          <w:color w:val="auto"/>
        </w:rPr>
      </w:pPr>
    </w:p>
    <w:p>
      <w:pPr>
        <w:jc w:val="both"/>
        <w:ind w:left="200" w:right="219" w:firstLine="657"/>
        <w:spacing w:after="0"/>
        <w:tabs>
          <w:tab w:leader="none" w:pos="149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issuance and delivery of the Commercial Paper Notes will not violate any state or federal law and the Commercial Paper Notes do not require registration under the Securities Act of 1933, as amended.</w:t>
      </w:r>
    </w:p>
    <w:p>
      <w:pPr>
        <w:spacing w:after="0" w:line="213" w:lineRule="exact"/>
        <w:rPr>
          <w:rFonts w:ascii="Arial" w:cs="Arial" w:eastAsia="Arial" w:hAnsi="Arial"/>
          <w:sz w:val="22"/>
          <w:szCs w:val="22"/>
          <w:color w:val="auto"/>
        </w:rPr>
      </w:pPr>
    </w:p>
    <w:p>
      <w:pPr>
        <w:jc w:val="both"/>
        <w:ind w:left="200" w:right="219" w:firstLine="657"/>
        <w:spacing w:after="0" w:line="282" w:lineRule="auto"/>
        <w:tabs>
          <w:tab w:leader="none" w:pos="149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This Agreement constitutes, and the Commercial Paper Notes, when completed, countersigned, and delivered pursuant hereto, will constitute, Company's legal, valid and binding obligations enforceable against Company in accordance with their terms, except as such enforceability may be limited by bankruptcy, insolvency, reorganization, moratorium or other similar laws affecting the rights of creditors generally and by general principles of equity.</w:t>
      </w:r>
    </w:p>
    <w:p>
      <w:pPr>
        <w:spacing w:after="0" w:line="174" w:lineRule="exact"/>
        <w:rPr>
          <w:rFonts w:ascii="Arial" w:cs="Arial" w:eastAsia="Arial" w:hAnsi="Arial"/>
          <w:sz w:val="19"/>
          <w:szCs w:val="19"/>
          <w:color w:val="auto"/>
        </w:rPr>
      </w:pPr>
    </w:p>
    <w:p>
      <w:pPr>
        <w:jc w:val="both"/>
        <w:ind w:left="200" w:right="219" w:firstLine="657"/>
        <w:spacing w:after="0" w:line="273" w:lineRule="auto"/>
        <w:tabs>
          <w:tab w:leader="none" w:pos="149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Company is a corporation duly organized and validly existing under the laws of Delaware [SPECIFY STATE/COUNTRY OF INCORPORATION] and no liquidation, dissolution, bankruptcy, windup or similar proceedings have been instituted with respect to Company.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7" w:name="page138"/>
    <w:bookmarkEnd w:id="137"/>
    <w:p>
      <w:pPr>
        <w:ind w:left="200" w:right="219" w:firstLine="657"/>
        <w:spacing w:after="0" w:line="328" w:lineRule="auto"/>
        <w:tabs>
          <w:tab w:leader="none" w:pos="149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Company has, and at all relevant times has had, all necessary power and authority to execute, deliver and perform this Agreement and to issue the Commercial Paper Notes.</w:t>
      </w:r>
    </w:p>
    <w:p>
      <w:pPr>
        <w:spacing w:after="0" w:line="131" w:lineRule="exact"/>
        <w:rPr>
          <w:rFonts w:ascii="Arial" w:cs="Arial" w:eastAsia="Arial" w:hAnsi="Arial"/>
          <w:sz w:val="19"/>
          <w:szCs w:val="19"/>
          <w:color w:val="auto"/>
        </w:rPr>
      </w:pPr>
    </w:p>
    <w:p>
      <w:pPr>
        <w:jc w:val="both"/>
        <w:ind w:left="200" w:right="219" w:firstLine="657"/>
        <w:spacing w:after="0" w:line="252" w:lineRule="auto"/>
        <w:tabs>
          <w:tab w:leader="none" w:pos="1496" w:val="left"/>
        </w:tabs>
        <w:numPr>
          <w:ilvl w:val="1"/>
          <w:numId w:val="111"/>
        </w:numPr>
        <w:rPr>
          <w:rFonts w:ascii="Arial" w:cs="Arial" w:eastAsia="Arial" w:hAnsi="Arial"/>
          <w:sz w:val="21"/>
          <w:szCs w:val="21"/>
          <w:color w:val="auto"/>
        </w:rPr>
      </w:pPr>
      <w:r>
        <w:rPr>
          <w:rFonts w:ascii="Arial" w:cs="Arial" w:eastAsia="Arial" w:hAnsi="Arial"/>
          <w:sz w:val="21"/>
          <w:szCs w:val="21"/>
          <w:color w:val="auto"/>
        </w:rPr>
        <w:t>Company has taken all actions which are required for the authorization of the issuance of the Commercial Paper Notes, and for the authorization, execution, delivery and performance of this Agreement, and such actions do not require the approval or consent of any holder or trustee of any indebtedness or obligations of Company.</w:t>
      </w:r>
    </w:p>
    <w:p>
      <w:pPr>
        <w:spacing w:after="0" w:line="200" w:lineRule="exact"/>
        <w:rPr>
          <w:rFonts w:ascii="Arial" w:cs="Arial" w:eastAsia="Arial" w:hAnsi="Arial"/>
          <w:sz w:val="21"/>
          <w:szCs w:val="21"/>
          <w:color w:val="auto"/>
        </w:rPr>
      </w:pPr>
    </w:p>
    <w:p>
      <w:pPr>
        <w:jc w:val="both"/>
        <w:ind w:left="200" w:right="219" w:firstLine="657"/>
        <w:spacing w:after="0" w:line="276" w:lineRule="auto"/>
        <w:tabs>
          <w:tab w:leader="none" w:pos="149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issuance of Commercial Paper Notes by Company (i) does not and will not contravene any provision of any governmental law, regulation or rule applicable to Company, and</w:t>
      </w:r>
    </w:p>
    <w:p>
      <w:pPr>
        <w:spacing w:after="0" w:line="1" w:lineRule="exact"/>
        <w:rPr>
          <w:rFonts w:ascii="Arial" w:cs="Arial" w:eastAsia="Arial" w:hAnsi="Arial"/>
          <w:sz w:val="19"/>
          <w:szCs w:val="19"/>
          <w:color w:val="auto"/>
        </w:rPr>
      </w:pPr>
    </w:p>
    <w:p>
      <w:pPr>
        <w:ind w:left="200" w:right="239" w:firstLine="9"/>
        <w:spacing w:after="0" w:line="236" w:lineRule="auto"/>
        <w:tabs>
          <w:tab w:leader="none" w:pos="5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does not and will not conflict with, breach or contravene the provisions of any contract or other instrument binding upon Company.</w:t>
      </w:r>
    </w:p>
    <w:p>
      <w:pPr>
        <w:spacing w:after="0" w:line="213" w:lineRule="exact"/>
        <w:rPr>
          <w:rFonts w:ascii="Arial" w:cs="Arial" w:eastAsia="Arial" w:hAnsi="Arial"/>
          <w:sz w:val="22"/>
          <w:szCs w:val="22"/>
          <w:color w:val="auto"/>
        </w:rPr>
      </w:pPr>
    </w:p>
    <w:p>
      <w:pPr>
        <w:jc w:val="both"/>
        <w:ind w:left="200" w:right="219" w:firstLine="657"/>
        <w:spacing w:after="0"/>
        <w:tabs>
          <w:tab w:leader="none" w:pos="1496" w:val="left"/>
        </w:tabs>
        <w:numPr>
          <w:ilvl w:val="1"/>
          <w:numId w:val="112"/>
        </w:numPr>
        <w:rPr>
          <w:rFonts w:ascii="Arial" w:cs="Arial" w:eastAsia="Arial" w:hAnsi="Arial"/>
          <w:sz w:val="22"/>
          <w:szCs w:val="22"/>
          <w:color w:val="auto"/>
        </w:rPr>
      </w:pPr>
      <w:r>
        <w:rPr>
          <w:rFonts w:ascii="Arial" w:cs="Arial" w:eastAsia="Arial" w:hAnsi="Arial"/>
          <w:sz w:val="22"/>
          <w:szCs w:val="22"/>
          <w:color w:val="auto"/>
        </w:rPr>
        <w:t>Each instruction given to Agent in accordance with Section 5 hereof shall constitute a representation and warranty by Company that the issuance and delivery of such Commercial Paper Note(s) have been duly and validly authorized by Company.</w:t>
      </w:r>
    </w:p>
    <w:p>
      <w:pPr>
        <w:spacing w:after="0" w:line="207" w:lineRule="exact"/>
        <w:rPr>
          <w:sz w:val="20"/>
          <w:szCs w:val="20"/>
          <w:color w:val="auto"/>
        </w:rPr>
      </w:pPr>
    </w:p>
    <w:p>
      <w:pPr>
        <w:jc w:val="both"/>
        <w:ind w:left="200" w:right="219" w:firstLine="657"/>
        <w:spacing w:after="0" w:line="278" w:lineRule="auto"/>
        <w:tabs>
          <w:tab w:leader="none" w:pos="1496"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Reliance on instructions.</w:t>
      </w:r>
      <w:r>
        <w:rPr>
          <w:rFonts w:ascii="Arial" w:cs="Arial" w:eastAsia="Arial" w:hAnsi="Arial"/>
          <w:sz w:val="19"/>
          <w:szCs w:val="19"/>
          <w:b w:val="1"/>
          <w:bCs w:val="1"/>
          <w:color w:val="auto"/>
        </w:rPr>
        <w:t xml:space="preserve"> </w:t>
      </w:r>
      <w:r>
        <w:rPr>
          <w:rFonts w:ascii="Arial" w:cs="Arial" w:eastAsia="Arial" w:hAnsi="Arial"/>
          <w:sz w:val="19"/>
          <w:szCs w:val="19"/>
          <w:color w:val="auto"/>
        </w:rPr>
        <w:t>Agent shall incur no liability to Company in acting</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upon instructions contemplated hereby which Agent believed in good faith to have been given by an Authorized Representative or an Authorized Person, as the case may be. Instructions transmitted via SPANS Online (as defined in Section 18 hereof) shall be the equivalent to the giving of a duly authorized written instruction which Agent may act upon without liability</w:t>
      </w:r>
      <w:r>
        <w:rPr>
          <w:rFonts w:ascii="Arial" w:cs="Arial" w:eastAsia="Arial" w:hAnsi="Arial"/>
          <w:sz w:val="17"/>
          <w:szCs w:val="17"/>
          <w:color w:val="auto"/>
        </w:rPr>
        <w:t>.</w:t>
      </w:r>
      <w:r>
        <w:rPr>
          <w:rFonts w:ascii="Arial" w:cs="Arial" w:eastAsia="Arial" w:hAnsi="Arial"/>
          <w:sz w:val="19"/>
          <w:szCs w:val="19"/>
          <w:color w:val="auto"/>
        </w:rPr>
        <w:t xml:space="preserve"> In the event a discrepancy exists between any telephonic instructions and any other such instructions, the telephonic instructions as understood by Agent will be deemed to control.</w:t>
      </w:r>
    </w:p>
    <w:p>
      <w:pPr>
        <w:spacing w:after="0" w:line="172" w:lineRule="exact"/>
        <w:rPr>
          <w:rFonts w:ascii="Arial" w:cs="Arial" w:eastAsia="Arial" w:hAnsi="Arial"/>
          <w:sz w:val="19"/>
          <w:szCs w:val="19"/>
          <w:b w:val="1"/>
          <w:bCs w:val="1"/>
          <w:color w:val="auto"/>
        </w:rPr>
      </w:pPr>
    </w:p>
    <w:p>
      <w:pPr>
        <w:jc w:val="both"/>
        <w:ind w:left="200" w:right="219" w:firstLine="657"/>
        <w:spacing w:after="0" w:line="275" w:lineRule="auto"/>
        <w:tabs>
          <w:tab w:leader="none" w:pos="1496"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Cancellation of Commercial Paper Notes.</w:t>
      </w:r>
      <w:r>
        <w:rPr>
          <w:rFonts w:ascii="Arial" w:cs="Arial" w:eastAsia="Arial" w:hAnsi="Arial"/>
          <w:sz w:val="19"/>
          <w:szCs w:val="19"/>
          <w:b w:val="1"/>
          <w:bCs w:val="1"/>
          <w:color w:val="auto"/>
        </w:rPr>
        <w:t xml:space="preserve"> </w:t>
      </w:r>
      <w:r>
        <w:rPr>
          <w:rFonts w:ascii="Arial" w:cs="Arial" w:eastAsia="Arial" w:hAnsi="Arial"/>
          <w:sz w:val="19"/>
          <w:szCs w:val="19"/>
          <w:color w:val="auto"/>
        </w:rPr>
        <w:t>Upon payment by Agent of</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Certificated Commercial Paper Note(s) presented for payment, Agent shall mark such Certificated Commercial Paper Note(s) as paid and (i) in due course cancel Certificated Commercial Paper Note(s) presented for payment and from time to time return such canceled Certificated Commercial Paper Notes to Company, or (ii) destroy such Certificated Commercial Paper Notes(s) and deliver to Company from time to time a destruction certificate identifying all Certificated Commercial Paper Notes destroyed since the issuance of the prior destruction certificate. Upon the written request of Company, Agent agrees to cancel and return to Company all unissued Certificated Commercial Paper Notes in Agent's possession at the time of such request.</w:t>
      </w:r>
    </w:p>
    <w:p>
      <w:pPr>
        <w:spacing w:after="0" w:line="176" w:lineRule="exact"/>
        <w:rPr>
          <w:rFonts w:ascii="Arial" w:cs="Arial" w:eastAsia="Arial" w:hAnsi="Arial"/>
          <w:sz w:val="19"/>
          <w:szCs w:val="19"/>
          <w:b w:val="1"/>
          <w:bCs w:val="1"/>
          <w:color w:val="auto"/>
        </w:rPr>
      </w:pPr>
    </w:p>
    <w:p>
      <w:pPr>
        <w:ind w:left="1500" w:hanging="643"/>
        <w:spacing w:after="0"/>
        <w:tabs>
          <w:tab w:leader="none" w:pos="150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p>
    <w:p>
      <w:pPr>
        <w:spacing w:after="0" w:line="239" w:lineRule="exact"/>
        <w:rPr>
          <w:sz w:val="20"/>
          <w:szCs w:val="20"/>
          <w:color w:val="auto"/>
        </w:rPr>
      </w:pPr>
    </w:p>
    <w:p>
      <w:pPr>
        <w:jc w:val="both"/>
        <w:ind w:left="200" w:right="219" w:firstLine="657"/>
        <w:spacing w:after="0" w:line="270" w:lineRule="auto"/>
        <w:tabs>
          <w:tab w:leader="none" w:pos="149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This Agreement may be terminated at any time by either Agent or Company by 30 days' prior written notice to the other, provided that, so long as Company continues to pay the fees and expenses of Agent as set forth herein, Agent agrees to continue acting as issuing and paying agent hereunder until such time as Agent’s successor has been selected and has entered into an agreement with Company to that effect. Such termination shall not affect the respective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38" w:name="page139"/>
    <w:bookmarkEnd w:id="138"/>
    <w:p>
      <w:pPr>
        <w:ind w:left="200"/>
        <w:spacing w:after="0"/>
        <w:rPr>
          <w:sz w:val="20"/>
          <w:szCs w:val="20"/>
          <w:color w:val="auto"/>
        </w:rPr>
      </w:pPr>
      <w:r>
        <w:rPr>
          <w:rFonts w:ascii="Arial" w:cs="Arial" w:eastAsia="Arial" w:hAnsi="Arial"/>
          <w:sz w:val="22"/>
          <w:szCs w:val="22"/>
          <w:color w:val="auto"/>
        </w:rPr>
        <w:t>liabilities of the parties hereunder arising prior to such termination.</w:t>
      </w:r>
    </w:p>
    <w:p>
      <w:pPr>
        <w:spacing w:after="0" w:line="234" w:lineRule="exact"/>
        <w:rPr>
          <w:sz w:val="20"/>
          <w:szCs w:val="20"/>
          <w:color w:val="auto"/>
        </w:rPr>
      </w:pPr>
    </w:p>
    <w:p>
      <w:pPr>
        <w:jc w:val="both"/>
        <w:ind w:left="200" w:right="219" w:firstLine="657"/>
        <w:spacing w:after="0" w:line="238" w:lineRule="auto"/>
        <w:tabs>
          <w:tab w:leader="none" w:pos="149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no successor has been appointed within such 30-day period, then Agent shall have the right to petition a court of competent jurisdiction for the appointment of Agent’s successor hereunder. Agent shall be reimbursed for any and all expenses in connection with any such petition and appointment.</w:t>
      </w:r>
    </w:p>
    <w:p>
      <w:pPr>
        <w:spacing w:after="0" w:line="211" w:lineRule="exact"/>
        <w:rPr>
          <w:rFonts w:ascii="Arial" w:cs="Arial" w:eastAsia="Arial" w:hAnsi="Arial"/>
          <w:sz w:val="22"/>
          <w:szCs w:val="22"/>
          <w:color w:val="auto"/>
        </w:rPr>
      </w:pPr>
    </w:p>
    <w:p>
      <w:pPr>
        <w:jc w:val="both"/>
        <w:ind w:left="200" w:right="219" w:firstLine="657"/>
        <w:spacing w:after="0" w:line="246" w:lineRule="auto"/>
        <w:tabs>
          <w:tab w:leader="none" w:pos="149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Promptly following the date of termination of this Agreement, Agent shall destroy all Certificated Commercial Paper Notes in Agent's possession and shall transfer to Company all funds, if any, then on deposit in the Note Account after deduction and payment to Agent of all fees and expenses (including court costs and attorneys' fees) payable to, incurred by, or expected to be incurred by Agent in connection with the performance of its duties and the exercise of its rights hereunder. Agent shall promptly notify Company of all Certificated Commercial Paper Notes so destroyed.</w:t>
      </w:r>
    </w:p>
    <w:p>
      <w:pPr>
        <w:spacing w:after="0" w:line="205" w:lineRule="exact"/>
        <w:rPr>
          <w:sz w:val="20"/>
          <w:szCs w:val="20"/>
          <w:color w:val="auto"/>
        </w:rPr>
      </w:pPr>
    </w:p>
    <w:p>
      <w:pPr>
        <w:jc w:val="both"/>
        <w:ind w:left="200" w:right="219" w:firstLine="657"/>
        <w:spacing w:after="0" w:line="237" w:lineRule="auto"/>
        <w:tabs>
          <w:tab w:leader="none" w:pos="1496"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Binding Effect; Successors</w:t>
      </w:r>
      <w:r>
        <w:rPr>
          <w:rFonts w:ascii="Arial" w:cs="Arial" w:eastAsia="Arial" w:hAnsi="Arial"/>
          <w:sz w:val="22"/>
          <w:szCs w:val="22"/>
          <w:color w:val="auto"/>
        </w:rPr>
        <w:t>. This Agreement shall be binding upon the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and their heirs, executors, successors or assigns. If Agent consolidates, merges or converts into, or transfers all or substantially all of its corporate trust business (including this Agreement) to another corporation, the successor or transferee corporation without any further act shall be the successor Agent.</w:t>
      </w:r>
    </w:p>
    <w:p>
      <w:pPr>
        <w:spacing w:after="0" w:line="208" w:lineRule="exact"/>
        <w:rPr>
          <w:rFonts w:ascii="Arial" w:cs="Arial" w:eastAsia="Arial" w:hAnsi="Arial"/>
          <w:sz w:val="22"/>
          <w:szCs w:val="22"/>
          <w:b w:val="1"/>
          <w:bCs w:val="1"/>
          <w:color w:val="auto"/>
        </w:rPr>
      </w:pPr>
    </w:p>
    <w:p>
      <w:pPr>
        <w:ind w:left="1500" w:hanging="643"/>
        <w:spacing w:after="0"/>
        <w:tabs>
          <w:tab w:leader="none" w:pos="150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Liability of Agent</w:t>
      </w:r>
      <w:r>
        <w:rPr>
          <w:rFonts w:ascii="Arial" w:cs="Arial" w:eastAsia="Arial" w:hAnsi="Arial"/>
          <w:sz w:val="22"/>
          <w:szCs w:val="22"/>
          <w:color w:val="auto"/>
        </w:rPr>
        <w:t>.</w:t>
      </w:r>
    </w:p>
    <w:p>
      <w:pPr>
        <w:spacing w:after="0" w:line="239" w:lineRule="exact"/>
        <w:rPr>
          <w:sz w:val="20"/>
          <w:szCs w:val="20"/>
          <w:color w:val="auto"/>
        </w:rPr>
      </w:pPr>
    </w:p>
    <w:p>
      <w:pPr>
        <w:jc w:val="both"/>
        <w:ind w:left="200" w:right="219" w:firstLine="657"/>
        <w:spacing w:after="0" w:line="272" w:lineRule="auto"/>
        <w:tabs>
          <w:tab w:leader="none" w:pos="149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Agent’s duties and obligations shall be determined solely by the express provisions of this Agreement and the Letter of Representations (including the documents referred to therein) and Agent shall be responsible for the performance of only such duties and obligations as are specifically set forth herein and therein, and no implied duties or covenants shall be read into any such document against Agent. Agent has no fiduciary or discretionary duties of any kind. Agent shall have no liability under and no duty to inquire as to the provisions of any agreement other than this Agreement. Agent shall not be required to ascertain whether any issuance or sale of Commercial Paper Note(s) (or any amendment or termination of this Agreement) has been duly authorized or is in compliance with any other agreement to which Company is a party (whether or not Agent is a party to such other agreement). Agent shall not be liable for any action taken or omitted by it in good faith except to the extent that a court of competent jurisdiction determines that Agent’s gross negligence or willful misconduct was the sole cause of any loss to Company.</w:t>
      </w:r>
    </w:p>
    <w:p>
      <w:pPr>
        <w:spacing w:after="0" w:line="187" w:lineRule="exact"/>
        <w:rPr>
          <w:rFonts w:ascii="Arial" w:cs="Arial" w:eastAsia="Arial" w:hAnsi="Arial"/>
          <w:sz w:val="19"/>
          <w:szCs w:val="19"/>
          <w:color w:val="auto"/>
        </w:rPr>
      </w:pPr>
    </w:p>
    <w:p>
      <w:pPr>
        <w:jc w:val="both"/>
        <w:ind w:left="200" w:right="219" w:firstLine="657"/>
        <w:spacing w:after="0" w:line="276" w:lineRule="auto"/>
        <w:tabs>
          <w:tab w:leader="none" w:pos="149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Agent shall not be charged with knowledge or notice of any fact or circumstance not specifically set forth herein. Agent may rely upon any notice, instruction, request or other</w:t>
      </w:r>
    </w:p>
    <w:p>
      <w:pPr>
        <w:spacing w:after="0" w:line="1"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9"/>
          <w:szCs w:val="19"/>
          <w:color w:val="auto"/>
        </w:rPr>
        <w:t>instrument, not only as to its due execution, validity and effectiveness, but also as to the truth and accuracy of any information contained therein, which Agent shall believe to be genuine and to have been signed or presented by the person or parties purporting to sign the same. In no event shall Agent be liable for incidental, indirect, special, consequential or punitive damages or penalties (including, but not limited to lost profits), even if Agent has been advised of the likelihood of such damages or penalty and regardless of the form of action. Agent shall not be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9" w:name="page140"/>
    <w:bookmarkEnd w:id="139"/>
    <w:p>
      <w:pPr>
        <w:jc w:val="both"/>
        <w:ind w:left="200" w:right="219"/>
        <w:spacing w:after="0" w:line="238" w:lineRule="auto"/>
        <w:rPr>
          <w:sz w:val="20"/>
          <w:szCs w:val="20"/>
          <w:color w:val="auto"/>
        </w:rPr>
      </w:pPr>
      <w:r>
        <w:rPr>
          <w:rFonts w:ascii="Arial" w:cs="Arial" w:eastAsia="Arial" w:hAnsi="Arial"/>
          <w:sz w:val="22"/>
          <w:szCs w:val="22"/>
          <w:color w:val="auto"/>
        </w:rPr>
        <w:t>responsible for delays or failures in performance resulting from acts beyond its control, including without limitation acts of God, strikes, lockouts, riots, acts of war or terror, epidemics, governmental regulations, fire, communication line failures, computer viruses, intrusions or attacks, power failures, earthquakes or other disasters.</w:t>
      </w:r>
    </w:p>
    <w:p>
      <w:pPr>
        <w:spacing w:after="0" w:line="212" w:lineRule="exact"/>
        <w:rPr>
          <w:sz w:val="20"/>
          <w:szCs w:val="20"/>
          <w:color w:val="auto"/>
        </w:rPr>
      </w:pPr>
    </w:p>
    <w:p>
      <w:pPr>
        <w:ind w:left="200" w:right="219" w:firstLine="657"/>
        <w:spacing w:after="0" w:line="244" w:lineRule="auto"/>
        <w:tabs>
          <w:tab w:leader="none" w:pos="149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Agent shall not be obligated to take any legal action or commence any proceeding in connection with this Agreement, the Note Funds or any account in which Note Funds are deposited or to appear in, prosecute or defend any such legal action or proceeding or to take any other action that Agent determines, in its sole judgment, may expose it to liability or expense. Agent may consult legal counsel selected by it concerning this Agreement or of its duties hereunder and shall incur no liability and shall be fully indemnified from any liability whatsoever in acting in accordance with the advice of such counsel. Company shall promptly pay, upon demand, the reasonable fees and expenses of any such counsel. Company agrees to perform or procure the performance of all further acts and things, and execute and deliver such further documents, as may be required by law or as Agent may reasonably request in connection with its duties hereunder.</w:t>
      </w:r>
    </w:p>
    <w:p>
      <w:pPr>
        <w:spacing w:after="0" w:line="215" w:lineRule="exact"/>
        <w:rPr>
          <w:rFonts w:ascii="Arial" w:cs="Arial" w:eastAsia="Arial" w:hAnsi="Arial"/>
          <w:sz w:val="21"/>
          <w:szCs w:val="21"/>
          <w:color w:val="auto"/>
        </w:rPr>
      </w:pPr>
    </w:p>
    <w:p>
      <w:pPr>
        <w:jc w:val="both"/>
        <w:ind w:left="200" w:right="219" w:firstLine="657"/>
        <w:spacing w:after="0" w:line="272" w:lineRule="auto"/>
        <w:tabs>
          <w:tab w:leader="none" w:pos="149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Agent is authorized, in its sole discretion, to comply with final orders issued or process entered by any court with respect to the Note Funds, without determination by Agent of such court's jurisdiction in the matter. If any portion of the Note Funds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thereof, then and in any such event, Agent is authorized, in its sole discretion, to rely upon and comply with any such order, writ, judgment or decree which it is advised by legal counsel selected by it is binding upon it without the need for appeal or other action; and if Agent complies with any such order, writ, judgment or decree, it shall not be liable to any of the parties hereto or to any other person or entity by reason of such compliance even though such order, writ, judgment or decree may be subsequently reversed, modified, annulled, set aside or vacated.</w:t>
      </w:r>
    </w:p>
    <w:p>
      <w:pPr>
        <w:spacing w:after="0" w:line="187" w:lineRule="exact"/>
        <w:rPr>
          <w:rFonts w:ascii="Arial" w:cs="Arial" w:eastAsia="Arial" w:hAnsi="Arial"/>
          <w:sz w:val="19"/>
          <w:szCs w:val="19"/>
          <w:color w:val="auto"/>
        </w:rPr>
      </w:pPr>
    </w:p>
    <w:p>
      <w:pPr>
        <w:jc w:val="both"/>
        <w:ind w:left="200" w:right="219" w:firstLine="657"/>
        <w:spacing w:after="0" w:line="238" w:lineRule="auto"/>
        <w:tabs>
          <w:tab w:leader="none" w:pos="14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If, at any time Agent is unable to determine, to Agent's sole satisfaction, the proper disposition of all or any portion of the Note Funds or Agent's proper actions with respect to its obligations hereunder, then Agent may, in its sole discretion, take either or both of the following actions:</w:t>
      </w:r>
    </w:p>
    <w:p>
      <w:pPr>
        <w:spacing w:after="0" w:line="211" w:lineRule="exact"/>
        <w:rPr>
          <w:rFonts w:ascii="Arial" w:cs="Arial" w:eastAsia="Arial" w:hAnsi="Arial"/>
          <w:sz w:val="22"/>
          <w:szCs w:val="22"/>
          <w:color w:val="auto"/>
        </w:rPr>
      </w:pPr>
    </w:p>
    <w:p>
      <w:pPr>
        <w:jc w:val="both"/>
        <w:ind w:left="860" w:right="239" w:firstLine="645"/>
        <w:spacing w:after="0"/>
        <w:tabs>
          <w:tab w:leader="none" w:pos="2156" w:val="left"/>
        </w:tabs>
        <w:numPr>
          <w:ilvl w:val="1"/>
          <w:numId w:val="118"/>
        </w:numPr>
        <w:rPr>
          <w:rFonts w:ascii="Arial" w:cs="Arial" w:eastAsia="Arial" w:hAnsi="Arial"/>
          <w:sz w:val="22"/>
          <w:szCs w:val="22"/>
          <w:color w:val="auto"/>
        </w:rPr>
      </w:pPr>
      <w:r>
        <w:rPr>
          <w:rFonts w:ascii="Arial" w:cs="Arial" w:eastAsia="Arial" w:hAnsi="Arial"/>
          <w:sz w:val="22"/>
          <w:szCs w:val="22"/>
          <w:color w:val="auto"/>
        </w:rPr>
        <w:t>suspend the performance of any of its obligations (including without limitation any disbursement obligations) under this Agreement until such uncertainty shall be resolved to the sole satisfaction of Agent.</w:t>
      </w:r>
    </w:p>
    <w:p>
      <w:pPr>
        <w:spacing w:after="0" w:line="213" w:lineRule="exact"/>
        <w:rPr>
          <w:rFonts w:ascii="Arial" w:cs="Arial" w:eastAsia="Arial" w:hAnsi="Arial"/>
          <w:sz w:val="22"/>
          <w:szCs w:val="22"/>
          <w:color w:val="auto"/>
        </w:rPr>
      </w:pPr>
    </w:p>
    <w:p>
      <w:pPr>
        <w:jc w:val="both"/>
        <w:ind w:left="860" w:right="219" w:firstLine="645"/>
        <w:spacing w:after="0" w:line="270" w:lineRule="auto"/>
        <w:tabs>
          <w:tab w:leader="none" w:pos="2156" w:val="left"/>
        </w:tabs>
        <w:numPr>
          <w:ilvl w:val="1"/>
          <w:numId w:val="118"/>
        </w:numPr>
        <w:rPr>
          <w:rFonts w:ascii="Arial" w:cs="Arial" w:eastAsia="Arial" w:hAnsi="Arial"/>
          <w:sz w:val="19"/>
          <w:szCs w:val="19"/>
          <w:color w:val="auto"/>
        </w:rPr>
      </w:pPr>
      <w:r>
        <w:rPr>
          <w:rFonts w:ascii="Arial" w:cs="Arial" w:eastAsia="Arial" w:hAnsi="Arial"/>
          <w:sz w:val="19"/>
          <w:szCs w:val="19"/>
          <w:color w:val="auto"/>
        </w:rPr>
        <w:t>petition (by means of an interpleader action or any other appropriate method) any court of competent jurisdiction, in any venue convenient to Agent, for instructions with respect to such dispute or uncertainty, and to the extent required or permitted by law, pay into such court, for holding and disposition in accordance with the instructions of such court, all Note Funds, after deduction and payment to Agent of all fees</w:t>
      </w:r>
    </w:p>
    <w:p>
      <w:pPr>
        <w:jc w:val="center"/>
        <w:ind w:right="199"/>
        <w:spacing w:after="0" w:line="234" w:lineRule="auto"/>
        <w:rPr>
          <w:sz w:val="20"/>
          <w:szCs w:val="20"/>
          <w:color w:val="auto"/>
        </w:rPr>
      </w:pPr>
      <w:r>
        <w:rPr>
          <w:rFonts w:ascii="Arial" w:cs="Arial" w:eastAsia="Arial" w:hAnsi="Arial"/>
          <w:sz w:val="22"/>
          <w:szCs w:val="22"/>
          <w:color w:val="auto"/>
        </w:rPr>
        <w:t>and expenses (including court costs and attorneys' fees) payable to, incurred by, or</w:t>
      </w: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0" w:name="page141"/>
    <w:bookmarkEnd w:id="140"/>
    <w:p>
      <w:pPr>
        <w:ind w:left="860" w:right="239"/>
        <w:spacing w:after="0" w:line="251" w:lineRule="auto"/>
        <w:rPr>
          <w:sz w:val="20"/>
          <w:szCs w:val="20"/>
          <w:color w:val="auto"/>
        </w:rPr>
      </w:pPr>
      <w:r>
        <w:rPr>
          <w:rFonts w:ascii="Arial" w:cs="Arial" w:eastAsia="Arial" w:hAnsi="Arial"/>
          <w:sz w:val="22"/>
          <w:szCs w:val="22"/>
          <w:color w:val="auto"/>
        </w:rPr>
        <w:t>expected to be incurred by Agent in connection with the performance of its duties and the exercise of its rights hereunder.</w:t>
      </w:r>
    </w:p>
    <w:p>
      <w:pPr>
        <w:spacing w:after="0" w:line="194" w:lineRule="exact"/>
        <w:rPr>
          <w:sz w:val="20"/>
          <w:szCs w:val="20"/>
          <w:color w:val="auto"/>
        </w:rPr>
      </w:pPr>
    </w:p>
    <w:p>
      <w:pPr>
        <w:jc w:val="both"/>
        <w:ind w:left="200" w:right="219" w:firstLine="657"/>
        <w:spacing w:after="0" w:line="269" w:lineRule="auto"/>
        <w:tabs>
          <w:tab w:leader="none" w:pos="1496" w:val="left"/>
        </w:tabs>
        <w:numPr>
          <w:ilvl w:val="1"/>
          <w:numId w:val="1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Indemnification of Agent</w:t>
      </w:r>
      <w:r>
        <w:rPr>
          <w:rFonts w:ascii="Arial" w:cs="Arial" w:eastAsia="Arial" w:hAnsi="Arial"/>
          <w:sz w:val="19"/>
          <w:szCs w:val="19"/>
          <w:color w:val="auto"/>
        </w:rPr>
        <w:t>. From and at all times after the date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shall, to the fullest extent permitted by law, indemnify and hold harmless Agent and each director, officer, employee and affiliate of Agent (collectively,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against any and all actions, claims (whether or not valid), losses, damages, liabilities, penalties, costs and expenses of any kind or nature (including without limitation reasonable attorneys' fees, costs and expenses) incurred by or asserted against any of the Indemnified Parties, whether direct, indirect or consequential, as a result of or arising from or in any way relating to any claim, demand, suit, action or proceeding (including any inquiry or investigation) by any person or entity, including without limitation Company, any Dealer or any purchaser of Commercial Paper Notes, whether threatened or initiated, asserting a claim for any legal or equitable remedy against any person under any statute or regulation, including, but not limited to, any federal or state securities laws, or under any common law or equitable cause or otherwise, arising from or in connection with the negotiation, preparation, execution, performance or failure of performance in connection with this Agreement or any transactions contemplated herein, whether or not any such Indemnified Party is a party to any such action, proceeding, suit or the target of any such inquiry or investigation; provided, however, that no Indemnified Party shall have the right to be indemnified hereunder for any liability finally determined by a court of competent jurisdiction, subject to no further appeal, to have been directly caused solely from the gross negligence or willful misconduct of such Indemnified Party. Company further agrees to indemnify each Indemnified Party for all costs, including without limitation reasonable attorney’s fees, incurred by such Indemnified Party in connection with the enforcement of Company’s indemnification obligations hereunder. Each Indemnified Party shall, in its sole discretion, have the right to select and employ separate counsel with respect to any action or claim brought or asserted against it, and the reasonable fees of such counsel shall be paid upon demand by Company. The foregoing indemnity includes, but is not limited to, (a) any action taken or omitted to be taken by Agent or any of Agent's officers or employees upon written, facsimile, telephonic or other electronically transmitted instructions received by Agent from, or believed by Agent to have been given by, the proper person or persons,</w:t>
      </w:r>
    </w:p>
    <w:p>
      <w:pPr>
        <w:spacing w:after="0" w:line="217" w:lineRule="exact"/>
        <w:rPr>
          <w:rFonts w:ascii="Arial" w:cs="Arial" w:eastAsia="Arial" w:hAnsi="Arial"/>
          <w:sz w:val="19"/>
          <w:szCs w:val="19"/>
          <w:b w:val="1"/>
          <w:bCs w:val="1"/>
          <w:color w:val="auto"/>
        </w:rPr>
      </w:pPr>
    </w:p>
    <w:p>
      <w:pPr>
        <w:jc w:val="both"/>
        <w:ind w:left="200" w:right="219" w:firstLine="9"/>
        <w:spacing w:after="0" w:line="233" w:lineRule="auto"/>
        <w:tabs>
          <w:tab w:leader="none" w:pos="58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Agent's improperly executing or failing to execute any instruction because of unclear instructions, failure of communications media or any other circumstances beyond Agent's control, and (c) the actions or inactions of DTC or its nominees. The obligations of Company under this Section 14 shall survive any termination of this Agreement and the resignation or removal of Agent.</w:t>
      </w:r>
    </w:p>
    <w:p>
      <w:pPr>
        <w:spacing w:after="0" w:line="206" w:lineRule="exact"/>
        <w:rPr>
          <w:rFonts w:ascii="Arial" w:cs="Arial" w:eastAsia="Arial" w:hAnsi="Arial"/>
          <w:sz w:val="22"/>
          <w:szCs w:val="22"/>
          <w:color w:val="auto"/>
        </w:rPr>
      </w:pPr>
    </w:p>
    <w:p>
      <w:pPr>
        <w:ind w:left="1500" w:hanging="643"/>
        <w:spacing w:after="0"/>
        <w:tabs>
          <w:tab w:leader="none" w:pos="1500" w:val="left"/>
        </w:tabs>
        <w:numPr>
          <w:ilvl w:val="1"/>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of Agent.</w:t>
      </w:r>
    </w:p>
    <w:p>
      <w:pPr>
        <w:spacing w:after="0" w:line="239" w:lineRule="exact"/>
        <w:rPr>
          <w:sz w:val="20"/>
          <w:szCs w:val="20"/>
          <w:color w:val="auto"/>
        </w:rPr>
      </w:pPr>
    </w:p>
    <w:p>
      <w:pPr>
        <w:jc w:val="both"/>
        <w:ind w:left="200" w:right="219" w:firstLine="657"/>
        <w:spacing w:after="0" w:line="269" w:lineRule="auto"/>
        <w:tabs>
          <w:tab w:leader="none" w:pos="149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Company agrees to compensate Agent on demand for its services hereunder in accordance with the Schedule of Fees furnished by Agent to Company from time to time and to reimburse Agent, upon its request, for all reasonable expenses, disbursements, and advances made or incurred in connection with this Agreement, including with respect to investigating and defending itself against any claim or potential liability and the enforcement of Company’s compensation and reimbursement obligations hereunder. Agent will provide the Company thirty days’ written notice prior any changes to the Schedule of Fees. The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1" w:name="page142"/>
    <w:bookmarkEnd w:id="141"/>
    <w:p>
      <w:pPr>
        <w:ind w:left="200" w:right="219"/>
        <w:spacing w:after="0" w:line="251" w:lineRule="auto"/>
        <w:rPr>
          <w:sz w:val="20"/>
          <w:szCs w:val="20"/>
          <w:color w:val="auto"/>
        </w:rPr>
      </w:pPr>
      <w:r>
        <w:rPr>
          <w:rFonts w:ascii="Arial" w:cs="Arial" w:eastAsia="Arial" w:hAnsi="Arial"/>
          <w:sz w:val="22"/>
          <w:szCs w:val="22"/>
          <w:color w:val="auto"/>
        </w:rPr>
        <w:t>obligations of Company under this Section 15 shall survive any termination of this Agreement and the resignation or removal of Agent.</w:t>
      </w:r>
    </w:p>
    <w:p>
      <w:pPr>
        <w:spacing w:after="0" w:line="200" w:lineRule="exact"/>
        <w:rPr>
          <w:sz w:val="20"/>
          <w:szCs w:val="20"/>
          <w:color w:val="auto"/>
        </w:rPr>
      </w:pPr>
    </w:p>
    <w:p>
      <w:pPr>
        <w:jc w:val="both"/>
        <w:ind w:left="200" w:right="219" w:firstLine="657"/>
        <w:spacing w:after="0" w:line="246" w:lineRule="auto"/>
        <w:tabs>
          <w:tab w:leader="none" w:pos="1496"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Security and Offset</w:t>
      </w:r>
      <w:r>
        <w:rPr>
          <w:rFonts w:ascii="Arial" w:cs="Arial" w:eastAsia="Arial" w:hAnsi="Arial"/>
          <w:sz w:val="21"/>
          <w:szCs w:val="21"/>
          <w:color w:val="auto"/>
        </w:rPr>
        <w:t>. Company hereby grants to Agent and the Indemnified Parties a security interest in, lien upon and right of offset against the Note Funds with respect to any compensation or reimbursement due any of them hereunder (including any claim for indemnification hereunder). If for any reason the Note Funds are insufficient to cover such compensation and reimbursement, Company shall promptly pay such amounts to Agent or any Indemnified Party upon receipt of an itemized invoice. All disbursements of funds from the Note Funds shall be subject to the fees and claims of Agent and the Indemnified Parties pursuant to this Section and Section 14 hereof.</w:t>
      </w:r>
    </w:p>
    <w:p>
      <w:pPr>
        <w:spacing w:after="0" w:line="201" w:lineRule="exact"/>
        <w:rPr>
          <w:sz w:val="20"/>
          <w:szCs w:val="20"/>
          <w:color w:val="auto"/>
        </w:rPr>
      </w:pPr>
    </w:p>
    <w:p>
      <w:pPr>
        <w:jc w:val="both"/>
        <w:ind w:left="200" w:right="219" w:firstLine="657"/>
        <w:spacing w:after="0" w:line="245" w:lineRule="auto"/>
        <w:tabs>
          <w:tab w:leader="none" w:pos="1496"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Identifying Information</w:t>
      </w:r>
      <w:r>
        <w:rPr>
          <w:rFonts w:ascii="Arial" w:cs="Arial" w:eastAsia="Arial" w:hAnsi="Arial"/>
          <w:sz w:val="21"/>
          <w:szCs w:val="21"/>
          <w:color w:val="auto"/>
        </w:rPr>
        <w:t>. To help the government fight the funding of terrorism</w:t>
      </w:r>
      <w:r>
        <w:rPr>
          <w:rFonts w:ascii="Arial" w:cs="Arial" w:eastAsia="Arial" w:hAnsi="Arial"/>
          <w:sz w:val="21"/>
          <w:szCs w:val="21"/>
          <w:b w:val="1"/>
          <w:bCs w:val="1"/>
          <w:color w:val="auto"/>
        </w:rPr>
        <w:t xml:space="preserve"> </w:t>
      </w:r>
      <w:r>
        <w:rPr>
          <w:rFonts w:ascii="Arial" w:cs="Arial" w:eastAsia="Arial" w:hAnsi="Arial"/>
          <w:sz w:val="21"/>
          <w:szCs w:val="21"/>
          <w:color w:val="auto"/>
        </w:rPr>
        <w:t>and money laundering activities, Federal law requires all financial institutions to obtain, verify, and record information that identifies each person who opens an account. For a non-individual person such as a business entity, a charity, a trust, or other legal entity, Agent requires documentation to verify its formation and existence as a legal entity. Agent may ask to see financial statements, licenses, and identification and authorization documents from individuals claiming authority to represent the entity or other relevant documentation. The parties acknowledge that a portion of the identifying information set forth herein is being requested by Agent in connection with the USA Patriot Act, Pub.L.107-56 (the “Act”), and each agrees to provide any additional information requested by Agent in connection with the Act or any other legislation or regulation to which Agent is subject, in a timely manner.</w:t>
      </w:r>
    </w:p>
    <w:p>
      <w:pPr>
        <w:spacing w:after="0" w:line="204" w:lineRule="exact"/>
        <w:rPr>
          <w:rFonts w:ascii="Arial" w:cs="Arial" w:eastAsia="Arial" w:hAnsi="Arial"/>
          <w:sz w:val="21"/>
          <w:szCs w:val="21"/>
          <w:b w:val="1"/>
          <w:bCs w:val="1"/>
          <w:color w:val="auto"/>
        </w:rPr>
      </w:pPr>
    </w:p>
    <w:p>
      <w:pPr>
        <w:jc w:val="both"/>
        <w:ind w:left="200" w:right="219" w:firstLine="657"/>
        <w:spacing w:after="0" w:line="271" w:lineRule="auto"/>
        <w:tabs>
          <w:tab w:leader="none" w:pos="1496" w:val="left"/>
        </w:tabs>
        <w:numPr>
          <w:ilvl w:val="0"/>
          <w:numId w:val="1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Jurisdiction and Venue</w:t>
      </w:r>
      <w:r>
        <w:rPr>
          <w:rFonts w:ascii="Arial" w:cs="Arial" w:eastAsia="Arial" w:hAnsi="Arial"/>
          <w:sz w:val="19"/>
          <w:szCs w:val="19"/>
          <w:color w:val="auto"/>
        </w:rPr>
        <w:t>. Each party irrevocably and unconditionally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submits to the exclusive jurisdiction of the United States federal courts located in the Borough of Manhattan and the courts of the State of New York located in the Borough of Manhattan and </w:t>
      </w:r>
      <w:r>
        <w:rPr>
          <w:rFonts w:ascii="Arial" w:cs="Arial" w:eastAsia="Arial" w:hAnsi="Arial"/>
          <w:sz w:val="19"/>
          <w:szCs w:val="19"/>
          <w:color w:val="333333"/>
        </w:rPr>
        <w:t xml:space="preserve">waives any objection to such jurisdiction or venue. </w:t>
      </w:r>
      <w:r>
        <w:rPr>
          <w:rFonts w:ascii="Arial" w:cs="Arial" w:eastAsia="Arial" w:hAnsi="Arial"/>
          <w:sz w:val="19"/>
          <w:szCs w:val="19"/>
          <w:color w:val="000000"/>
        </w:rPr>
        <w:t>The parties hereto consent to and agree to</w:t>
      </w:r>
      <w:r>
        <w:rPr>
          <w:rFonts w:ascii="Arial" w:cs="Arial" w:eastAsia="Arial" w:hAnsi="Arial"/>
          <w:sz w:val="19"/>
          <w:szCs w:val="19"/>
          <w:color w:val="333333"/>
        </w:rPr>
        <w:t xml:space="preserve"> </w:t>
      </w:r>
      <w:r>
        <w:rPr>
          <w:rFonts w:ascii="Arial" w:cs="Arial" w:eastAsia="Arial" w:hAnsi="Arial"/>
          <w:sz w:val="19"/>
          <w:szCs w:val="19"/>
          <w:color w:val="000000"/>
        </w:rPr>
        <w:t>submit to the jurisdiction of any of the courts specified herein and agree to accept service of process to vest personal jurisdiction over them in any of these courts.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2" w:name="page143"/>
    <w:bookmarkEnd w:id="142"/>
    <w:p>
      <w:pPr>
        <w:ind w:left="1500" w:hanging="643"/>
        <w:spacing w:after="0"/>
        <w:tabs>
          <w:tab w:leader="none" w:pos="150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SPANS Online</w:t>
      </w:r>
    </w:p>
    <w:p>
      <w:pPr>
        <w:spacing w:after="0" w:line="213" w:lineRule="exact"/>
        <w:rPr>
          <w:sz w:val="20"/>
          <w:szCs w:val="20"/>
          <w:color w:val="auto"/>
        </w:rPr>
      </w:pPr>
    </w:p>
    <w:p>
      <w:pPr>
        <w:jc w:val="both"/>
        <w:ind w:left="200" w:right="219" w:firstLine="657"/>
        <w:spacing w:after="0" w:line="272" w:lineRule="auto"/>
        <w:tabs>
          <w:tab w:leader="none" w:pos="149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Company and each Authorized Representative may use the U.S. Bank Securities Processing Automated Notes System Online (“SPANS Online”) instruction and reporting communication service to transmit instructions to Agent or obtain reports with respect to the Commercial Paper Notes. Company may, by separate agreement between Company and one or more of its Authorized Persons, authorize the Authorized Person to directly access SPANS Online for the purposes of transmitting instructions to Agent or obtaining reports with respect to the Commercial Paper Notes. Company acknowledges that (i) some or all of the services utilized in connection with SPANS Online are furnished by SS&amp;C Technologies, Inc. (“SS&amp;C”), (ii) SPANS Online is provided to Company “AS IS” without warranties or representations of any kind whatsoever, and (iii) SPANS Online is proprietary and confidential property disclosed to Company in confidence and may be utilized only on the SPANS Online Terms and Conditions as set forth in the SPANS Online website and for purposes set forth in this Agreement.</w:t>
      </w:r>
    </w:p>
    <w:p>
      <w:pPr>
        <w:spacing w:after="0" w:line="160" w:lineRule="exact"/>
        <w:rPr>
          <w:rFonts w:ascii="Arial" w:cs="Arial" w:eastAsia="Arial" w:hAnsi="Arial"/>
          <w:sz w:val="19"/>
          <w:szCs w:val="19"/>
          <w:color w:val="auto"/>
        </w:rPr>
      </w:pPr>
    </w:p>
    <w:p>
      <w:pPr>
        <w:jc w:val="both"/>
        <w:ind w:left="200" w:right="219" w:firstLine="711"/>
        <w:spacing w:after="0" w:line="274" w:lineRule="auto"/>
        <w:tabs>
          <w:tab w:leader="none" w:pos="1496"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To permit the use of SPANS Online to transmit instructions and/or obtain reports with respect to the Commercial Paper Notes, Agent will supply Company with a customer identification number and initial passwords. Company may thereafter change its passwords directly through SPANS Online. Company will keep all information relating to its identification number and passwords strictly confidential and will be responsible for the maintenance of adequate security over its customer identification number and passwords. Instructions transmitted over SPANS Online and received by Agent pursuant to this Agreement shall be deemed conclusive evidence that such instructions are correct and complete and that the issuance or redemption of the Commercial Paper Notes directed thereby has been duly authorized by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-2191385</wp:posOffset>
            </wp:positionV>
            <wp:extent cx="34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9" w:lineRule="exact"/>
        <w:rPr>
          <w:sz w:val="20"/>
          <w:szCs w:val="20"/>
          <w:color w:val="auto"/>
        </w:rPr>
      </w:pPr>
    </w:p>
    <w:p>
      <w:pPr>
        <w:ind w:left="1500" w:hanging="643"/>
        <w:spacing w:after="0"/>
        <w:tabs>
          <w:tab w:leader="none" w:pos="150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w:t>
      </w:r>
    </w:p>
    <w:p>
      <w:pPr>
        <w:spacing w:after="0" w:line="239" w:lineRule="exact"/>
        <w:rPr>
          <w:sz w:val="20"/>
          <w:szCs w:val="20"/>
          <w:color w:val="auto"/>
        </w:rPr>
      </w:pPr>
    </w:p>
    <w:p>
      <w:pPr>
        <w:jc w:val="both"/>
        <w:ind w:left="200" w:right="219" w:firstLine="657"/>
        <w:spacing w:after="0" w:line="236" w:lineRule="auto"/>
        <w:tabs>
          <w:tab w:leader="none" w:pos="149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All communications to Agent by or on behalf of Company or a Dealer, by writing or telephone, which relate to the completion, delivery or payment of any Commercial Paper Note, are to be delivered to Agent via SPANS Online or directed to Commercial Paper Operations at the address or telephone number indicated below or to such other address or telephone number as Agent specifies to Company in writing.</w:t>
      </w:r>
    </w:p>
    <w:p>
      <w:pPr>
        <w:spacing w:after="0" w:line="200" w:lineRule="exact"/>
        <w:rPr>
          <w:sz w:val="20"/>
          <w:szCs w:val="20"/>
          <w:color w:val="auto"/>
        </w:rPr>
      </w:pPr>
    </w:p>
    <w:p>
      <w:pPr>
        <w:spacing w:after="0" w:line="25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U.S. Bank Trust Company, National Association</w:t>
      </w:r>
    </w:p>
    <w:p>
      <w:pPr>
        <w:ind w:left="2800"/>
        <w:spacing w:after="0" w:line="238" w:lineRule="auto"/>
        <w:rPr>
          <w:sz w:val="20"/>
          <w:szCs w:val="20"/>
          <w:color w:val="auto"/>
        </w:rPr>
      </w:pPr>
      <w:r>
        <w:rPr>
          <w:rFonts w:ascii="Arial" w:cs="Arial" w:eastAsia="Arial" w:hAnsi="Arial"/>
          <w:sz w:val="22"/>
          <w:szCs w:val="22"/>
          <w:color w:val="auto"/>
        </w:rPr>
        <w:t>100 Wall Street, Suite 600</w:t>
      </w:r>
    </w:p>
    <w:p>
      <w:pPr>
        <w:ind w:left="2800"/>
        <w:spacing w:after="0"/>
        <w:rPr>
          <w:sz w:val="20"/>
          <w:szCs w:val="20"/>
          <w:color w:val="auto"/>
        </w:rPr>
      </w:pPr>
      <w:r>
        <w:rPr>
          <w:rFonts w:ascii="Arial" w:cs="Arial" w:eastAsia="Arial" w:hAnsi="Arial"/>
          <w:sz w:val="22"/>
          <w:szCs w:val="22"/>
          <w:color w:val="auto"/>
        </w:rPr>
        <w:t>New York, NY 10005</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2920" w:type="dxa"/>
            <w:vAlign w:val="bottom"/>
          </w:tcPr>
          <w:p>
            <w:pPr>
              <w:ind w:left="1280"/>
              <w:spacing w:after="0"/>
              <w:rPr>
                <w:sz w:val="20"/>
                <w:szCs w:val="20"/>
                <w:color w:val="auto"/>
              </w:rPr>
            </w:pPr>
            <w:r>
              <w:rPr>
                <w:rFonts w:ascii="Arial" w:cs="Arial" w:eastAsia="Arial" w:hAnsi="Arial"/>
                <w:sz w:val="22"/>
                <w:szCs w:val="22"/>
                <w:color w:val="auto"/>
              </w:rPr>
              <w:t>Attention:</w:t>
            </w:r>
          </w:p>
        </w:tc>
        <w:tc>
          <w:tcPr>
            <w:tcW w:w="5660" w:type="dxa"/>
            <w:vAlign w:val="bottom"/>
          </w:tcPr>
          <w:p>
            <w:pPr>
              <w:ind w:left="300"/>
              <w:spacing w:after="0"/>
              <w:rPr>
                <w:sz w:val="20"/>
                <w:szCs w:val="20"/>
                <w:color w:val="auto"/>
              </w:rPr>
            </w:pPr>
            <w:r>
              <w:rPr>
                <w:rFonts w:ascii="Arial" w:cs="Arial" w:eastAsia="Arial" w:hAnsi="Arial"/>
                <w:sz w:val="22"/>
                <w:szCs w:val="22"/>
                <w:color w:val="auto"/>
              </w:rPr>
              <w:t>Money Market Operations</w:t>
            </w:r>
          </w:p>
        </w:tc>
      </w:tr>
      <w:tr>
        <w:trPr>
          <w:trHeight w:val="455"/>
        </w:trPr>
        <w:tc>
          <w:tcPr>
            <w:tcW w:w="2920" w:type="dxa"/>
            <w:vAlign w:val="bottom"/>
          </w:tcPr>
          <w:p>
            <w:pPr>
              <w:ind w:left="1280"/>
              <w:spacing w:after="0"/>
              <w:rPr>
                <w:sz w:val="20"/>
                <w:szCs w:val="20"/>
                <w:color w:val="auto"/>
              </w:rPr>
            </w:pPr>
            <w:r>
              <w:rPr>
                <w:rFonts w:ascii="Arial" w:cs="Arial" w:eastAsia="Arial" w:hAnsi="Arial"/>
                <w:sz w:val="22"/>
                <w:szCs w:val="22"/>
                <w:color w:val="auto"/>
              </w:rPr>
              <w:t>Facsimile No.:</w:t>
            </w:r>
          </w:p>
        </w:tc>
        <w:tc>
          <w:tcPr>
            <w:tcW w:w="5660" w:type="dxa"/>
            <w:vAlign w:val="bottom"/>
          </w:tcPr>
          <w:p>
            <w:pPr>
              <w:ind w:left="300"/>
              <w:spacing w:after="0"/>
              <w:rPr>
                <w:sz w:val="20"/>
                <w:szCs w:val="20"/>
                <w:color w:val="auto"/>
              </w:rPr>
            </w:pPr>
            <w:r>
              <w:rPr>
                <w:rFonts w:ascii="Arial" w:cs="Arial" w:eastAsia="Arial" w:hAnsi="Arial"/>
                <w:sz w:val="22"/>
                <w:szCs w:val="22"/>
                <w:color w:val="auto"/>
              </w:rPr>
              <w:t>(212)</w:t>
            </w:r>
          </w:p>
        </w:tc>
      </w:tr>
      <w:tr>
        <w:trPr>
          <w:trHeight w:val="243"/>
        </w:trPr>
        <w:tc>
          <w:tcPr>
            <w:tcW w:w="2920" w:type="dxa"/>
            <w:vAlign w:val="bottom"/>
          </w:tcPr>
          <w:p>
            <w:pPr>
              <w:ind w:left="1280"/>
              <w:spacing w:after="0" w:line="243" w:lineRule="exact"/>
              <w:rPr>
                <w:sz w:val="20"/>
                <w:szCs w:val="20"/>
                <w:color w:val="auto"/>
              </w:rPr>
            </w:pPr>
            <w:r>
              <w:rPr>
                <w:rFonts w:ascii="Arial" w:cs="Arial" w:eastAsia="Arial" w:hAnsi="Arial"/>
                <w:sz w:val="22"/>
                <w:szCs w:val="22"/>
                <w:color w:val="auto"/>
              </w:rPr>
              <w:t>Telephone No.:</w:t>
            </w:r>
          </w:p>
        </w:tc>
        <w:tc>
          <w:tcPr>
            <w:tcW w:w="5660" w:type="dxa"/>
            <w:vAlign w:val="bottom"/>
          </w:tcPr>
          <w:p>
            <w:pPr>
              <w:ind w:left="300"/>
              <w:spacing w:after="0" w:line="243" w:lineRule="exact"/>
              <w:rPr>
                <w:sz w:val="20"/>
                <w:szCs w:val="20"/>
                <w:color w:val="auto"/>
              </w:rPr>
            </w:pPr>
            <w:r>
              <w:rPr>
                <w:rFonts w:ascii="Arial" w:cs="Arial" w:eastAsia="Arial" w:hAnsi="Arial"/>
                <w:sz w:val="22"/>
                <w:szCs w:val="22"/>
                <w:color w:val="auto"/>
              </w:rPr>
              <w:t>(212) 951-8508</w:t>
            </w:r>
          </w:p>
        </w:tc>
      </w:tr>
      <w:tr>
        <w:trPr>
          <w:trHeight w:val="274"/>
        </w:trPr>
        <w:tc>
          <w:tcPr>
            <w:tcW w:w="2920" w:type="dxa"/>
            <w:vAlign w:val="bottom"/>
          </w:tcPr>
          <w:p>
            <w:pPr>
              <w:ind w:left="1280"/>
              <w:spacing w:after="0"/>
              <w:rPr>
                <w:sz w:val="20"/>
                <w:szCs w:val="20"/>
                <w:color w:val="auto"/>
              </w:rPr>
            </w:pPr>
            <w:r>
              <w:rPr>
                <w:rFonts w:ascii="Arial" w:cs="Arial" w:eastAsia="Arial" w:hAnsi="Arial"/>
                <w:sz w:val="22"/>
                <w:szCs w:val="22"/>
                <w:color w:val="auto"/>
              </w:rPr>
              <w:t>Email address:</w:t>
            </w:r>
          </w:p>
        </w:tc>
        <w:tc>
          <w:tcPr>
            <w:tcW w:w="5660" w:type="dxa"/>
            <w:vAlign w:val="bottom"/>
          </w:tcPr>
          <w:p>
            <w:pPr>
              <w:ind w:left="300"/>
              <w:spacing w:after="0"/>
              <w:rPr>
                <w:sz w:val="20"/>
                <w:szCs w:val="20"/>
                <w:color w:val="auto"/>
              </w:rPr>
            </w:pPr>
            <w:r>
              <w:rPr>
                <w:rFonts w:ascii="Arial" w:cs="Arial" w:eastAsia="Arial" w:hAnsi="Arial"/>
                <w:sz w:val="22"/>
                <w:szCs w:val="22"/>
                <w:color w:val="auto"/>
              </w:rPr>
              <w:t>mmi.processing@usbank.com</w:t>
            </w:r>
          </w:p>
        </w:tc>
      </w:tr>
      <w:tr>
        <w:trPr>
          <w:trHeight w:val="486"/>
        </w:trPr>
        <w:tc>
          <w:tcPr>
            <w:tcW w:w="2920" w:type="dxa"/>
            <w:vAlign w:val="bottom"/>
          </w:tcPr>
          <w:p>
            <w:pPr>
              <w:spacing w:after="0"/>
              <w:rPr>
                <w:sz w:val="24"/>
                <w:szCs w:val="24"/>
                <w:color w:val="auto"/>
              </w:rPr>
            </w:pPr>
          </w:p>
        </w:tc>
        <w:tc>
          <w:tcPr>
            <w:tcW w:w="5660" w:type="dxa"/>
            <w:vAlign w:val="bottom"/>
          </w:tcPr>
          <w:p>
            <w:pPr>
              <w:ind w:left="1260"/>
              <w:spacing w:after="0"/>
              <w:rPr>
                <w:sz w:val="20"/>
                <w:szCs w:val="20"/>
                <w:color w:val="auto"/>
              </w:rPr>
            </w:pPr>
            <w:r>
              <w:rPr>
                <w:rFonts w:ascii="Arial" w:cs="Arial" w:eastAsia="Arial" w:hAnsi="Arial"/>
                <w:sz w:val="22"/>
                <w:szCs w:val="22"/>
                <w:color w:val="auto"/>
              </w:rPr>
              <w:t>12</w:t>
            </w:r>
          </w:p>
        </w:tc>
      </w:tr>
      <w:tr>
        <w:trPr>
          <w:trHeight w:val="793"/>
        </w:trPr>
        <w:tc>
          <w:tcPr>
            <w:tcW w:w="29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1" w:right="1440" w:bottom="1440" w:gutter="0" w:footer="0" w:header="0"/>
        </w:sectPr>
      </w:pPr>
    </w:p>
    <w:bookmarkStart w:id="143" w:name="page144"/>
    <w:bookmarkEnd w:id="143"/>
    <w:p>
      <w:pPr>
        <w:jc w:val="both"/>
        <w:ind w:left="200" w:right="219" w:firstLine="657"/>
        <w:spacing w:after="0" w:line="236" w:lineRule="auto"/>
        <w:tabs>
          <w:tab w:leader="none" w:pos="14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Notices and other communications hereunder to Agent (other than communications that relate to the completion, delivery or payment of any Commercial Paper Note) or to Company are to be directed to the address or telephone number indicated below, or to such other address or telephone number as the party receiving such notice shall have previously specified in writing to the party sending such notice:</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If to Company at:</w:t>
      </w:r>
    </w:p>
    <w:p>
      <w:pPr>
        <w:ind w:left="2800"/>
        <w:spacing w:after="0" w:line="238" w:lineRule="auto"/>
        <w:rPr>
          <w:sz w:val="20"/>
          <w:szCs w:val="20"/>
          <w:color w:val="auto"/>
        </w:rPr>
      </w:pPr>
      <w:r>
        <w:rPr>
          <w:rFonts w:ascii="Arial" w:cs="Arial" w:eastAsia="Arial" w:hAnsi="Arial"/>
          <w:sz w:val="22"/>
          <w:szCs w:val="22"/>
          <w:color w:val="auto"/>
        </w:rPr>
        <w:t>800 Capitol Street, Suite 3000</w:t>
      </w:r>
    </w:p>
    <w:p>
      <w:pPr>
        <w:ind w:left="2800"/>
        <w:spacing w:after="0" w:line="230" w:lineRule="auto"/>
        <w:rPr>
          <w:sz w:val="20"/>
          <w:szCs w:val="20"/>
          <w:color w:val="auto"/>
        </w:rPr>
      </w:pPr>
      <w:r>
        <w:rPr>
          <w:rFonts w:ascii="Arial" w:cs="Arial" w:eastAsia="Arial" w:hAnsi="Arial"/>
          <w:sz w:val="22"/>
          <w:szCs w:val="22"/>
          <w:color w:val="auto"/>
        </w:rPr>
        <w:t>Houston, Texas, 77002</w:t>
      </w:r>
    </w:p>
    <w:p>
      <w:pPr>
        <w:ind w:left="2800"/>
        <w:spacing w:after="0" w:line="231" w:lineRule="auto"/>
        <w:rPr>
          <w:sz w:val="20"/>
          <w:szCs w:val="20"/>
          <w:color w:val="auto"/>
        </w:rPr>
      </w:pPr>
      <w:r>
        <w:rPr>
          <w:rFonts w:ascii="Arial" w:cs="Arial" w:eastAsia="Arial" w:hAnsi="Arial"/>
          <w:sz w:val="22"/>
          <w:szCs w:val="22"/>
          <w:color w:val="auto"/>
        </w:rPr>
        <w:t>Attention: Treasurer</w:t>
      </w:r>
    </w:p>
    <w:p>
      <w:pPr>
        <w:ind w:left="2800"/>
        <w:spacing w:after="0" w:line="230" w:lineRule="auto"/>
        <w:rPr>
          <w:sz w:val="20"/>
          <w:szCs w:val="20"/>
          <w:color w:val="auto"/>
        </w:rPr>
      </w:pPr>
      <w:r>
        <w:rPr>
          <w:rFonts w:ascii="Arial" w:cs="Arial" w:eastAsia="Arial" w:hAnsi="Arial"/>
          <w:sz w:val="22"/>
          <w:szCs w:val="22"/>
          <w:color w:val="auto"/>
        </w:rPr>
        <w:t>Telephone:</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Email: GCLegal@wm.com</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If to Agent at:</w:t>
      </w:r>
    </w:p>
    <w:p>
      <w:pPr>
        <w:spacing w:after="0" w:line="233"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U.S. Bank Trust Company, National Association</w:t>
      </w:r>
    </w:p>
    <w:p>
      <w:pPr>
        <w:ind w:left="2800"/>
        <w:spacing w:after="0" w:line="238" w:lineRule="auto"/>
        <w:rPr>
          <w:sz w:val="20"/>
          <w:szCs w:val="20"/>
          <w:color w:val="auto"/>
        </w:rPr>
      </w:pPr>
      <w:r>
        <w:rPr>
          <w:rFonts w:ascii="Arial" w:cs="Arial" w:eastAsia="Arial" w:hAnsi="Arial"/>
          <w:sz w:val="22"/>
          <w:szCs w:val="22"/>
          <w:color w:val="auto"/>
        </w:rPr>
        <w:t>100 Wall Street, Suite 600</w:t>
      </w:r>
    </w:p>
    <w:p>
      <w:pPr>
        <w:ind w:left="2800"/>
        <w:spacing w:after="0"/>
        <w:rPr>
          <w:sz w:val="20"/>
          <w:szCs w:val="20"/>
          <w:color w:val="auto"/>
        </w:rPr>
      </w:pPr>
      <w:r>
        <w:rPr>
          <w:rFonts w:ascii="Arial" w:cs="Arial" w:eastAsia="Arial" w:hAnsi="Arial"/>
          <w:sz w:val="22"/>
          <w:szCs w:val="22"/>
          <w:color w:val="auto"/>
        </w:rPr>
        <w:t>New York, NY 10005</w:t>
      </w:r>
    </w:p>
    <w:p>
      <w:pPr>
        <w:sectPr>
          <w:pgSz w:w="11900" w:h="16838" w:orient="portrait"/>
          <w:cols w:equalWidth="0" w:num="1">
            <w:col w:w="9019"/>
          </w:cols>
          <w:pgMar w:left="1440" w:top="118" w:right="1440" w:bottom="1440" w:gutter="0" w:footer="0" w:header="0"/>
        </w:sectPr>
      </w:pP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Global Corporate Trust – IPA Administration</w:t>
      </w:r>
    </w:p>
    <w:p>
      <w:pPr>
        <w:spacing w:after="0" w:line="200" w:lineRule="exact"/>
        <w:rPr>
          <w:sz w:val="20"/>
          <w:szCs w:val="20"/>
          <w:color w:val="auto"/>
        </w:rPr>
      </w:pPr>
    </w:p>
    <w:p>
      <w:pPr>
        <w:sectPr>
          <w:pgSz w:w="11900" w:h="16838" w:orient="portrait"/>
          <w:cols w:equalWidth="0" w:num="2">
            <w:col w:w="2720" w:space="720"/>
            <w:col w:w="5579"/>
          </w:cols>
          <w:pgMar w:left="1440" w:top="118" w:right="1440" w:bottom="1440" w:gutter="0" w:footer="0" w:header="0"/>
          <w:type w:val="continuous"/>
        </w:sectPr>
      </w:pPr>
    </w:p>
    <w:p>
      <w:pPr>
        <w:spacing w:after="0" w:line="31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Telephone No.:</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(646) 971- 4954</w:t>
      </w:r>
    </w:p>
    <w:p>
      <w:pPr>
        <w:spacing w:after="0" w:line="200" w:lineRule="exact"/>
        <w:rPr>
          <w:sz w:val="20"/>
          <w:szCs w:val="20"/>
          <w:color w:val="auto"/>
        </w:rPr>
      </w:pPr>
    </w:p>
    <w:p>
      <w:pPr>
        <w:sectPr>
          <w:pgSz w:w="11900" w:h="16838" w:orient="portrait"/>
          <w:cols w:equalWidth="0" w:num="2">
            <w:col w:w="2840" w:space="600"/>
            <w:col w:w="5579"/>
          </w:cols>
          <w:pgMar w:left="1440" w:top="118" w:right="1440" w:bottom="1440" w:gutter="0" w:footer="0" w:header="0"/>
          <w:type w:val="continuous"/>
        </w:sectPr>
      </w:pPr>
    </w:p>
    <w:p>
      <w:pPr>
        <w:spacing w:after="0" w:line="311"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color w:val="auto"/>
        </w:rPr>
        <w:t>Notices shall be deemed delivered when received at the applicable address specified above. For purposes of this Section 19, "when received" shall mean actual receipt (i) of an electronic communication by facsimile or email transmission or SPANS Online; or (ii) of an oral communication by any person answering the telephone at the office of the individual or department specified in or pursuant to this Agreement; or (iii) of a written communication hand-delivered, by national overnight courier service, or by first class, certified or registered mail, return receipt requested, at the office specified in or pursuant to this Agreement.</w:t>
      </w:r>
    </w:p>
    <w:p>
      <w:pPr>
        <w:spacing w:after="0" w:line="205" w:lineRule="exact"/>
        <w:rPr>
          <w:sz w:val="20"/>
          <w:szCs w:val="20"/>
          <w:color w:val="auto"/>
        </w:rPr>
      </w:pPr>
    </w:p>
    <w:p>
      <w:pPr>
        <w:jc w:val="both"/>
        <w:ind w:left="200" w:right="219" w:firstLine="657"/>
        <w:spacing w:after="0" w:line="269" w:lineRule="auto"/>
        <w:tabs>
          <w:tab w:leader="none" w:pos="1496" w:val="left"/>
        </w:tabs>
        <w:numPr>
          <w:ilvl w:val="1"/>
          <w:numId w:val="1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Optional Security Procedures</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funds transfer instructions, address</w:t>
      </w:r>
      <w:r>
        <w:rPr>
          <w:rFonts w:ascii="Arial" w:cs="Arial" w:eastAsia="Arial" w:hAnsi="Arial"/>
          <w:sz w:val="19"/>
          <w:szCs w:val="19"/>
          <w:b w:val="1"/>
          <w:bCs w:val="1"/>
          <w:color w:val="auto"/>
        </w:rPr>
        <w:t xml:space="preserve"> </w:t>
      </w:r>
      <w:r>
        <w:rPr>
          <w:rFonts w:ascii="Arial" w:cs="Arial" w:eastAsia="Arial" w:hAnsi="Arial"/>
          <w:sz w:val="19"/>
          <w:szCs w:val="19"/>
          <w:color w:val="auto"/>
        </w:rPr>
        <w:t>changes or change in contact information are given (other than in writing at the time of execution of this Agreement), whether in writing, by facsimile or otherwise, Agent is authorized but shall be under no duty to seek confirmation of such instructions by telephone call-back to an Authorized Representative, and Agent may rely upon the confirmation of anyone purporting to be the person or persons so designated. The persons and telephone numbers for call-backs may be changed only in writing actually received and acknowledged by Agent and shall be effective only after Agent has a reasonable opportunity to act on such changes. Company agrees that Agent may at its option record any telephone calls made pursuant to this Section. Agent in any funds transfer may rely solely upon any account numbers or similar identifying numbers provided by Company to identify</w:t>
      </w:r>
    </w:p>
    <w:p>
      <w:pPr>
        <w:spacing w:after="0" w:line="5" w:lineRule="exact"/>
        <w:rPr>
          <w:rFonts w:ascii="Arial" w:cs="Arial" w:eastAsia="Arial" w:hAnsi="Arial"/>
          <w:sz w:val="19"/>
          <w:szCs w:val="19"/>
          <w:b w:val="1"/>
          <w:bCs w:val="1"/>
          <w:color w:val="auto"/>
        </w:rPr>
      </w:pPr>
    </w:p>
    <w:p>
      <w:pPr>
        <w:ind w:left="200" w:right="239" w:firstLine="9"/>
        <w:spacing w:after="0" w:line="230" w:lineRule="auto"/>
        <w:tabs>
          <w:tab w:leader="none" w:pos="49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beneficiary, (b) the beneficiary's bank, or (c) an intermediary bank. Agent may apply funds for any payment order it executes using any such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44" w:name="page145"/>
    <w:bookmarkEnd w:id="144"/>
    <w:p>
      <w:pPr>
        <w:jc w:val="both"/>
        <w:ind w:left="200" w:right="219"/>
        <w:spacing w:after="0" w:line="238" w:lineRule="auto"/>
        <w:rPr>
          <w:sz w:val="20"/>
          <w:szCs w:val="20"/>
          <w:color w:val="auto"/>
        </w:rPr>
      </w:pPr>
      <w:r>
        <w:rPr>
          <w:rFonts w:ascii="Arial" w:cs="Arial" w:eastAsia="Arial" w:hAnsi="Arial"/>
          <w:sz w:val="22"/>
          <w:szCs w:val="22"/>
          <w:color w:val="auto"/>
        </w:rPr>
        <w:t>identifying number, even when its use may result in a person other than the beneficiary being paid, or the transfer of funds to a bank other than the beneficiary's bank or an intermediary bank designated. Company acknowledges that these optional security procedures are commercially reasonable.</w:t>
      </w:r>
    </w:p>
    <w:p>
      <w:pPr>
        <w:spacing w:after="0" w:line="206" w:lineRule="exact"/>
        <w:rPr>
          <w:sz w:val="20"/>
          <w:szCs w:val="20"/>
          <w:color w:val="auto"/>
        </w:rPr>
      </w:pPr>
    </w:p>
    <w:p>
      <w:pPr>
        <w:jc w:val="both"/>
        <w:ind w:left="200" w:right="219" w:firstLine="657"/>
        <w:spacing w:after="0" w:line="246" w:lineRule="auto"/>
        <w:tabs>
          <w:tab w:leader="none" w:pos="1496" w:val="left"/>
        </w:tabs>
        <w:numPr>
          <w:ilvl w:val="0"/>
          <w:numId w:val="13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 Waiver and Assignment</w:t>
      </w:r>
      <w:r>
        <w:rPr>
          <w:rFonts w:ascii="Arial" w:cs="Arial" w:eastAsia="Arial" w:hAnsi="Arial"/>
          <w:sz w:val="21"/>
          <w:szCs w:val="21"/>
          <w:color w:val="auto"/>
        </w:rPr>
        <w:t>. None of the terms or conditions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may be changed, waived, modified, discharged, terminated or varied in any manner whatsoever unless in writing duly signed by each party to this Agreement. No course of conduct shall constitute a waiver of any of the terms and conditions of this Agreement, unless such waiver is specified in writing, and then only to the extent so specified. A waiver of any of the terms and conditions of this Agreement on one occasion shall not constitute a waiver of the other terms of this Agreement, or of such terms and conditions on any other occasion. Except as provided in Section 12 hereof, this Agreement may not be assigned by any party without the written consent of the other party.</w:t>
      </w:r>
    </w:p>
    <w:p>
      <w:pPr>
        <w:spacing w:after="0" w:line="202" w:lineRule="exact"/>
        <w:rPr>
          <w:rFonts w:ascii="Arial" w:cs="Arial" w:eastAsia="Arial" w:hAnsi="Arial"/>
          <w:sz w:val="21"/>
          <w:szCs w:val="21"/>
          <w:b w:val="1"/>
          <w:bCs w:val="1"/>
          <w:color w:val="auto"/>
        </w:rPr>
      </w:pPr>
    </w:p>
    <w:p>
      <w:pPr>
        <w:jc w:val="both"/>
        <w:ind w:left="200" w:right="219" w:firstLine="657"/>
        <w:spacing w:after="0" w:line="239" w:lineRule="auto"/>
        <w:tabs>
          <w:tab w:leader="none" w:pos="1496"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To the extent any provision of this Agreement is prohibited by or</w:t>
      </w:r>
      <w:r>
        <w:rPr>
          <w:rFonts w:ascii="Arial" w:cs="Arial" w:eastAsia="Arial" w:hAnsi="Arial"/>
          <w:sz w:val="22"/>
          <w:szCs w:val="22"/>
          <w:b w:val="1"/>
          <w:bCs w:val="1"/>
          <w:color w:val="auto"/>
        </w:rPr>
        <w:t xml:space="preserve"> </w:t>
      </w:r>
      <w:r>
        <w:rPr>
          <w:rFonts w:ascii="Arial" w:cs="Arial" w:eastAsia="Arial" w:hAnsi="Arial"/>
          <w:sz w:val="22"/>
          <w:szCs w:val="22"/>
          <w:color w:val="auto"/>
        </w:rPr>
        <w:t>invalid under applicable law, such provision shall be ineffective to the extent of such prohibition or invalidity, without invalidating the remainder of such provision or the remaining provisions of this Agreement.</w:t>
      </w:r>
    </w:p>
    <w:p>
      <w:pPr>
        <w:spacing w:after="0" w:line="207" w:lineRule="exact"/>
        <w:rPr>
          <w:rFonts w:ascii="Arial" w:cs="Arial" w:eastAsia="Arial" w:hAnsi="Arial"/>
          <w:sz w:val="22"/>
          <w:szCs w:val="22"/>
          <w:b w:val="1"/>
          <w:bCs w:val="1"/>
          <w:color w:val="auto"/>
        </w:rPr>
      </w:pPr>
    </w:p>
    <w:p>
      <w:pPr>
        <w:jc w:val="both"/>
        <w:ind w:left="200" w:right="219" w:firstLine="657"/>
        <w:spacing w:after="0" w:line="249" w:lineRule="auto"/>
        <w:tabs>
          <w:tab w:leader="none" w:pos="1496" w:val="left"/>
        </w:tabs>
        <w:numPr>
          <w:ilvl w:val="0"/>
          <w:numId w:val="13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Agreement shall be governed and construed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laws of the State of New York applicable to contracts made and performed in the State of New York and, to the extent applicable, operating circulars of the Federal Reserve Agent, federal laws and regulations as amended, New York Clearing House rules and, to the extent not otherwise inconsistent with this Agreement, general commercial Agent practices applicable to commercial paper issuance and payment.</w:t>
      </w:r>
    </w:p>
    <w:p>
      <w:pPr>
        <w:spacing w:after="0" w:line="292" w:lineRule="exact"/>
        <w:rPr>
          <w:rFonts w:ascii="Arial" w:cs="Arial" w:eastAsia="Arial" w:hAnsi="Arial"/>
          <w:sz w:val="21"/>
          <w:szCs w:val="21"/>
          <w:b w:val="1"/>
          <w:bCs w:val="1"/>
          <w:color w:val="auto"/>
        </w:rPr>
      </w:pPr>
    </w:p>
    <w:p>
      <w:pPr>
        <w:jc w:val="both"/>
        <w:ind w:left="200" w:right="219" w:firstLine="657"/>
        <w:spacing w:after="0" w:line="280" w:lineRule="auto"/>
        <w:tabs>
          <w:tab w:leader="none" w:pos="1496"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No Third-Party Beneficiaries</w:t>
      </w:r>
      <w:r>
        <w:rPr>
          <w:rFonts w:ascii="Arial" w:cs="Arial" w:eastAsia="Arial" w:hAnsi="Arial"/>
          <w:sz w:val="19"/>
          <w:szCs w:val="19"/>
          <w:color w:val="auto"/>
        </w:rPr>
        <w:t>. This Agreement, together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Letter of Representations, constitutes the entire agreement between the parties relating to Agent’s issuing agent, paying agent and depositary duties and obligations to Company. Except as provided in Section 14 hereof, nothing in this Agreement, express or implied, is intended to or shall confer upon any person or entity other than the signatory parties hereto any right, benefit or remedy of any nature whatsoever under or by reason of this Agreement.</w:t>
      </w:r>
    </w:p>
    <w:p>
      <w:pPr>
        <w:spacing w:after="0" w:line="9" w:lineRule="exact"/>
        <w:rPr>
          <w:rFonts w:ascii="Arial" w:cs="Arial" w:eastAsia="Arial" w:hAnsi="Arial"/>
          <w:sz w:val="19"/>
          <w:szCs w:val="19"/>
          <w:b w:val="1"/>
          <w:bCs w:val="1"/>
          <w:color w:val="auto"/>
        </w:rPr>
      </w:pPr>
    </w:p>
    <w:p>
      <w:pPr>
        <w:jc w:val="both"/>
        <w:ind w:left="200" w:right="219" w:firstLine="657"/>
        <w:spacing w:after="0" w:line="237" w:lineRule="auto"/>
        <w:tabs>
          <w:tab w:leader="none" w:pos="1496"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Execution in Counterparts, Facsimiles</w:t>
      </w:r>
      <w:r>
        <w:rPr>
          <w:rFonts w:ascii="Arial" w:cs="Arial" w:eastAsia="Arial" w:hAnsi="Arial"/>
          <w:sz w:val="22"/>
          <w:szCs w:val="22"/>
          <w:color w:val="auto"/>
        </w:rPr>
        <w:t>. This Agreement may be executed in two</w:t>
      </w:r>
      <w:r>
        <w:rPr>
          <w:rFonts w:ascii="Arial" w:cs="Arial" w:eastAsia="Arial" w:hAnsi="Arial"/>
          <w:sz w:val="22"/>
          <w:szCs w:val="22"/>
          <w:b w:val="1"/>
          <w:bCs w:val="1"/>
          <w:color w:val="auto"/>
        </w:rPr>
        <w:t xml:space="preserve"> </w:t>
      </w:r>
      <w:r>
        <w:rPr>
          <w:rFonts w:ascii="Arial" w:cs="Arial" w:eastAsia="Arial" w:hAnsi="Arial"/>
          <w:sz w:val="22"/>
          <w:szCs w:val="22"/>
          <w:color w:val="auto"/>
        </w:rPr>
        <w:t>or more counterparts, which when so executed shall constitute one and the same agreement. The delivery of copies of this Agreement as executed by PDF or facsimile transmission shall constitute effective execution and delivery as to the parties and may be used in lieu of originals for all purposes.</w:t>
      </w:r>
    </w:p>
    <w:p>
      <w:pPr>
        <w:spacing w:after="0" w:line="208" w:lineRule="exact"/>
        <w:rPr>
          <w:rFonts w:ascii="Arial" w:cs="Arial" w:eastAsia="Arial" w:hAnsi="Arial"/>
          <w:sz w:val="22"/>
          <w:szCs w:val="22"/>
          <w:b w:val="1"/>
          <w:bCs w:val="1"/>
          <w:color w:val="auto"/>
        </w:rPr>
      </w:pPr>
    </w:p>
    <w:p>
      <w:pPr>
        <w:jc w:val="both"/>
        <w:ind w:left="200" w:right="219" w:firstLine="657"/>
        <w:spacing w:after="0" w:line="272" w:lineRule="auto"/>
        <w:tabs>
          <w:tab w:leader="none" w:pos="1496"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Dealings</w:t>
      </w:r>
      <w:r>
        <w:rPr>
          <w:rFonts w:ascii="Arial" w:cs="Arial" w:eastAsia="Arial" w:hAnsi="Arial"/>
          <w:sz w:val="19"/>
          <w:szCs w:val="19"/>
          <w:color w:val="auto"/>
        </w:rPr>
        <w:t>. Agent and any stockholder, director, officer or employee of Agent may</w:t>
      </w:r>
      <w:r>
        <w:rPr>
          <w:rFonts w:ascii="Arial" w:cs="Arial" w:eastAsia="Arial" w:hAnsi="Arial"/>
          <w:sz w:val="19"/>
          <w:szCs w:val="19"/>
          <w:b w:val="1"/>
          <w:bCs w:val="1"/>
          <w:color w:val="auto"/>
        </w:rPr>
        <w:t xml:space="preserve"> </w:t>
      </w:r>
      <w:r>
        <w:rPr>
          <w:rFonts w:ascii="Arial" w:cs="Arial" w:eastAsia="Arial" w:hAnsi="Arial"/>
          <w:sz w:val="19"/>
          <w:szCs w:val="19"/>
          <w:color w:val="auto"/>
        </w:rPr>
        <w:t>buy, sell, and deal in any of the securities of Company, any Dealer or any purchaser of the Commercial Paper Notes and become financially interested in any transaction in which Company, any Dealer or any such purchaser may be interested, and contract and lend money to Company, any Dealer or any such purchaser and otherwise act as fully and freely as though it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5" w:name="page146"/>
    <w:bookmarkEnd w:id="145"/>
    <w:p>
      <w:pPr>
        <w:jc w:val="both"/>
        <w:ind w:left="200" w:right="239"/>
        <w:spacing w:after="0"/>
        <w:rPr>
          <w:sz w:val="20"/>
          <w:szCs w:val="20"/>
          <w:color w:val="auto"/>
        </w:rPr>
      </w:pPr>
      <w:r>
        <w:rPr>
          <w:rFonts w:ascii="Arial" w:cs="Arial" w:eastAsia="Arial" w:hAnsi="Arial"/>
          <w:sz w:val="22"/>
          <w:szCs w:val="22"/>
          <w:color w:val="auto"/>
        </w:rPr>
        <w:t>were not a depositary, issuing or paying agent under this Agreement. Nothing herein shall preclude Agent from acting in any other capacity for Company, any Dealer or any such purchaser or for any other person or entity.</w:t>
      </w:r>
    </w:p>
    <w:p>
      <w:pPr>
        <w:spacing w:after="0" w:line="208" w:lineRule="exact"/>
        <w:rPr>
          <w:sz w:val="20"/>
          <w:szCs w:val="20"/>
          <w:color w:val="auto"/>
        </w:rPr>
      </w:pPr>
    </w:p>
    <w:p>
      <w:pPr>
        <w:jc w:val="both"/>
        <w:ind w:left="200" w:right="219" w:firstLine="657"/>
        <w:spacing w:after="0" w:line="247" w:lineRule="auto"/>
        <w:tabs>
          <w:tab w:leader="none" w:pos="1496" w:val="left"/>
        </w:tabs>
        <w:numPr>
          <w:ilvl w:val="1"/>
          <w:numId w:val="13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Reporting</w:t>
      </w:r>
      <w:r>
        <w:rPr>
          <w:rFonts w:ascii="Arial" w:cs="Arial" w:eastAsia="Arial" w:hAnsi="Arial"/>
          <w:sz w:val="21"/>
          <w:szCs w:val="21"/>
          <w:color w:val="auto"/>
        </w:rPr>
        <w:t>. Agent shall have no responsibility for the tax consequences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Company shall consult with independent counsel concerning any and all tax matters. Company shall provide IRS Form W-9 or Form W-8, as applicable, for each payee, together with any other documentation and information requested by Agent in connection with Agent’s reporting obligations under any applicable U.S. federal law or regulation. If such tax documentation is not so provided, Agent is authorized to withhold taxes as required by applicable U.S. federal law or regulation.</w:t>
      </w:r>
    </w:p>
    <w:p>
      <w:pPr>
        <w:spacing w:after="0" w:line="217" w:lineRule="exact"/>
        <w:rPr>
          <w:rFonts w:ascii="Arial" w:cs="Arial" w:eastAsia="Arial" w:hAnsi="Arial"/>
          <w:sz w:val="21"/>
          <w:szCs w:val="21"/>
          <w:b w:val="1"/>
          <w:bCs w:val="1"/>
          <w:color w:val="auto"/>
        </w:rPr>
      </w:pPr>
    </w:p>
    <w:p>
      <w:pPr>
        <w:jc w:val="both"/>
        <w:ind w:left="200" w:right="219" w:firstLine="657"/>
        <w:spacing w:after="0" w:line="252" w:lineRule="auto"/>
        <w:tabs>
          <w:tab w:leader="none" w:pos="1658" w:val="left"/>
        </w:tabs>
        <w:numPr>
          <w:ilvl w:val="1"/>
          <w:numId w:val="1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TRIAL BY JURY</w:t>
      </w:r>
      <w:r>
        <w:rPr>
          <w:rFonts w:ascii="Arial" w:cs="Arial" w:eastAsia="Arial" w:hAnsi="Arial"/>
          <w:sz w:val="22"/>
          <w:szCs w:val="22"/>
          <w:color w:val="auto"/>
        </w:rPr>
        <w:t>. EACH PARTY 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HEREBY WAIVES ANY RIGHT THAT IT MAY HAVE TO A TRIAL BY JURY ON ANY CLAIM, COUNTERCLAIM, SETOFF, DEMAND, ACTION OR CAUSE OF ACTION ARISING OUT OF OR IN ANY WAY RELATED TO THIS AGREEMENT.</w:t>
      </w:r>
    </w:p>
    <w:p>
      <w:pPr>
        <w:spacing w:after="0" w:line="247" w:lineRule="exact"/>
        <w:rPr>
          <w:rFonts w:ascii="Arial" w:cs="Arial" w:eastAsia="Arial" w:hAnsi="Arial"/>
          <w:sz w:val="22"/>
          <w:szCs w:val="22"/>
          <w:b w:val="1"/>
          <w:bCs w:val="1"/>
          <w:color w:val="auto"/>
        </w:rPr>
      </w:pPr>
    </w:p>
    <w:p>
      <w:pPr>
        <w:jc w:val="both"/>
        <w:ind w:left="200" w:right="219" w:firstLine="657"/>
        <w:spacing w:after="0" w:line="237" w:lineRule="auto"/>
        <w:tabs>
          <w:tab w:leader="none" w:pos="1496" w:val="left"/>
        </w:tabs>
        <w:numPr>
          <w:ilvl w:val="1"/>
          <w:numId w:val="1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Publicity</w:t>
      </w:r>
      <w:r>
        <w:rPr>
          <w:rFonts w:ascii="Arial" w:cs="Arial" w:eastAsia="Arial" w:hAnsi="Arial"/>
          <w:sz w:val="22"/>
          <w:szCs w:val="22"/>
          <w:color w:val="auto"/>
        </w:rPr>
        <w:t>. No party will (a) use any other party’s proprietary indicia, trademarks,</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marks, trade names, logos, symbols, or brand names, or (b) otherwise refer to or identify any other party in advertising, publicity releases, or promotional or marketing publications, or correspondence to third parties without, in each case, securing the prior written consent of such other party.</w:t>
      </w:r>
    </w:p>
    <w:p>
      <w:pPr>
        <w:spacing w:after="0" w:line="208" w:lineRule="exact"/>
        <w:rPr>
          <w:rFonts w:ascii="Arial" w:cs="Arial" w:eastAsia="Arial" w:hAnsi="Arial"/>
          <w:sz w:val="22"/>
          <w:szCs w:val="22"/>
          <w:b w:val="1"/>
          <w:bCs w:val="1"/>
          <w:color w:val="auto"/>
        </w:rPr>
      </w:pPr>
    </w:p>
    <w:p>
      <w:pPr>
        <w:jc w:val="both"/>
        <w:ind w:left="200" w:right="219" w:firstLine="9"/>
        <w:spacing w:after="0" w:line="244" w:lineRule="auto"/>
        <w:tabs>
          <w:tab w:leader="none" w:pos="848"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color w:val="333333"/>
        </w:rPr>
        <w:t xml:space="preserve">Electronic Transmission; Electronic Signatures. </w:t>
      </w:r>
      <w:r>
        <w:rPr>
          <w:rFonts w:ascii="Arial" w:cs="Arial" w:eastAsia="Arial" w:hAnsi="Arial"/>
          <w:sz w:val="21"/>
          <w:szCs w:val="21"/>
          <w:color w:val="333333"/>
        </w:rPr>
        <w:t>Agent shall not have any duty to</w:t>
      </w:r>
      <w:r>
        <w:rPr>
          <w:rFonts w:ascii="Arial" w:cs="Arial" w:eastAsia="Arial" w:hAnsi="Arial"/>
          <w:sz w:val="21"/>
          <w:szCs w:val="21"/>
          <w:b w:val="1"/>
          <w:bCs w:val="1"/>
          <w:color w:val="333333"/>
        </w:rPr>
        <w:t xml:space="preserve"> </w:t>
      </w:r>
      <w:r>
        <w:rPr>
          <w:rFonts w:ascii="Arial" w:cs="Arial" w:eastAsia="Arial" w:hAnsi="Arial"/>
          <w:sz w:val="21"/>
          <w:szCs w:val="21"/>
          <w:color w:val="333333"/>
        </w:rPr>
        <w:t xml:space="preserve">confirm that the person sending any notice, instruction or other communication (a “Notice”) by electronic transmission (including by e-mail, facsimile transmission, web portal or other electronic methods) is, in fact, a person authorized to do so. </w:t>
      </w:r>
      <w:r>
        <w:rPr>
          <w:rFonts w:ascii="Arial" w:cs="Arial" w:eastAsia="Arial" w:hAnsi="Arial"/>
          <w:sz w:val="21"/>
          <w:szCs w:val="21"/>
          <w:color w:val="000000"/>
        </w:rPr>
        <w:t>Electronic signatures believed by Agent to</w:t>
      </w:r>
      <w:r>
        <w:rPr>
          <w:rFonts w:ascii="Arial" w:cs="Arial" w:eastAsia="Arial" w:hAnsi="Arial"/>
          <w:sz w:val="21"/>
          <w:szCs w:val="21"/>
          <w:color w:val="333333"/>
        </w:rPr>
        <w:t xml:space="preserve"> </w:t>
      </w:r>
      <w:r>
        <w:rPr>
          <w:rFonts w:ascii="Arial" w:cs="Arial" w:eastAsia="Arial" w:hAnsi="Arial"/>
          <w:sz w:val="21"/>
          <w:szCs w:val="21"/>
          <w:color w:val="000000"/>
        </w:rPr>
        <w:t xml:space="preserve">comply with the ESIGN Act of 2000 or other applicable law (including electronic images of handwritten signatures and digital signatures provided by DocuSign, Orbit, Adobe Sign or any other digital signature provider acceptable to Agent) shall be deemed original signatures for all purposes. </w:t>
      </w:r>
      <w:r>
        <w:rPr>
          <w:rFonts w:ascii="Arial" w:cs="Arial" w:eastAsia="Arial" w:hAnsi="Arial"/>
          <w:sz w:val="21"/>
          <w:szCs w:val="21"/>
          <w:color w:val="333333"/>
        </w:rPr>
        <w:t>Company assumes all risks arising out of the use of electronic signatures and electronic</w:t>
      </w:r>
      <w:r>
        <w:rPr>
          <w:rFonts w:ascii="Arial" w:cs="Arial" w:eastAsia="Arial" w:hAnsi="Arial"/>
          <w:sz w:val="21"/>
          <w:szCs w:val="21"/>
          <w:color w:val="000000"/>
        </w:rPr>
        <w:t xml:space="preserve"> </w:t>
      </w:r>
      <w:r>
        <w:rPr>
          <w:rFonts w:ascii="Arial" w:cs="Arial" w:eastAsia="Arial" w:hAnsi="Arial"/>
          <w:sz w:val="21"/>
          <w:szCs w:val="21"/>
          <w:color w:val="333333"/>
        </w:rPr>
        <w:t>methods to send Notices to Agent, including without limitation the risk of Agent acting on an unauthorized Notice, and the risk of interception or misuse by third parties. Notwithstanding the foregoing, Agent may in any instance and in its sole discretion require that an original document bearing a manual signature be delivered to Agent in lieu of, or in addition to, any such electronic Notice.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6" w:name="page147"/>
    <w:bookmarkEnd w:id="146"/>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Issuing and Paying Agent Agreement to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and delivered as of the day and year first above written.</w:t>
      </w:r>
    </w:p>
    <w:p>
      <w:pPr>
        <w:spacing w:after="0" w:line="200" w:lineRule="exact"/>
        <w:rPr>
          <w:sz w:val="20"/>
          <w:szCs w:val="20"/>
          <w:color w:val="auto"/>
        </w:rPr>
      </w:pPr>
    </w:p>
    <w:p>
      <w:pPr>
        <w:spacing w:after="0" w:line="2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Waste Management, Inc.</w:t>
      </w:r>
    </w:p>
    <w:p>
      <w:pPr>
        <w:spacing w:after="0" w:line="200" w:lineRule="exact"/>
        <w:rPr>
          <w:sz w:val="20"/>
          <w:szCs w:val="20"/>
          <w:color w:val="auto"/>
        </w:rPr>
      </w:pPr>
    </w:p>
    <w:p>
      <w:pPr>
        <w:spacing w:after="0" w:line="276"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-17780</wp:posOffset>
            </wp:positionV>
            <wp:extent cx="2057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Authorized Officer's Signature</w:t>
      </w:r>
    </w:p>
    <w:p>
      <w:pPr>
        <w:spacing w:after="0" w:line="200" w:lineRule="exact"/>
        <w:rPr>
          <w:sz w:val="20"/>
          <w:szCs w:val="20"/>
          <w:color w:val="auto"/>
        </w:rPr>
      </w:pPr>
    </w:p>
    <w:p>
      <w:pPr>
        <w:spacing w:after="0" w:line="25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David L. Reed</w:t>
      </w:r>
    </w:p>
    <w:p>
      <w:pPr>
        <w:spacing w:after="0" w:line="233"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VP &amp; Treasurer</w:t>
      </w:r>
    </w:p>
    <w:p>
      <w:pPr>
        <w:spacing w:after="0" w:line="23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10/20/22</w:t>
      </w:r>
    </w:p>
    <w:p>
      <w:pPr>
        <w:spacing w:after="0" w:line="200" w:lineRule="exact"/>
        <w:rPr>
          <w:sz w:val="20"/>
          <w:szCs w:val="20"/>
          <w:color w:val="auto"/>
        </w:rPr>
      </w:pPr>
    </w:p>
    <w:p>
      <w:pPr>
        <w:spacing w:after="0" w:line="27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U.S. BANK TRUST COMPANY,</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NATIONAL ASSOCIATION</w:t>
      </w:r>
    </w:p>
    <w:p>
      <w:pPr>
        <w:spacing w:after="0" w:line="200" w:lineRule="exact"/>
        <w:rPr>
          <w:sz w:val="20"/>
          <w:szCs w:val="20"/>
          <w:color w:val="auto"/>
        </w:rPr>
      </w:pPr>
    </w:p>
    <w:p>
      <w:pPr>
        <w:spacing w:after="0" w:line="25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/s/ Michelle Lee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-17780</wp:posOffset>
            </wp:positionV>
            <wp:extent cx="13195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Authorized Officer's Signature</w:t>
      </w:r>
    </w:p>
    <w:p>
      <w:pPr>
        <w:spacing w:after="0" w:line="200" w:lineRule="exact"/>
        <w:rPr>
          <w:sz w:val="20"/>
          <w:szCs w:val="20"/>
          <w:color w:val="auto"/>
        </w:rPr>
      </w:pPr>
    </w:p>
    <w:p>
      <w:pPr>
        <w:spacing w:after="0" w:line="25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Michelle Lee</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w:t>
      </w:r>
    </w:p>
    <w:p>
      <w:pPr>
        <w:spacing w:after="0" w:line="23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37794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10040"/>
          </w:cols>
          <w:pgMar w:left="980" w:top="598" w:right="879" w:bottom="1440" w:gutter="0" w:footer="0" w:header="0"/>
        </w:sectPr>
      </w:pPr>
    </w:p>
    <w:bookmarkStart w:id="147" w:name="page148"/>
    <w:bookmarkEnd w:id="147"/>
    <w:p>
      <w:pPr>
        <w:ind w:left="8020"/>
        <w:spacing w:after="0"/>
        <w:rPr>
          <w:sz w:val="20"/>
          <w:szCs w:val="20"/>
          <w:color w:val="auto"/>
        </w:rPr>
      </w:pPr>
      <w:r>
        <w:rPr>
          <w:rFonts w:ascii="Arial" w:cs="Arial" w:eastAsia="Arial" w:hAnsi="Arial"/>
          <w:sz w:val="16"/>
          <w:szCs w:val="16"/>
          <w:b w:val="1"/>
          <w:bCs w:val="1"/>
          <w:color w:val="auto"/>
        </w:rPr>
        <w:t>Exhibit 21.1</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49"/>
        </w:trPr>
        <w:tc>
          <w:tcPr>
            <w:tcW w:w="532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635952 Ontario Inc.</w:t>
            </w:r>
          </w:p>
        </w:tc>
        <w:tc>
          <w:tcPr>
            <w:tcW w:w="120" w:type="dxa"/>
            <w:vAlign w:val="bottom"/>
            <w:tcBorders>
              <w:top w:val="single" w:sz="8" w:color="CCEEFF"/>
            </w:tcBorders>
            <w:shd w:val="clear" w:color="auto" w:fill="CCEEFF"/>
          </w:tcPr>
          <w:p>
            <w:pPr>
              <w:spacing w:after="0"/>
              <w:rPr>
                <w:sz w:val="12"/>
                <w:szCs w:val="12"/>
                <w:color w:val="auto"/>
              </w:rPr>
            </w:pPr>
          </w:p>
        </w:tc>
        <w:tc>
          <w:tcPr>
            <w:tcW w:w="346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Ontario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ADS Renewable Energy - Stones Throw,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ADS Renewable Energy - Wolf Creek,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ADS Solid Waste of NJ,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New Jersey</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Acquisition Sub,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Recycling Services Atlanta,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Recycling Services Gulf Coast,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Alabama Holdings,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Alabama,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Biloxi MRF,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Birmingham,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Blackfoot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Blue Ridge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Kentucky</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Carolinas,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Cedar Hill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Central Florida,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Cobb County Recycling Facility,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Cranberry Creek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Cypress Acres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East,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Evergreen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Grand Bahama Limited</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New Providence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Hancock County,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Jones Road,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Lancaster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Magnolia Ridge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Maple Hill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Missouri</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Midwest,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Mississippi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Mississippi,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Morehead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Kentucky</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National Accounts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National Accounts,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 Carolina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North Alabama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Oak Ridge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Missouri</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Orchard Hills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Pasco County,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Pecan Row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Pontiac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Renewable Energy,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Rogers Lake,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Solid Waste Leasing Corp.</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Solid Waste Midwest,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Solid Waste Southeast,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South,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Star Ridge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Sumner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Taylor County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Tennessee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Transport,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Valley Meadows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Valley View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Vasko Rubbish Removal,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Vasko Solid Waste,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Services Wayne County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Disposal Services,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Advanced Disposal Subsidiary Holding Company,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Advanced Environmental Technical Services,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Agave Investment Holdings,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Akron Regional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Alabama Waste Disposal Solutions,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Alliance Sanitary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Alpharetta Transfer Station,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American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Ohio</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Ameriwaste,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Anderson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Antelope Valley Recycling and Disposal Facility,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82"/>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Arden Landfill, Inc.</w:t>
            </w:r>
          </w:p>
        </w:tc>
        <w:tc>
          <w:tcPr>
            <w:tcW w:w="346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5"/>
                <w:szCs w:val="15"/>
                <w:color w:val="auto"/>
              </w:rPr>
            </w:pPr>
          </w:p>
        </w:tc>
      </w:tr>
      <w:tr>
        <w:trPr>
          <w:trHeight w:val="527"/>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8" w:name="page149"/>
    <w:bookmarkEnd w:id="14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48"/>
        </w:trPr>
        <w:tc>
          <w:tcPr>
            <w:tcW w:w="532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Atlantic Waste Disposal, Inc.</w:t>
            </w:r>
          </w:p>
        </w:tc>
        <w:tc>
          <w:tcPr>
            <w:tcW w:w="120" w:type="dxa"/>
            <w:vAlign w:val="bottom"/>
            <w:tcBorders>
              <w:top w:val="single" w:sz="8" w:color="CCEEFF"/>
            </w:tcBorders>
            <w:shd w:val="clear" w:color="auto" w:fill="CCEEFF"/>
          </w:tcPr>
          <w:p>
            <w:pPr>
              <w:spacing w:after="0"/>
              <w:rPr>
                <w:sz w:val="12"/>
                <w:szCs w:val="12"/>
                <w:color w:val="auto"/>
              </w:rPr>
            </w:pPr>
          </w:p>
        </w:tc>
        <w:tc>
          <w:tcPr>
            <w:tcW w:w="346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Automated Salvage Transport Co.,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Avalon South,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Azusa Land Reclamation,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B&amp;B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Baton Rouge Renewable Energy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Big Dipper Enterprises,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Blackwood Land Development,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Bluegrass Containment,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Burlington Transfer Station,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Burney Disposal,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Burnsville Sanitary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 Newco,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Cal Sierra Disposal</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Caldwell Partnership,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California Asbestos Monofill,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Canadian Waste Services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Ontario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Capels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Capital Sanitation Company</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Nevada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Capitol Disposal,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Alaska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Carolina Grading,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Caruthers Mill C&amp;D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Cedar Ridge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Central Disposal Systems,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Iowa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CGS Leasing,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CGS Services,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Chadwick Road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Chambers Clearview Environmental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Chambers Development Company,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Chambers Development of Ohio,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Ohio</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Chambers of Georgia,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Chambers of Mississippi,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Chemical Waste Management of Indiana,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Chemical Waste Management of the Northwest,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Washington</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Chemical Waste Management,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Chesser Island Road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City Environmental Services, Inc. of Waters</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Cleburne Landfill Company Corp.</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Coast Waste Management,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Coastal Recyclers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Community Refuse Service,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Connecticut Valley Sanitary Waste Disposal,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Conservation Services,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Continuus Materials Group,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Continuus Materials HoldCo,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Continuus Materials Intellectual Property,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Continuus Materials of Fairless Hills,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Continuus Materials of Iowa,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Continuus Materials of PA,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Continuus Materials,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Coshocton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Ohio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Cougar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Countryside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CR Group,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Utah</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Curtis Creek Recovery Systems,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Cuyahoga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CWM Chemical Services,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Dauphin Meadows,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Deep Valley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Deer Track Park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Deffenbaugh Disposal,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Deffenbaugh Group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Deffenbaugh Industries,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Missouri</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Deffenbaugh of Arkansas,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Kansas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Deffenbaugh Recycling Company,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Kansas</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Del Almo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 Basin Landfills,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Delaware Recyclable Products,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Dickinson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Disposal Service, Incorporated</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West Virginia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DLD Limited Partnership</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2"/>
                <w:szCs w:val="12"/>
                <w:color w:val="auto"/>
              </w:rPr>
            </w:pPr>
          </w:p>
        </w:tc>
      </w:tr>
      <w:tr>
        <w:trPr>
          <w:trHeight w:val="560"/>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149" w:name="page150"/>
    <w:bookmarkEnd w:id="14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48"/>
        </w:trPr>
        <w:tc>
          <w:tcPr>
            <w:tcW w:w="532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color w:val="auto"/>
              </w:rPr>
              <w:t>Dolphin Services &amp; Chemicals, LLC</w:t>
            </w:r>
          </w:p>
        </w:tc>
        <w:tc>
          <w:tcPr>
            <w:tcW w:w="120" w:type="dxa"/>
            <w:vAlign w:val="bottom"/>
          </w:tcPr>
          <w:p>
            <w:pPr>
              <w:spacing w:after="0"/>
              <w:rPr>
                <w:sz w:val="12"/>
                <w:szCs w:val="12"/>
                <w:color w:val="auto"/>
              </w:rPr>
            </w:pPr>
          </w:p>
        </w:tc>
        <w:tc>
          <w:tcPr>
            <w:tcW w:w="346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Dolphin-One,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Earthmovers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East Liverpool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Ohio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Eastern One Land Corporation</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Eco-Safe Systems,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Tennessee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Eco-Vista,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Arkansas</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eCycling Services,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ELDA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Elk River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Energy Injection Services of Mississippi,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Envirofil of Illinois,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EnviroSolutions Dulles,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EnviroSolutions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EnviroSolutions Real Property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Evergreen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Evergreen Recycling and Disposal Facility,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Farm Properties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FDS Disposal II,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Firetower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Fred J. Eckert Sanitary Service,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Oregon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Furnace Associates,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G.I. Industries</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Utah</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 Landfills,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Gallia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Garnet of Maryland,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Gateway Transfer Station,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Georgia Waste Systems,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Giordano Recycling,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Glades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Glen's Sanitary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Grand Central Sanitary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Greenbow,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Greenstar Allentown,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Greenstar Georgia,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Greenstar Managed Services - Connecticut,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Greenstar Managed Services - RLWM,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Illinois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Greenstar Mid-America,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Greenstar New Jersey,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Greenstar Ohio,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Greenstar Paterson,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Greenstar Pittsburgh,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Greenstar Recycled Holdings,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Greenstar,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Guadalupe Mines Mutual Water Company</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Guadalupe Rubbish Disposal Co.,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Ham Lake Haulers,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Harmony Landfill, LP</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Harris Sanitation,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Harwood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Hedco Landfill Limited</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England</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High Mountain Fuels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Highstar Royal Oaks I,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Highstar Royal Oaks II,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Hillsboro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Oregon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Holyoke Sanitary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HWStar Holdings Corp.</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 Landfills,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IWStar Waste Holdings Corp.</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Jahner Sanitation,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Jay County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Jones Road Landfill and Recycling, Ltd.</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K and W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Keene Road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Kelly Run Sanitation,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King George Landfill Properties,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King George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Kirby Canyon Holdings,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L&amp;K Group Holdings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Kansas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Lakeville Recycling, L.P.</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82"/>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Land South Holdings, LLC</w:t>
            </w:r>
          </w:p>
        </w:tc>
        <w:tc>
          <w:tcPr>
            <w:tcW w:w="346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5"/>
                <w:szCs w:val="15"/>
                <w:color w:val="auto"/>
              </w:rPr>
            </w:pPr>
          </w:p>
        </w:tc>
      </w:tr>
      <w:tr>
        <w:trPr>
          <w:trHeight w:val="527"/>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150" w:name="page151"/>
    <w:bookmarkEnd w:id="15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48"/>
        </w:trPr>
        <w:tc>
          <w:tcPr>
            <w:tcW w:w="532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Landfill Services of Charleston, Inc.</w:t>
            </w:r>
          </w:p>
        </w:tc>
        <w:tc>
          <w:tcPr>
            <w:tcW w:w="120" w:type="dxa"/>
            <w:vAlign w:val="bottom"/>
            <w:tcBorders>
              <w:top w:val="single" w:sz="8" w:color="CCEEFF"/>
            </w:tcBorders>
            <w:shd w:val="clear" w:color="auto" w:fill="CCEEFF"/>
          </w:tcPr>
          <w:p>
            <w:pPr>
              <w:spacing w:after="0"/>
              <w:rPr>
                <w:sz w:val="12"/>
                <w:szCs w:val="12"/>
                <w:color w:val="auto"/>
              </w:rPr>
            </w:pPr>
          </w:p>
        </w:tc>
        <w:tc>
          <w:tcPr>
            <w:tcW w:w="346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West Virginia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Landsouth,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Laurel Highlands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LCS Services,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West Virginia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Liberty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Liquid Waste Management,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Longleaf C&amp;D Disposal Facility,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Looney Bins,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Mac Land Disposal, Inc. II</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Mahoning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Ohio</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Mass Gravel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Mc Ginnes Industrial Maintenance Corporation</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McDaniel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McGill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Meadowfill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Michigan Environs,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Midwest One Land Corporation</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Modesto Garbage Co.,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Moor Refuse,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Moretown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Mostoller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Mountain Indemnity Insurance Company</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Mountainview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Utah</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Nassau County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Nassau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National Guaranty Insurance Company of Vermont</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Vermont</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Natura PCR,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 England CR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New Milford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 Orleans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NEWS MA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 Mid-Atlantic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NEWS North East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NEWStar Waste Holdings Corp.</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North East Waste Services,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North East Waste Transport,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New Jersey</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North Manatee Recycling and Disposal Facility,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Northwestern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Nu-Way Live Oak Reclamation,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Oak Grove Disposal Co.,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Oregon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Oakleaf Global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Oakleaf Waste Management,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Oakridge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Oakwood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OGH Acquisition Corporation</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Okeechobee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Old Kings Road Solid Waste,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 Kings Road,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Orla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Ozark Ridge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Arkansas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 &amp; R Environmental Industries,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 Carolina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Pacific Waste Management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Pappy,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Parker Sanitation II,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Pasco Lakes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PDC Disposal Co.,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New Jersey</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Peltz H.C.,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Pen-Rob,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Arizona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People's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Peterson Demolition,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Petro Waste DeWitt-Hohn Disposal Facility LP</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Petro Waste Disposal GP,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Petro Waste Environmental LP</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Petro Waste Holdings LP</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Petro Waste Howard County Disposal Facility LP</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Petro Waste McMullen County Disposal Facility LP</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Petro Waste Pecos County Disposal Facility LP</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Petro Waste Reagan County Disposal Facility LP</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Phoenix Resources,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Pine Grove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Pine Tree Acres,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560"/>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151" w:name="page152"/>
    <w:bookmarkEnd w:id="15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48"/>
        </w:trPr>
        <w:tc>
          <w:tcPr>
            <w:tcW w:w="532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color w:val="auto"/>
              </w:rPr>
              <w:t>Prime Westport, LLC</w:t>
            </w:r>
          </w:p>
        </w:tc>
        <w:tc>
          <w:tcPr>
            <w:tcW w:w="120" w:type="dxa"/>
            <w:vAlign w:val="bottom"/>
          </w:tcPr>
          <w:p>
            <w:pPr>
              <w:spacing w:after="0"/>
              <w:rPr>
                <w:sz w:val="12"/>
                <w:szCs w:val="12"/>
                <w:color w:val="auto"/>
              </w:rPr>
            </w:pPr>
          </w:p>
        </w:tc>
        <w:tc>
          <w:tcPr>
            <w:tcW w:w="346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Quail Hollow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Questquill Limited</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England</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 &amp; B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RAA Colorado,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RAA Trucking,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RCI Hudson,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Recycle America Co.,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Recycle America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Redwood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Refuse Services,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Refuse,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Nevada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Reliable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Remote Landfill Services,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Tennessee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Reno Disposal Co.</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Nevada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Resco Holdings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Resource Control Composting,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Resource Control,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Richland County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Riverbend Landfill Co.</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Oregon</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RTS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Rust Engineering &amp; Construction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Rust International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 &amp; J Landfill Limited Partnership</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 &amp; S Grading,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West Virginia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S&amp;T Materials,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Sanifill de Mexico (US),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Sanitation Services Company Limited</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Bahamas</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SC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Shade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Shawnee Rock Company</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Missouri</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Sierra Estrella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Arizona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Sister's Sanitation Services,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South Hadley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South Suburban,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Southern One Land Corporation</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Southern Waste Services,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Spruce Ridge,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SSI Southland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St. Johnsbury Transfer Station,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St. Paul Haulers,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Stony Hollow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Suburban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Summit Disposal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Summit,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Superior Waste Services of New York City,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New York</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T2L Trucking,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Texarkana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Texas Pack Rat - Austin #1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Texas Pack Rat - Dallas #1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Texas Pack Rat - Houston #1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Texas Pack Rat - Houston #2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Texas Pack Rat - Houston #3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Texas Pack Rat - San Antonio #1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Texas Pack Rat Service Company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The Peltz Group,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The Waste Management Charitable Foundation</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The Woodlands of Van Buren,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TN'T Sands,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Trail Ridge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Transamerican Waste Central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Trash Hunters,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TW PWE GP,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Twin Bridges Golf Club, L.P.</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TX Newco,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United Waste Systems Leasing,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Urban Sanitation Limited</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Bahamas</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USA South Hills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USA Valley Facility,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USA Waste Geneva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82"/>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USA Waste Landfill Operations and Transfer, Inc.</w:t>
            </w:r>
          </w:p>
        </w:tc>
        <w:tc>
          <w:tcPr>
            <w:tcW w:w="3460" w:type="dxa"/>
            <w:vAlign w:val="bottom"/>
          </w:tcPr>
          <w:p>
            <w:pPr>
              <w:ind w:left="20"/>
              <w:spacing w:after="0"/>
              <w:rPr>
                <w:sz w:val="20"/>
                <w:szCs w:val="20"/>
                <w:color w:val="auto"/>
              </w:rPr>
            </w:pPr>
            <w:r>
              <w:rPr>
                <w:rFonts w:ascii="Arial" w:cs="Arial" w:eastAsia="Arial" w:hAnsi="Arial"/>
                <w:sz w:val="14"/>
                <w:szCs w:val="14"/>
                <w:color w:val="auto"/>
              </w:rPr>
              <w:t>Texas</w:t>
            </w:r>
          </w:p>
        </w:tc>
        <w:tc>
          <w:tcPr>
            <w:tcW w:w="20" w:type="dxa"/>
            <w:vAlign w:val="bottom"/>
          </w:tcPr>
          <w:p>
            <w:pPr>
              <w:spacing w:after="0"/>
              <w:rPr>
                <w:sz w:val="15"/>
                <w:szCs w:val="15"/>
                <w:color w:val="auto"/>
              </w:rPr>
            </w:pPr>
          </w:p>
        </w:tc>
      </w:tr>
      <w:tr>
        <w:trPr>
          <w:trHeight w:val="527"/>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152" w:name="page153"/>
    <w:bookmarkEnd w:id="15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48"/>
        </w:trPr>
        <w:tc>
          <w:tcPr>
            <w:tcW w:w="532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USA Waste of California, Inc.</w:t>
            </w:r>
          </w:p>
        </w:tc>
        <w:tc>
          <w:tcPr>
            <w:tcW w:w="120" w:type="dxa"/>
            <w:vAlign w:val="bottom"/>
            <w:tcBorders>
              <w:top w:val="single" w:sz="8" w:color="CCEEFF"/>
            </w:tcBorders>
            <w:shd w:val="clear" w:color="auto" w:fill="CCEEFF"/>
          </w:tcPr>
          <w:p>
            <w:pPr>
              <w:spacing w:after="0"/>
              <w:rPr>
                <w:sz w:val="12"/>
                <w:szCs w:val="12"/>
                <w:color w:val="auto"/>
              </w:rPr>
            </w:pPr>
          </w:p>
        </w:tc>
        <w:tc>
          <w:tcPr>
            <w:tcW w:w="346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USA Waste of Texas Landfills,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USA Waste of Virginia Landfills,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USA Waste Services of NYC,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USA Waste-Management Resources,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New York</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USA-Crinc,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USB LIHTC Fund 2010-1,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USB LIHTC-NMTC FUND 2018-2,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USB LIHTC-NMTC FUND 2019-1,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USB LIHTC-NMTC Fund 2022-1,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UWS Barre,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Valley Garbage and Rubbish Company,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Vermont Hauling,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Vern's Refuse Service,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Vickery Environmental,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Ohio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Vista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Voyageur Disposal Processing,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Waitsfield Transfer Station,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Warner Company</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Away Group,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Arizona Landfills,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Buckeye,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Collection and Recycling,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Disposal Services of Colorado,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Disposal Services of Maine,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Maine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Disposal Services of Maryland,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Disposal Services of Massachusetts,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Disposal Services of Oregon,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Disposal Services of Pennsylvania,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Disposal Services of Virginia,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Energy Services of Texas,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Inc. of Florida</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Indycoke,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International,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Milam Property,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National Services,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National Transportation Services,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Alameda County,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Alaska,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Arizona,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Arkansas,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California,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Canada Corporation</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Nova Scotia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Carolinas,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 Carolina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Colorado,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Connecticut,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Delaware,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Fairless,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Five Oaks Recycling and Disposal Facility,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Georgia,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Hawaii,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Idaho,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Idaho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Illinois,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Indiana Holdings One,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Indiana Holdings Two,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Indiana,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Iowa,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Iowa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Kansas,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Kansas</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Kentucky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Kentucky,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Leon County,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Florida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Londonderry,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Louisiana Holdings One,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Louisiana,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Maine,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Maine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Maryland,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Maryland</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Massachusetts,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Metro Atlanta,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Michigan,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Minnesota,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Minnesota</w:t>
            </w:r>
          </w:p>
        </w:tc>
        <w:tc>
          <w:tcPr>
            <w:tcW w:w="20" w:type="dxa"/>
            <w:vAlign w:val="bottom"/>
          </w:tcPr>
          <w:p>
            <w:pPr>
              <w:spacing w:after="0"/>
              <w:rPr>
                <w:sz w:val="12"/>
                <w:szCs w:val="12"/>
                <w:color w:val="auto"/>
              </w:rPr>
            </w:pPr>
          </w:p>
        </w:tc>
      </w:tr>
      <w:tr>
        <w:trPr>
          <w:trHeight w:val="560"/>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153" w:name="page154"/>
    <w:bookmarkEnd w:id="15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48"/>
        </w:trPr>
        <w:tc>
          <w:tcPr>
            <w:tcW w:w="532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color w:val="auto"/>
              </w:rPr>
              <w:t>Waste Management of Mississippi, Inc.</w:t>
            </w:r>
          </w:p>
        </w:tc>
        <w:tc>
          <w:tcPr>
            <w:tcW w:w="120" w:type="dxa"/>
            <w:vAlign w:val="bottom"/>
          </w:tcPr>
          <w:p>
            <w:pPr>
              <w:spacing w:after="0"/>
              <w:rPr>
                <w:sz w:val="12"/>
                <w:szCs w:val="12"/>
                <w:color w:val="auto"/>
              </w:rPr>
            </w:pPr>
          </w:p>
        </w:tc>
        <w:tc>
          <w:tcPr>
            <w:tcW w:w="346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Missouri,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Montana,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Nebraska,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Nevada,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Nevada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New Hampshire,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Connecticut</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New Jersey,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New Mexico,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New Mexico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New York,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North Dakota,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Ohio,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Ohio</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Oklahoma,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Oklahoma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Oregon,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Oregon</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Pennsylvania Gas Recovery,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Pennsylvania,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Rhode Island,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South Carolina,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South Carolina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South Dakota,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South Dakota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Texas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Texas,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Tunica Landfill,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Utah,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Utah</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Virginia,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Virginia</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Washington,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West Virginia,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of Wisconsin,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Wisconsin</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of Wyoming,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Partners,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Recycling and Disposal Services of California,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Recycling of New Jersey,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 Service Center,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Waste Management, Inc. of Tennessee</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Tennessee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Waste Management-Green Ridge RDF,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WBLF Acquisition Company,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Western One Land Corporation</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Western Waste Industries</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California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Western Waste of Texas,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Westminster Land Acquisition,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Massachusetts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Wheelabrator Technologies International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White Lake Landfill,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Michigan</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Willow Oak Landfill,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Georgia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Avon,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Bagco,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Billerica,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Biloxi Hauling,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Mississippi</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Biloxi Transfer Station,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Boston CORE,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CCP Solutions,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Compactor Solutions,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Arizona</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Conversion Fund,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Corporate Services,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Curbside,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DC 1,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Dutch Holdings B.V.</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Netherlands</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Emergency Employee Support Fund,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Energy Resources,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Energy Services Holdings,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Energy Services of Ohio,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Ohio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Energy Solutions,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European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Green Squad,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GreenOps,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GTL JV Holdings,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GTL,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GTL,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Healthcare Solutions,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Illinois Renewable Energy,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Intellectual Property Holdings,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International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KS Energy Resources,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82"/>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WM LampTracker, Inc.</w:t>
            </w:r>
          </w:p>
        </w:tc>
        <w:tc>
          <w:tcPr>
            <w:tcW w:w="3460" w:type="dxa"/>
            <w:vAlign w:val="bottom"/>
          </w:tcPr>
          <w:p>
            <w:pPr>
              <w:ind w:left="20"/>
              <w:spacing w:after="0"/>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5"/>
                <w:szCs w:val="15"/>
                <w:color w:val="auto"/>
              </w:rPr>
            </w:pPr>
          </w:p>
        </w:tc>
      </w:tr>
      <w:tr>
        <w:trPr>
          <w:trHeight w:val="527"/>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154" w:name="page155"/>
    <w:bookmarkEnd w:id="15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4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148"/>
        </w:trPr>
        <w:tc>
          <w:tcPr>
            <w:tcW w:w="532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WM Landfills of Ohio, Inc.</w:t>
            </w:r>
          </w:p>
        </w:tc>
        <w:tc>
          <w:tcPr>
            <w:tcW w:w="120" w:type="dxa"/>
            <w:vAlign w:val="bottom"/>
            <w:tcBorders>
              <w:top w:val="single" w:sz="8" w:color="CCEEFF"/>
            </w:tcBorders>
            <w:shd w:val="clear" w:color="auto" w:fill="CCEEFF"/>
          </w:tcPr>
          <w:p>
            <w:pPr>
              <w:spacing w:after="0"/>
              <w:rPr>
                <w:sz w:val="12"/>
                <w:szCs w:val="12"/>
                <w:color w:val="auto"/>
              </w:rPr>
            </w:pPr>
          </w:p>
        </w:tc>
        <w:tc>
          <w:tcPr>
            <w:tcW w:w="346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Landfills of Tennessee,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Leasing of Arizona,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Leasing of Texas, L.P.</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Leasing Services of Texas,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LNG,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Logistics,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Middle Tennessee Environmental Center,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Mobile Bay Environmental Center,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National Field Services,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ND Energy Resources II,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ND Energy Resources,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Nevada Renewable Energy,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North Broward,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of North Dakota Energy Disposal Solutions,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 Dakota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Organic Growth,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Organics,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PA Holdings,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Pack-Rat of California,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Pack-Rat of Illinois,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Pack-Rat of Kentucky,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Pack-Rat of Maryland,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Pack-Rat of Massachusetts,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Pack-Rat of Michigan,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Pack-Rat of Nevada,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Pack-Rat of Ohio,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Pack-Rat of Rhode Island,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Pack-Rat,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Partnership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Phoenix Energy Resources,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PRG,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Propane,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Quebec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Federally Chartered</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RA Canada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Ontario</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Recycle America,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Recycle Europe,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Recycling Latin America,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Refined Coal,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Renewable Energy,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Resource Recovery &amp; Recycling Center,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Resources,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Pennsylvania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Safety Services,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Security Services,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Storage II,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Storage,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Texas Pack Rat,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Transport of Indiana,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Indiana</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Trash Monitor Plus,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TX Energy Resources II,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TX Energy Resources,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Universal Solutions Private Limited</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India</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Waste,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WY Energy Resources II,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 WY Energy Resources III,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 WY Energy Resources,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WMI Mexico Holdings,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WMNA Container Recycling,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WMRE of Kentucky,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WMRE of Michigan,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WMRE of Ohio, LLC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WMRE of Ohio-American,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WMSALSA,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Texas</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Wolf Creek Landfill, LLC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WSI Medical Waste Systems,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9"/>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WSI of New York,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WTI Air Pollution Control Inc.</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148"/>
        </w:trPr>
        <w:tc>
          <w:tcPr>
            <w:tcW w:w="5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WTI Rust Holdings Inc.</w:t>
            </w:r>
          </w:p>
        </w:tc>
        <w:tc>
          <w:tcPr>
            <w:tcW w:w="3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Delaware</w:t>
            </w:r>
          </w:p>
        </w:tc>
        <w:tc>
          <w:tcPr>
            <w:tcW w:w="20" w:type="dxa"/>
            <w:vAlign w:val="bottom"/>
          </w:tcPr>
          <w:p>
            <w:pPr>
              <w:spacing w:after="0"/>
              <w:rPr>
                <w:sz w:val="12"/>
                <w:szCs w:val="12"/>
                <w:color w:val="auto"/>
              </w:rPr>
            </w:pPr>
          </w:p>
        </w:tc>
      </w:tr>
      <w:tr>
        <w:trPr>
          <w:trHeight w:val="777"/>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December 31, 2022,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6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5/8/2014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5/15/2024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3.125%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5/16/2016</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5/15/2023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3.15%</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5/22/2019</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7/15/2049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0.75%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1.50%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3/15/2031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11/15/2050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2.00%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6/1/2041</w:t>
            </w:r>
          </w:p>
        </w:tc>
        <w:tc>
          <w:tcPr>
            <w:tcW w:w="0" w:type="dxa"/>
            <w:vAlign w:val="bottom"/>
          </w:tcPr>
          <w:p>
            <w:pPr>
              <w:spacing w:after="0"/>
              <w:rPr>
                <w:sz w:val="1"/>
                <w:szCs w:val="1"/>
                <w:color w:val="auto"/>
              </w:rPr>
            </w:pP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5/12/2022</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4/15/2032</w:t>
            </w:r>
          </w:p>
        </w:tc>
        <w:tc>
          <w:tcPr>
            <w:tcW w:w="0" w:type="dxa"/>
            <w:vAlign w:val="bottom"/>
          </w:tcPr>
          <w:p>
            <w:pPr>
              <w:spacing w:after="0"/>
              <w:rPr>
                <w:sz w:val="1"/>
                <w:szCs w:val="1"/>
                <w:color w:val="auto"/>
              </w:rPr>
            </w:pPr>
          </w:p>
        </w:tc>
      </w:tr>
      <w:tr>
        <w:trPr>
          <w:trHeight w:val="749"/>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56" w:name="page157"/>
    <w:bookmarkEnd w:id="156"/>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80" w:right="59" w:hanging="9"/>
        <w:spacing w:after="0" w:line="308" w:lineRule="auto"/>
        <w:tabs>
          <w:tab w:leader="none" w:pos="54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Registration Statement (Form S-8 No. 333-240211) of Waste Management, Inc. pertaining to the issuance of shares of common stock pursuant to the Waste Management, Inc. Employee Stock Purchase Plan,</w:t>
      </w:r>
    </w:p>
    <w:p>
      <w:pPr>
        <w:spacing w:after="0" w:line="146" w:lineRule="exact"/>
        <w:rPr>
          <w:rFonts w:ascii="Arial" w:cs="Arial" w:eastAsia="Arial" w:hAnsi="Arial"/>
          <w:sz w:val="17"/>
          <w:szCs w:val="17"/>
          <w:color w:val="auto"/>
        </w:rPr>
      </w:pPr>
    </w:p>
    <w:p>
      <w:pPr>
        <w:ind w:left="280" w:right="59" w:hanging="9"/>
        <w:spacing w:after="0" w:line="277" w:lineRule="auto"/>
        <w:tabs>
          <w:tab w:leader="none" w:pos="54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Registration Statement (Form S-8 No. 333-195980) of Waste Management, Inc. pertaining to the issuance of shares of common stock pursuant to the 2014 Stock Incentive Plan,</w:t>
      </w:r>
    </w:p>
    <w:p>
      <w:pPr>
        <w:spacing w:after="0" w:line="170" w:lineRule="exact"/>
        <w:rPr>
          <w:rFonts w:ascii="Arial" w:cs="Arial" w:eastAsia="Arial" w:hAnsi="Arial"/>
          <w:sz w:val="18"/>
          <w:szCs w:val="18"/>
          <w:color w:val="auto"/>
        </w:rPr>
      </w:pPr>
    </w:p>
    <w:p>
      <w:pPr>
        <w:ind w:left="280" w:right="59" w:hanging="9"/>
        <w:spacing w:after="0" w:line="277" w:lineRule="auto"/>
        <w:tabs>
          <w:tab w:leader="none" w:pos="54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Registration Statement (Form S-8 No. 333-253683) of Waste Management, Inc. pertaining to the issuance of shares of common stock pursuant to the Waste Management Retirement Savings Plan,</w:t>
      </w:r>
    </w:p>
    <w:p>
      <w:pPr>
        <w:spacing w:after="0" w:line="170" w:lineRule="exact"/>
        <w:rPr>
          <w:rFonts w:ascii="Arial" w:cs="Arial" w:eastAsia="Arial" w:hAnsi="Arial"/>
          <w:sz w:val="18"/>
          <w:szCs w:val="18"/>
          <w:color w:val="auto"/>
        </w:rPr>
      </w:pPr>
    </w:p>
    <w:p>
      <w:pPr>
        <w:ind w:left="280" w:right="59" w:hanging="9"/>
        <w:spacing w:after="0" w:line="277" w:lineRule="auto"/>
        <w:tabs>
          <w:tab w:leader="none" w:pos="5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w:t>
      </w:r>
    </w:p>
    <w:p>
      <w:pPr>
        <w:spacing w:after="0" w:line="170" w:lineRule="exact"/>
        <w:rPr>
          <w:rFonts w:ascii="Arial" w:cs="Arial" w:eastAsia="Arial" w:hAnsi="Arial"/>
          <w:sz w:val="18"/>
          <w:szCs w:val="18"/>
          <w:color w:val="auto"/>
        </w:rPr>
      </w:pPr>
    </w:p>
    <w:p>
      <w:pPr>
        <w:ind w:left="280" w:right="79" w:hanging="9"/>
        <w:spacing w:after="0" w:line="342" w:lineRule="auto"/>
        <w:tabs>
          <w:tab w:leader="none" w:pos="58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Registration Statement (Form S-8 No. 333-159476 and Post-Effective Amendment No. 1 thereto) of Waste Management, Inc. pertaining to the issuance of shares of common stock pursuant to the 2009 Stock Incentive Plan, and</w:t>
      </w:r>
    </w:p>
    <w:p>
      <w:pPr>
        <w:spacing w:after="0" w:line="123" w:lineRule="exact"/>
        <w:rPr>
          <w:rFonts w:ascii="Arial" w:cs="Arial" w:eastAsia="Arial" w:hAnsi="Arial"/>
          <w:sz w:val="16"/>
          <w:szCs w:val="16"/>
          <w:color w:val="auto"/>
        </w:rPr>
      </w:pPr>
    </w:p>
    <w:p>
      <w:pPr>
        <w:ind w:left="520" w:hanging="249"/>
        <w:spacing w:after="0"/>
        <w:tabs>
          <w:tab w:leader="none" w:pos="5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Registration Statement (Form S-3 Automatic Shelf Registration No. 333-264493) of Waste Management, Inc.,</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of our reports dated February 7, 2023, with respect to the consolidated financial statements of Waste Management, Inc. and the effectiveness of internal control over financial reporting of Waste Management, Inc. included in this Annual Report (Form 10-K) of Waste Management, Inc. for the year ended December 31, 2022.</w:t>
      </w: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7" w:name="page158"/>
    <w:bookmarkEnd w:id="15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760" w:hanging="269"/>
        <w:spacing w:after="0"/>
        <w:tabs>
          <w:tab w:leader="none" w:pos="7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5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60" w:right="59" w:firstLine="431"/>
        <w:spacing w:after="0" w:line="263" w:lineRule="auto"/>
        <w:tabs>
          <w:tab w:leader="none" w:pos="69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59" w:firstLine="431"/>
        <w:spacing w:after="0" w:line="286" w:lineRule="auto"/>
        <w:tabs>
          <w:tab w:leader="none" w:pos="72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5" w:lineRule="exact"/>
        <w:rPr>
          <w:sz w:val="20"/>
          <w:szCs w:val="20"/>
          <w:color w:val="auto"/>
        </w:rPr>
      </w:pPr>
    </w:p>
    <w:p>
      <w:pPr>
        <w:jc w:val="both"/>
        <w:ind w:left="500" w:right="59" w:firstLine="441"/>
        <w:spacing w:after="0" w:line="259"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sz w:val="20"/>
          <w:szCs w:val="20"/>
          <w:color w:val="auto"/>
        </w:rPr>
      </w:pPr>
    </w:p>
    <w:p>
      <w:pPr>
        <w:jc w:val="both"/>
        <w:ind w:left="500" w:right="59" w:firstLine="441"/>
        <w:spacing w:after="0" w:line="259"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sz w:val="20"/>
          <w:szCs w:val="20"/>
          <w:color w:val="auto"/>
        </w:rPr>
      </w:pPr>
    </w:p>
    <w:p>
      <w:pPr>
        <w:jc w:val="both"/>
        <w:ind w:left="500" w:right="59" w:firstLine="441"/>
        <w:spacing w:after="0" w:line="263"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sz w:val="20"/>
          <w:szCs w:val="20"/>
          <w:color w:val="auto"/>
        </w:rPr>
      </w:pPr>
    </w:p>
    <w:p>
      <w:pPr>
        <w:jc w:val="both"/>
        <w:ind w:left="500" w:right="59" w:firstLine="441"/>
        <w:spacing w:after="0" w:line="259"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60" w:lineRule="exact"/>
        <w:rPr>
          <w:sz w:val="20"/>
          <w:szCs w:val="20"/>
          <w:color w:val="auto"/>
        </w:rPr>
      </w:pPr>
    </w:p>
    <w:p>
      <w:pPr>
        <w:jc w:val="both"/>
        <w:ind w:left="60" w:right="79" w:firstLine="431"/>
        <w:spacing w:after="0" w:line="263" w:lineRule="auto"/>
        <w:tabs>
          <w:tab w:leader="none" w:pos="75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sz w:val="20"/>
          <w:szCs w:val="20"/>
          <w:color w:val="auto"/>
        </w:rPr>
      </w:pPr>
    </w:p>
    <w:p>
      <w:pPr>
        <w:jc w:val="both"/>
        <w:ind w:left="500" w:right="59" w:firstLine="441"/>
        <w:spacing w:after="0" w:line="263"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sz w:val="20"/>
          <w:szCs w:val="20"/>
          <w:color w:val="auto"/>
        </w:rPr>
      </w:pPr>
    </w:p>
    <w:p>
      <w:pPr>
        <w:jc w:val="both"/>
        <w:ind w:left="500" w:right="59" w:firstLine="441"/>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C. FISH, JR.</w:t>
            </w:r>
          </w:p>
        </w:tc>
      </w:tr>
      <w:tr>
        <w:trPr>
          <w:trHeight w:val="195"/>
        </w:trPr>
        <w:tc>
          <w:tcPr>
            <w:tcW w:w="36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58" w:name="page159"/>
    <w:bookmarkEnd w:id="15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760" w:hanging="269"/>
        <w:spacing w:after="0"/>
        <w:tabs>
          <w:tab w:leader="none" w:pos="7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60" w:right="59" w:firstLine="431"/>
        <w:spacing w:after="0" w:line="263" w:lineRule="auto"/>
        <w:tabs>
          <w:tab w:leader="none" w:pos="69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59" w:firstLine="431"/>
        <w:spacing w:after="0" w:line="286" w:lineRule="auto"/>
        <w:tabs>
          <w:tab w:leader="none" w:pos="72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5" w:lineRule="exact"/>
        <w:rPr>
          <w:sz w:val="20"/>
          <w:szCs w:val="20"/>
          <w:color w:val="auto"/>
        </w:rPr>
      </w:pPr>
    </w:p>
    <w:p>
      <w:pPr>
        <w:jc w:val="both"/>
        <w:ind w:left="500" w:right="59" w:firstLine="441"/>
        <w:spacing w:after="0" w:line="259"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sz w:val="20"/>
          <w:szCs w:val="20"/>
          <w:color w:val="auto"/>
        </w:rPr>
      </w:pPr>
    </w:p>
    <w:p>
      <w:pPr>
        <w:jc w:val="both"/>
        <w:ind w:left="500" w:right="59" w:firstLine="441"/>
        <w:spacing w:after="0" w:line="259"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sz w:val="20"/>
          <w:szCs w:val="20"/>
          <w:color w:val="auto"/>
        </w:rPr>
      </w:pPr>
    </w:p>
    <w:p>
      <w:pPr>
        <w:jc w:val="both"/>
        <w:ind w:left="500" w:right="59" w:firstLine="441"/>
        <w:spacing w:after="0" w:line="263"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sz w:val="20"/>
          <w:szCs w:val="20"/>
          <w:color w:val="auto"/>
        </w:rPr>
      </w:pPr>
    </w:p>
    <w:p>
      <w:pPr>
        <w:jc w:val="both"/>
        <w:ind w:left="500" w:right="59" w:firstLine="441"/>
        <w:spacing w:after="0" w:line="259"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60" w:lineRule="exact"/>
        <w:rPr>
          <w:sz w:val="20"/>
          <w:szCs w:val="20"/>
          <w:color w:val="auto"/>
        </w:rPr>
      </w:pPr>
    </w:p>
    <w:p>
      <w:pPr>
        <w:jc w:val="both"/>
        <w:ind w:left="60" w:right="79" w:firstLine="431"/>
        <w:spacing w:after="0" w:line="263" w:lineRule="auto"/>
        <w:tabs>
          <w:tab w:leader="none" w:pos="75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sz w:val="20"/>
          <w:szCs w:val="20"/>
          <w:color w:val="auto"/>
        </w:rPr>
      </w:pPr>
    </w:p>
    <w:p>
      <w:pPr>
        <w:jc w:val="both"/>
        <w:ind w:left="500" w:right="59" w:firstLine="441"/>
        <w:spacing w:after="0" w:line="263"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sz w:val="20"/>
          <w:szCs w:val="20"/>
          <w:color w:val="auto"/>
        </w:rPr>
      </w:pPr>
    </w:p>
    <w:p>
      <w:pPr>
        <w:jc w:val="both"/>
        <w:ind w:left="500" w:right="59" w:firstLine="441"/>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8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9" w:name="page160"/>
    <w:bookmarkEnd w:id="15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2022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C. FISH, JR.</w:t>
            </w:r>
          </w:p>
        </w:tc>
      </w:tr>
      <w:tr>
        <w:trPr>
          <w:trHeight w:val="195"/>
        </w:trPr>
        <w:tc>
          <w:tcPr>
            <w:tcW w:w="3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60" w:name="page161"/>
    <w:bookmarkEnd w:id="160"/>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2022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00" w:type="dxa"/>
            <w:vAlign w:val="bottom"/>
          </w:tcPr>
          <w:p>
            <w:pPr>
              <w:spacing w:after="0"/>
              <w:rPr>
                <w:sz w:val="16"/>
                <w:szCs w:val="16"/>
                <w:color w:val="auto"/>
              </w:rPr>
            </w:pPr>
          </w:p>
        </w:tc>
        <w:tc>
          <w:tcPr>
            <w:tcW w:w="4140" w:type="dxa"/>
            <w:vAlign w:val="bottom"/>
          </w:tcPr>
          <w:p>
            <w:pPr>
              <w:ind w:left="148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1" w:name="page162"/>
    <w:bookmarkEnd w:id="161"/>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During the year ended December 31, 2022,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addition, during the year ended December 31, 2022,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1)"/>
      <w:numFmt w:val="lowerRoman"/>
      <w:start w:val="3"/>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emdash "/>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1)"/>
      <w:numFmt w:val="lowerLetter"/>
      <w:start w:val="1"/>
    </w:lvl>
  </w:abstractNum>
  <w:abstractNum w:abstractNumId="15">
    <w:nsid w:val="A0382C5"/>
    <w:multiLevelType w:val="hybridMultilevel"/>
    <w:lvl w:ilvl="0">
      <w:lvlJc w:val="left"/>
      <w:lvlText w:val="●"/>
      <w:numFmt w:val="bullet"/>
      <w:start w:val="1"/>
    </w:lvl>
    <w:lvl w:ilvl="1">
      <w:lvlJc w:val="left"/>
      <w:lvlText w:val="(%2)"/>
      <w:numFmt w:val="lowerRoman"/>
      <w:start w:val="2"/>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1)"/>
      <w:numFmt w:val="lowerLetter"/>
      <w:start w:val="1"/>
    </w:lvl>
  </w:abstractNum>
  <w:abstractNum w:abstractNumId="18">
    <w:nsid w:val="3B0FD379"/>
    <w:multiLevelType w:val="hybridMultilevel"/>
    <w:lvl w:ilvl="0">
      <w:lvlJc w:val="left"/>
      <w:lvlText w:val="(%1)"/>
      <w:numFmt w:val="lowerLetter"/>
      <w:start w:val="1"/>
    </w:lvl>
  </w:abstractNum>
  <w:abstractNum w:abstractNumId="19">
    <w:nsid w:val="68EB2F63"/>
    <w:multiLevelType w:val="hybridMultilevel"/>
    <w:lvl w:ilvl="0">
      <w:lvlJc w:val="left"/>
      <w:lvlText w:val="(%1)"/>
      <w:numFmt w:val="lowerRoman"/>
      <w:start w:val="3"/>
    </w:lvl>
  </w:abstractNum>
  <w:abstractNum w:abstractNumId="20">
    <w:nsid w:val="4962813B"/>
    <w:multiLevelType w:val="hybridMultilevel"/>
    <w:lvl w:ilvl="0">
      <w:lvlJc w:val="left"/>
      <w:lvlText w:val="(%1)"/>
      <w:numFmt w:val="lowerRoman"/>
      <w:start w:val="5"/>
    </w:lvl>
  </w:abstractNum>
  <w:abstractNum w:abstractNumId="21">
    <w:nsid w:val="60B6DF70"/>
    <w:multiLevelType w:val="hybridMultilevel"/>
    <w:lvl w:ilvl="0">
      <w:lvlJc w:val="left"/>
      <w:lvlText w:val="(%1)"/>
      <w:numFmt w:val="lowerRoman"/>
      <w:start w:val="5"/>
    </w:lvl>
  </w:abstractNum>
  <w:abstractNum w:abstractNumId="22">
    <w:nsid w:val="6A5EE64"/>
    <w:multiLevelType w:val="hybridMultilevel"/>
    <w:lvl w:ilvl="0">
      <w:lvlJc w:val="left"/>
      <w:lvlText w:val="(%1)"/>
      <w:numFmt w:val="lowerRoman"/>
      <w:start w:val="1"/>
    </w:lvl>
  </w:abstractNum>
  <w:abstractNum w:abstractNumId="23">
    <w:nsid w:val="14330624"/>
    <w:multiLevelType w:val="hybridMultilevel"/>
    <w:lvl w:ilvl="0">
      <w:lvlJc w:val="left"/>
      <w:lvlText w:val="(%1)"/>
      <w:numFmt w:val="lowerRoman"/>
      <w:start w:val="1"/>
    </w:lvl>
  </w:abstractNum>
  <w:abstractNum w:abstractNumId="24">
    <w:nsid w:val="7FFFCA11"/>
    <w:multiLevelType w:val="hybridMultilevel"/>
    <w:lvl w:ilvl="0">
      <w:lvlJc w:val="left"/>
      <w:lvlText w:val="(%1)"/>
      <w:numFmt w:val="lowerRoman"/>
      <w:start w:val="3"/>
    </w:lvl>
  </w:abstractNum>
  <w:abstractNum w:abstractNumId="25">
    <w:nsid w:val="1A27709E"/>
    <w:multiLevelType w:val="hybridMultilevel"/>
    <w:lvl w:ilvl="0">
      <w:lvlJc w:val="left"/>
      <w:lvlText w:val="(%1)"/>
      <w:numFmt w:val="lowerLetter"/>
      <w:start w:val="1"/>
    </w:lvl>
  </w:abstractNum>
  <w:abstractNum w:abstractNumId="26">
    <w:nsid w:val="71EA1109"/>
    <w:multiLevelType w:val="hybridMultilevel"/>
    <w:lvl w:ilvl="0">
      <w:lvlJc w:val="left"/>
      <w:lvlText w:val="●"/>
      <w:numFmt w:val="bullet"/>
      <w:start w:val="1"/>
    </w:lvl>
    <w:lvl w:ilvl="1">
      <w:lvlJc w:val="left"/>
      <w:lvlText w:val="(%2)"/>
      <w:numFmt w:val="lowerRoman"/>
      <w:start w:val="1"/>
    </w:lvl>
  </w:abstractNum>
  <w:abstractNum w:abstractNumId="27">
    <w:nsid w:val="100F59DC"/>
    <w:multiLevelType w:val="hybridMultilevel"/>
    <w:lvl w:ilvl="0">
      <w:lvlJc w:val="left"/>
      <w:lvlText w:val="●"/>
      <w:numFmt w:val="bullet"/>
      <w:start w:val="1"/>
    </w:lvl>
    <w:lvl w:ilvl="1">
      <w:lvlJc w:val="left"/>
      <w:lvlText w:val="(%2)"/>
      <w:numFmt w:val="lowerRoman"/>
      <w:start w:val="2"/>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1)"/>
      <w:numFmt w:val="lowerLetter"/>
      <w:start w:val="1"/>
    </w:lvl>
  </w:abstractNum>
  <w:abstractNum w:abstractNumId="31">
    <w:nsid w:val="94211F2"/>
    <w:multiLevelType w:val="hybridMultilevel"/>
    <w:lvl w:ilvl="0">
      <w:lvlJc w:val="left"/>
      <w:lvlText w:val="(%1)"/>
      <w:numFmt w:val="lowerLetter"/>
      <w:start w:val="4"/>
    </w:lvl>
  </w:abstractNum>
  <w:abstractNum w:abstractNumId="32">
    <w:nsid w:val="885E1B"/>
    <w:multiLevelType w:val="hybridMultilevel"/>
    <w:lvl w:ilvl="0">
      <w:lvlJc w:val="left"/>
      <w:lvlText w:val="(%1)"/>
      <w:numFmt w:val="lowerLetter"/>
      <w:start w:val="1"/>
    </w:lvl>
  </w:abstractNum>
  <w:abstractNum w:abstractNumId="33">
    <w:nsid w:val="76272110"/>
    <w:multiLevelType w:val="hybridMultilevel"/>
    <w:lvl w:ilvl="0">
      <w:lvlJc w:val="left"/>
      <w:lvlText w:val="(%1)"/>
      <w:numFmt w:val="lowerLetter"/>
      <w:start w:val="1"/>
    </w:lvl>
  </w:abstractNum>
  <w:abstractNum w:abstractNumId="34">
    <w:nsid w:val="4C04A8AF"/>
    <w:multiLevelType w:val="hybridMultilevel"/>
    <w:lvl w:ilvl="0">
      <w:lvlJc w:val="left"/>
      <w:lvlText w:val="(%1)"/>
      <w:numFmt w:val="lowerLetter"/>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1)"/>
      <w:numFmt w:val="lowerRoman"/>
      <w:start w:val="2"/>
    </w:lvl>
  </w:abstractNum>
  <w:abstractNum w:abstractNumId="37">
    <w:nsid w:val="3222E7CD"/>
    <w:multiLevelType w:val="hybridMultilevel"/>
    <w:lvl w:ilvl="0">
      <w:lvlJc w:val="left"/>
      <w:lvlText w:val="(%1)"/>
      <w:numFmt w:val="lowerLetter"/>
      <w:start w:val="1"/>
    </w:lvl>
  </w:abstractNum>
  <w:abstractNum w:abstractNumId="38">
    <w:nsid w:val="74DE0EE3"/>
    <w:multiLevelType w:val="hybridMultilevel"/>
    <w:lvl w:ilvl="0">
      <w:lvlJc w:val="left"/>
      <w:lvlText w:val="(%1)"/>
      <w:numFmt w:val="lowerLetter"/>
      <w:start w:val="1"/>
    </w:lvl>
  </w:abstractNum>
  <w:abstractNum w:abstractNumId="39">
    <w:nsid w:val="68EBC550"/>
    <w:multiLevelType w:val="hybridMultilevel"/>
    <w:lvl w:ilvl="0">
      <w:lvlJc w:val="left"/>
      <w:lvlText w:val="(%1)"/>
      <w:numFmt w:val="lowerRoman"/>
      <w:start w:val="1"/>
    </w:lvl>
  </w:abstractNum>
  <w:abstractNum w:abstractNumId="40">
    <w:nsid w:val="2DF6D648"/>
    <w:multiLevelType w:val="hybridMultilevel"/>
    <w:lvl w:ilvl="0">
      <w:lvlJc w:val="left"/>
      <w:lvlText w:val="(%1)"/>
      <w:numFmt w:val="lowerLetter"/>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1)"/>
      <w:numFmt w:val="lowerLetter"/>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1)"/>
      <w:numFmt w:val="lowerLetter"/>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1."/>
      <w:numFmt w:val="decimal"/>
      <w:start w:val="1"/>
    </w:lvl>
  </w:abstractNum>
  <w:abstractNum w:abstractNumId="55">
    <w:nsid w:val="5FB8011C"/>
    <w:multiLevelType w:val="hybridMultilevel"/>
    <w:lvl w:ilvl="0">
      <w:lvlJc w:val="left"/>
      <w:lvlText w:val="%1."/>
      <w:numFmt w:val="decimal"/>
      <w:start w:val="2"/>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
      <w:numFmt w:val="bullet"/>
      <w:start w:val="1"/>
    </w:lvl>
    <w:lvl w:ilvl="1">
      <w:lvlJc w:val="left"/>
      <w:lvlText w:val="●"/>
      <w:numFmt w:val="bullet"/>
      <w:start w:val="1"/>
    </w:lvl>
  </w:abstractNum>
  <w:abstractNum w:abstractNumId="59">
    <w:nsid w:val="6A5F7029"/>
    <w:multiLevelType w:val="hybridMultilevel"/>
    <w:lvl w:ilvl="0">
      <w:lvlJc w:val="left"/>
      <w:lvlText w:val="●"/>
      <w:numFmt w:val="bullet"/>
      <w:start w:val="1"/>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1)"/>
      <w:numFmt w:val="lowerLetter"/>
      <w:start w:val="1"/>
    </w:lvl>
  </w:abstractNum>
  <w:abstractNum w:abstractNumId="62">
    <w:nsid w:val="73A1821B"/>
    <w:multiLevelType w:val="hybridMultilevel"/>
    <w:lvl w:ilvl="0">
      <w:lvlJc w:val="left"/>
      <w:lvlText w:val="%1."/>
      <w:numFmt w:val="decimal"/>
      <w:start w:val="3"/>
    </w:lvl>
  </w:abstractNum>
  <w:abstractNum w:abstractNumId="63">
    <w:nsid w:val="7DE67713"/>
    <w:multiLevelType w:val="hybridMultilevel"/>
    <w:lvl w:ilvl="0">
      <w:lvlJc w:val="left"/>
      <w:lvlText w:val="(%1)"/>
      <w:numFmt w:val="lowerLetter"/>
      <w:start w:val="1"/>
    </w:lvl>
  </w:abstractNum>
  <w:abstractNum w:abstractNumId="64">
    <w:nsid w:val="555C55B5"/>
    <w:multiLevelType w:val="hybridMultilevel"/>
    <w:lvl w:ilvl="0">
      <w:lvlJc w:val="left"/>
      <w:lvlText w:val="%1."/>
      <w:numFmt w:val="decimal"/>
      <w:start w:val="5"/>
    </w:lvl>
  </w:abstractNum>
  <w:abstractNum w:abstractNumId="65">
    <w:nsid w:val="3FA62ACA"/>
    <w:multiLevelType w:val="hybridMultilevel"/>
    <w:lvl w:ilvl="0">
      <w:lvlJc w:val="left"/>
      <w:lvlText w:val="%1."/>
      <w:numFmt w:val="decimal"/>
      <w:start w:val="6"/>
    </w:lvl>
  </w:abstractNum>
  <w:abstractNum w:abstractNumId="66">
    <w:nsid w:val="14FCE74E"/>
    <w:multiLevelType w:val="hybridMultilevel"/>
    <w:lvl w:ilvl="0">
      <w:lvlJc w:val="left"/>
      <w:lvlText w:val="(%1)"/>
      <w:numFmt w:val="lowerLetter"/>
      <w:start w:val="1"/>
    </w:lvl>
  </w:abstractNum>
  <w:abstractNum w:abstractNumId="67">
    <w:nsid w:val="6A3DD3E8"/>
    <w:multiLevelType w:val="hybridMultilevel"/>
    <w:lvl w:ilvl="0">
      <w:lvlJc w:val="left"/>
      <w:lvlText w:val="(%1)"/>
      <w:numFmt w:val="lowerRoman"/>
      <w:start w:val="1"/>
    </w:lvl>
  </w:abstractNum>
  <w:abstractNum w:abstractNumId="68">
    <w:nsid w:val="71C91298"/>
    <w:multiLevelType w:val="hybridMultilevel"/>
    <w:lvl w:ilvl="0">
      <w:lvlJc w:val="left"/>
      <w:lvlText w:val="%1."/>
      <w:numFmt w:val="decimal"/>
      <w:start w:val="7"/>
    </w:lvl>
  </w:abstractNum>
  <w:abstractNum w:abstractNumId="69">
    <w:nsid w:val="9DAF632"/>
    <w:multiLevelType w:val="hybridMultilevel"/>
    <w:lvl w:ilvl="0">
      <w:lvlJc w:val="left"/>
      <w:lvlText w:val="%1."/>
      <w:numFmt w:val="decimal"/>
      <w:start w:val="8"/>
    </w:lvl>
  </w:abstractNum>
  <w:abstractNum w:abstractNumId="70">
    <w:nsid w:val="53299938"/>
    <w:multiLevelType w:val="hybridMultilevel"/>
    <w:lvl w:ilvl="0">
      <w:lvlJc w:val="left"/>
      <w:lvlText w:val="(%1)"/>
      <w:numFmt w:val="lowerLetter"/>
      <w:start w:val="1"/>
    </w:lvl>
  </w:abstractNum>
  <w:abstractNum w:abstractNumId="71">
    <w:nsid w:val="1FBFE8E0"/>
    <w:multiLevelType w:val="hybridMultilevel"/>
    <w:lvl w:ilvl="0">
      <w:lvlJc w:val="left"/>
      <w:lvlText w:val="(%1)"/>
      <w:numFmt w:val="lowerLetter"/>
      <w:start w:val="1"/>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1)"/>
      <w:numFmt w:val="lowerRoman"/>
      <w:start w:val="2"/>
    </w:lvl>
  </w:abstractNum>
  <w:abstractNum w:abstractNumId="77">
    <w:nsid w:val="1D9F6E5F"/>
    <w:multiLevelType w:val="hybridMultilevel"/>
    <w:lvl w:ilvl="0">
      <w:lvlJc w:val="left"/>
      <w:lvlText w:val="(%1)"/>
      <w:numFmt w:val="lowerRoman"/>
      <w:start w:val="1"/>
    </w:lvl>
  </w:abstractNum>
  <w:abstractNum w:abstractNumId="78">
    <w:nsid w:val="97E1B4E"/>
    <w:multiLevelType w:val="hybridMultilevel"/>
    <w:lvl w:ilvl="0">
      <w:lvlJc w:val="left"/>
      <w:lvlText w:val="(%1)"/>
      <w:numFmt w:val="lowerRoman"/>
      <w:start w:val="3"/>
    </w:lvl>
  </w:abstractNum>
  <w:abstractNum w:abstractNumId="79">
    <w:nsid w:val="51088277"/>
    <w:multiLevelType w:val="hybridMultilevel"/>
    <w:lvl w:ilvl="0">
      <w:lvlJc w:val="left"/>
      <w:lvlText w:val="(%1)"/>
      <w:numFmt w:val="lowerLetter"/>
      <w:start w:val="1"/>
    </w:lvl>
  </w:abstractNum>
  <w:abstractNum w:abstractNumId="80">
    <w:nsid w:val="1CA0C5FA"/>
    <w:multiLevelType w:val="hybridMultilevel"/>
    <w:lvl w:ilvl="0">
      <w:lvlJc w:val="left"/>
      <w:lvlText w:val="(%1)"/>
      <w:numFmt w:val="lowerLetter"/>
      <w:start w:val="1"/>
    </w:lvl>
  </w:abstractNum>
  <w:abstractNum w:abstractNumId="81">
    <w:nsid w:val="53584BCB"/>
    <w:multiLevelType w:val="hybridMultilevel"/>
    <w:lvl w:ilvl="0">
      <w:lvlJc w:val="left"/>
      <w:lvlText w:val="(%1)"/>
      <w:numFmt w:val="lowerLetter"/>
      <w:start w:val="3"/>
    </w:lvl>
  </w:abstractNum>
  <w:abstractNum w:abstractNumId="82">
    <w:nsid w:val="415E286C"/>
    <w:multiLevelType w:val="hybridMultilevel"/>
    <w:lvl w:ilvl="0">
      <w:lvlJc w:val="left"/>
      <w:lvlText w:val="(%1)"/>
      <w:numFmt w:val="lowerLetter"/>
      <w:start w:val="1"/>
    </w:lvl>
  </w:abstractNum>
  <w:abstractNum w:abstractNumId="83">
    <w:nsid w:val="7C58FD05"/>
    <w:multiLevelType w:val="hybridMultilevel"/>
    <w:lvl w:ilvl="0">
      <w:lvlJc w:val="left"/>
      <w:lvlText w:val="(%1)"/>
      <w:numFmt w:val="lowerLetter"/>
      <w:start w:val="1"/>
    </w:lvl>
  </w:abstractNum>
  <w:abstractNum w:abstractNumId="84">
    <w:nsid w:val="23D86AAC"/>
    <w:multiLevelType w:val="hybridMultilevel"/>
    <w:lvl w:ilvl="0">
      <w:lvlJc w:val="left"/>
      <w:lvlText w:val="(%1)"/>
      <w:numFmt w:val="lowerLetter"/>
      <w:start w:val="2"/>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1)"/>
      <w:numFmt w:val="lowerLetter"/>
      <w:start w:val="1"/>
    </w:lvl>
    <w:lvl w:ilvl="1">
      <w:lvlJc w:val="left"/>
      <w:lvlText w:val="(%2)"/>
      <w:numFmt w:val="lowerLetter"/>
      <w:start w:val="61"/>
    </w:lvl>
  </w:abstractNum>
  <w:abstractNum w:abstractNumId="87">
    <w:nsid w:val="E7FFA2B"/>
    <w:multiLevelType w:val="hybridMultilevel"/>
    <w:lvl w:ilvl="0">
      <w:lvlJc w:val="left"/>
      <w:lvlText w:val="%1"/>
      <w:numFmt w:val="lowerLetter"/>
      <w:start w:val="1"/>
    </w:lvl>
    <w:lvl w:ilvl="1">
      <w:lvlJc w:val="left"/>
      <w:lvlText w:val="(%2)"/>
      <w:numFmt w:val="lowerLetter"/>
      <w:start w:val="9"/>
    </w:lvl>
  </w:abstractNum>
  <w:abstractNum w:abstractNumId="88">
    <w:nsid w:val="3C5991AA"/>
    <w:multiLevelType w:val="hybridMultilevel"/>
    <w:lvl w:ilvl="0">
      <w:lvlJc w:val="left"/>
      <w:lvlText w:val="(%1)"/>
      <w:numFmt w:val="lowerLetter"/>
      <w:start w:val="2"/>
    </w:lvl>
    <w:lvl w:ilvl="1">
      <w:lvlJc w:val="left"/>
      <w:lvlText w:val="%2"/>
      <w:numFmt w:val="lowerLetter"/>
      <w:start w:val="1"/>
    </w:lvl>
  </w:abstractNum>
  <w:abstractNum w:abstractNumId="89">
    <w:nsid w:val="4BD8591A"/>
    <w:multiLevelType w:val="hybridMultilevel"/>
    <w:lvl w:ilvl="0">
      <w:lvlJc w:val="left"/>
      <w:lvlText w:val="(%1)"/>
      <w:numFmt w:val="lowerLetter"/>
      <w:start w:val="7"/>
    </w:lvl>
  </w:abstractNum>
  <w:abstractNum w:abstractNumId="90">
    <w:nsid w:val="78DF6A55"/>
    <w:multiLevelType w:val="hybridMultilevel"/>
    <w:lvl w:ilvl="0">
      <w:lvlJc w:val="left"/>
      <w:lvlText w:val="(%1)"/>
      <w:numFmt w:val="lowerLetter"/>
      <w:start w:val="8"/>
    </w:lvl>
  </w:abstractNum>
  <w:abstractNum w:abstractNumId="91">
    <w:nsid w:val="39B7AAA2"/>
    <w:multiLevelType w:val="hybridMultilevel"/>
    <w:lvl w:ilvl="0">
      <w:lvlJc w:val="left"/>
      <w:lvlText w:val="(%1)"/>
      <w:numFmt w:val="lowerLetter"/>
      <w:start w:val="1"/>
    </w:lvl>
  </w:abstractNum>
  <w:abstractNum w:abstractNumId="92">
    <w:nsid w:val="2B0D8DBE"/>
    <w:multiLevelType w:val="hybridMultilevel"/>
    <w:lvl w:ilvl="0">
      <w:lvlJc w:val="left"/>
      <w:lvlText w:val="%1."/>
      <w:numFmt w:val="lowerRoman"/>
      <w:start w:val="1"/>
    </w:lvl>
  </w:abstractNum>
  <w:abstractNum w:abstractNumId="93">
    <w:nsid w:val="6C80EC70"/>
    <w:multiLevelType w:val="hybridMultilevel"/>
    <w:lvl w:ilvl="0">
      <w:lvlJc w:val="left"/>
      <w:lvlText w:val="*"/>
      <w:numFmt w:val="bullet"/>
      <w:start w:val="1"/>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
      <w:numFmt w:val="bullet"/>
      <w:start w:val="1"/>
    </w:lvl>
  </w:abstractNum>
  <w:abstractNum w:abstractNumId="96">
    <w:nsid w:val="2C27173B"/>
    <w:multiLevelType w:val="hybridMultilevel"/>
    <w:lvl w:ilvl="0">
      <w:lvlJc w:val="left"/>
      <w:lvlText w:val="%1."/>
      <w:numFmt w:val="decimal"/>
      <w:start w:val="1"/>
    </w:lvl>
  </w:abstractNum>
  <w:abstractNum w:abstractNumId="97">
    <w:nsid w:val="4C9B0904"/>
    <w:multiLevelType w:val="hybridMultilevel"/>
    <w:lvl w:ilvl="0">
      <w:lvlJc w:val="left"/>
      <w:lvlText w:val="%1."/>
      <w:numFmt w:val="decimal"/>
      <w:start w:val="3"/>
    </w:lvl>
  </w:abstractNum>
  <w:abstractNum w:abstractNumId="98">
    <w:nsid w:val="6AA7B75C"/>
    <w:multiLevelType w:val="hybridMultilevel"/>
    <w:lvl w:ilvl="0">
      <w:lvlJc w:val="left"/>
      <w:lvlText w:val="(%1)"/>
      <w:numFmt w:val="lowerLetter"/>
      <w:start w:val="1"/>
    </w:lvl>
  </w:abstractNum>
  <w:abstractNum w:abstractNumId="99">
    <w:nsid w:val="1DF029D3"/>
    <w:multiLevelType w:val="hybridMultilevel"/>
    <w:lvl w:ilvl="0">
      <w:lvlJc w:val="left"/>
      <w:lvlText w:val="%1."/>
      <w:numFmt w:val="decimal"/>
      <w:start w:val="4"/>
    </w:lvl>
  </w:abstractNum>
  <w:abstractNum w:abstractNumId="100">
    <w:nsid w:val="5675FF36"/>
    <w:multiLevelType w:val="hybridMultilevel"/>
    <w:lvl w:ilvl="0">
      <w:lvlJc w:val="left"/>
      <w:lvlText w:val="%1."/>
      <w:numFmt w:val="decimal"/>
      <w:start w:val="5"/>
    </w:lvl>
    <w:lvl w:ilvl="1">
      <w:lvlJc w:val="left"/>
      <w:lvlText w:val="(%2)"/>
      <w:numFmt w:val="lowerLetter"/>
      <w:start w:val="1"/>
    </w:lvl>
  </w:abstractNum>
  <w:abstractNum w:abstractNumId="101">
    <w:nsid w:val="3DD15094"/>
    <w:multiLevelType w:val="hybridMultilevel"/>
    <w:lvl w:ilvl="0">
      <w:lvlJc w:val="left"/>
      <w:lvlText w:val="%1"/>
      <w:numFmt w:val="lowerLetter"/>
      <w:start w:val="1"/>
    </w:lvl>
    <w:lvl w:ilvl="1">
      <w:lvlJc w:val="left"/>
      <w:lvlText w:val="%2."/>
      <w:numFmt w:val="lowerRoman"/>
      <w:start w:val="1"/>
    </w:lvl>
  </w:abstractNum>
  <w:abstractNum w:abstractNumId="102">
    <w:nsid w:val="3DB012B3"/>
    <w:multiLevelType w:val="hybridMultilevel"/>
    <w:lvl w:ilvl="0">
      <w:lvlJc w:val="left"/>
      <w:lvlText w:val="(%1)"/>
      <w:numFmt w:val="lowerLetter"/>
      <w:start w:val="2"/>
    </w:lvl>
    <w:lvl w:ilvl="1">
      <w:lvlJc w:val="left"/>
      <w:lvlText w:val="%2"/>
      <w:numFmt w:val="lowerRoman"/>
      <w:start w:val="1"/>
    </w:lvl>
  </w:abstractNum>
  <w:abstractNum w:abstractNumId="103">
    <w:nsid w:val="2708C9AF"/>
    <w:multiLevelType w:val="hybridMultilevel"/>
    <w:lvl w:ilvl="0">
      <w:lvlJc w:val="left"/>
      <w:lvlText w:val="(%1)"/>
      <w:numFmt w:val="lowerLetter"/>
      <w:start w:val="5"/>
    </w:lvl>
    <w:lvl w:ilvl="1">
      <w:lvlJc w:val="left"/>
      <w:lvlText w:val="%2."/>
      <w:numFmt w:val="lowerRoman"/>
      <w:start w:val="1"/>
    </w:lvl>
  </w:abstractNum>
  <w:abstractNum w:abstractNumId="104">
    <w:nsid w:val="5B25ACE2"/>
    <w:multiLevelType w:val="hybridMultilevel"/>
    <w:lvl w:ilvl="0">
      <w:lvlJc w:val="left"/>
      <w:lvlText w:val="(%1)"/>
      <w:numFmt w:val="lowerLetter"/>
      <w:start w:val="7"/>
    </w:lvl>
  </w:abstractNum>
  <w:abstractNum w:abstractNumId="105">
    <w:nsid w:val="175DFCF0"/>
    <w:multiLevelType w:val="hybridMultilevel"/>
    <w:lvl w:ilvl="0">
      <w:lvlJc w:val="left"/>
      <w:lvlText w:val="%1."/>
      <w:numFmt w:val="decimal"/>
      <w:start w:val="6"/>
    </w:lvl>
  </w:abstractNum>
  <w:abstractNum w:abstractNumId="106">
    <w:nsid w:val="4F97E3E4"/>
    <w:multiLevelType w:val="hybridMultilevel"/>
    <w:lvl w:ilvl="0">
      <w:lvlJc w:val="left"/>
      <w:lvlText w:val="(%1)"/>
      <w:numFmt w:val="lowerLetter"/>
      <w:start w:val="1"/>
    </w:lvl>
  </w:abstractNum>
  <w:abstractNum w:abstractNumId="107">
    <w:nsid w:val="53B0A9E"/>
    <w:multiLevelType w:val="hybridMultilevel"/>
    <w:lvl w:ilvl="0">
      <w:lvlJc w:val="left"/>
      <w:lvlText w:val="(%1)"/>
      <w:numFmt w:val="lowerLetter"/>
      <w:start w:val="2"/>
    </w:lvl>
  </w:abstractNum>
  <w:abstractNum w:abstractNumId="108">
    <w:nsid w:val="34FD6B4F"/>
    <w:multiLevelType w:val="hybridMultilevel"/>
    <w:lvl w:ilvl="0">
      <w:lvlJc w:val="left"/>
      <w:lvlText w:val="%1."/>
      <w:numFmt w:val="decimal"/>
      <w:start w:val="8"/>
    </w:lvl>
  </w:abstractNum>
  <w:abstractNum w:abstractNumId="109">
    <w:nsid w:val="5915FF32"/>
    <w:multiLevelType w:val="hybridMultilevel"/>
    <w:lvl w:ilvl="0">
      <w:lvlJc w:val="left"/>
      <w:lvlText w:val="(%1)"/>
      <w:numFmt w:val="lowerLetter"/>
      <w:start w:val="1"/>
    </w:lvl>
  </w:abstractNum>
  <w:abstractNum w:abstractNumId="110">
    <w:nsid w:val="56438D15"/>
    <w:multiLevelType w:val="hybridMultilevel"/>
    <w:lvl w:ilvl="0">
      <w:lvlJc w:val="left"/>
      <w:lvlText w:val="%1"/>
      <w:numFmt w:val="lowerLetter"/>
      <w:start w:val="1"/>
    </w:lvl>
    <w:lvl w:ilvl="1">
      <w:lvlJc w:val="left"/>
      <w:lvlText w:val="(%2)"/>
      <w:numFmt w:val="lowerLetter"/>
      <w:start w:val="5"/>
    </w:lvl>
  </w:abstractNum>
  <w:abstractNum w:abstractNumId="111">
    <w:nsid w:val="519E3149"/>
    <w:multiLevelType w:val="hybridMultilevel"/>
    <w:lvl w:ilvl="0">
      <w:lvlJc w:val="left"/>
      <w:lvlText w:val="(%1)"/>
      <w:numFmt w:val="lowerLetter"/>
      <w:start w:val="35"/>
    </w:lvl>
    <w:lvl w:ilvl="1">
      <w:lvlJc w:val="left"/>
      <w:lvlText w:val="(%2)"/>
      <w:numFmt w:val="lowerLetter"/>
      <w:start w:val="8"/>
    </w:lvl>
  </w:abstractNum>
  <w:abstractNum w:abstractNumId="112">
    <w:nsid w:val="2C6E4AFD"/>
    <w:multiLevelType w:val="hybridMultilevel"/>
    <w:lvl w:ilvl="0">
      <w:lvlJc w:val="left"/>
      <w:lvlText w:val="%1."/>
      <w:numFmt w:val="decimal"/>
      <w:start w:val="9"/>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lowerLetter"/>
      <w:start w:val="2"/>
    </w:lvl>
  </w:abstractNum>
  <w:abstractNum w:abstractNumId="115">
    <w:nsid w:val="5046B5A9"/>
    <w:multiLevelType w:val="hybridMultilevel"/>
    <w:lvl w:ilvl="0">
      <w:lvlJc w:val="left"/>
      <w:lvlText w:val="%1."/>
      <w:numFmt w:val="decimal"/>
      <w:start w:val="12"/>
    </w:lvl>
  </w:abstractNum>
  <w:abstractNum w:abstractNumId="116">
    <w:nsid w:val="5D888A08"/>
    <w:multiLevelType w:val="hybridMultilevel"/>
    <w:lvl w:ilvl="0">
      <w:lvlJc w:val="left"/>
      <w:lvlText w:val="(%1)"/>
      <w:numFmt w:val="lowerLetter"/>
      <w:start w:val="1"/>
    </w:lvl>
  </w:abstractNum>
  <w:abstractNum w:abstractNumId="117">
    <w:nsid w:val="2A082C70"/>
    <w:multiLevelType w:val="hybridMultilevel"/>
    <w:lvl w:ilvl="0">
      <w:lvlJc w:val="left"/>
      <w:lvlText w:val="(%1)"/>
      <w:numFmt w:val="lowerLetter"/>
      <w:start w:val="3"/>
    </w:lvl>
    <w:lvl w:ilvl="1">
      <w:lvlJc w:val="left"/>
      <w:lvlText w:val="(%2)"/>
      <w:numFmt w:val="lowerRoman"/>
      <w:start w:val="1"/>
    </w:lvl>
  </w:abstractNum>
  <w:abstractNum w:abstractNumId="118">
    <w:nsid w:val="5EC6AFD4"/>
    <w:multiLevelType w:val="hybridMultilevel"/>
    <w:lvl w:ilvl="0">
      <w:lvlJc w:val="left"/>
      <w:lvlText w:val="%1"/>
      <w:numFmt w:val="lowerLetter"/>
      <w:start w:val="1"/>
    </w:lvl>
    <w:lvl w:ilvl="1">
      <w:lvlJc w:val="left"/>
      <w:lvlText w:val="%2."/>
      <w:numFmt w:val="decimal"/>
      <w:start w:val="14"/>
    </w:lvl>
  </w:abstractNum>
  <w:abstractNum w:abstractNumId="119">
    <w:nsid w:val="19E21BB2"/>
    <w:multiLevelType w:val="hybridMultilevel"/>
    <w:lvl w:ilvl="0">
      <w:lvlJc w:val="left"/>
      <w:lvlText w:val="(%1)"/>
      <w:numFmt w:val="lowerLetter"/>
      <w:start w:val="2"/>
    </w:lvl>
    <w:lvl w:ilvl="1">
      <w:lvlJc w:val="left"/>
      <w:lvlText w:val="%2."/>
      <w:numFmt w:val="decimal"/>
      <w:start w:val="15"/>
    </w:lvl>
  </w:abstractNum>
  <w:abstractNum w:abstractNumId="120">
    <w:nsid w:val="75E0858A"/>
    <w:multiLevelType w:val="hybridMultilevel"/>
    <w:lvl w:ilvl="0">
      <w:lvlJc w:val="left"/>
      <w:lvlText w:val="(%1)"/>
      <w:numFmt w:val="lowerLetter"/>
      <w:start w:val="1"/>
    </w:lvl>
  </w:abstractNum>
  <w:abstractNum w:abstractNumId="121">
    <w:nsid w:val="57A61A29"/>
    <w:multiLevelType w:val="hybridMultilevel"/>
    <w:lvl w:ilvl="0">
      <w:lvlJc w:val="left"/>
      <w:lvlText w:val="(%1)"/>
      <w:numFmt w:val="lowerLetter"/>
      <w:start w:val="2"/>
    </w:lvl>
  </w:abstractNum>
  <w:abstractNum w:abstractNumId="122">
    <w:nsid w:val="5399C654"/>
    <w:multiLevelType w:val="hybridMultilevel"/>
    <w:lvl w:ilvl="0">
      <w:lvlJc w:val="left"/>
      <w:lvlText w:val="%1."/>
      <w:numFmt w:val="decimal"/>
      <w:start w:val="16"/>
    </w:lvl>
  </w:abstractNum>
  <w:abstractNum w:abstractNumId="123">
    <w:nsid w:val="20EE1348"/>
    <w:multiLevelType w:val="hybridMultilevel"/>
    <w:lvl w:ilvl="0">
      <w:lvlJc w:val="left"/>
      <w:lvlText w:val="%1."/>
      <w:numFmt w:val="decimal"/>
      <w:start w:val="18"/>
    </w:lvl>
  </w:abstractNum>
  <w:abstractNum w:abstractNumId="124">
    <w:nsid w:val="4427069A"/>
    <w:multiLevelType w:val="hybridMultilevel"/>
    <w:lvl w:ilvl="0">
      <w:lvlJc w:val="left"/>
      <w:lvlText w:val="(%1)"/>
      <w:numFmt w:val="lowerLetter"/>
      <w:start w:val="1"/>
    </w:lvl>
    <w:lvl w:ilvl="1">
      <w:lvlJc w:val="left"/>
      <w:lvlText w:val="(%2)"/>
      <w:numFmt w:val="lowerLetter"/>
      <w:start w:val="2"/>
    </w:lvl>
  </w:abstractNum>
  <w:abstractNum w:abstractNumId="125">
    <w:nsid w:val="B37E80A"/>
    <w:multiLevelType w:val="hybridMultilevel"/>
    <w:lvl w:ilvl="0">
      <w:lvlJc w:val="left"/>
      <w:lvlText w:val="%1."/>
      <w:numFmt w:val="decimal"/>
      <w:start w:val="19"/>
    </w:lvl>
  </w:abstractNum>
  <w:abstractNum w:abstractNumId="126">
    <w:nsid w:val="2157F6BC"/>
    <w:multiLevelType w:val="hybridMultilevel"/>
    <w:lvl w:ilvl="0">
      <w:lvlJc w:val="left"/>
      <w:lvlText w:val="(%1)"/>
      <w:numFmt w:val="lowerLetter"/>
      <w:start w:val="1"/>
    </w:lvl>
  </w:abstractNum>
  <w:abstractNum w:abstractNumId="127">
    <w:nsid w:val="704E1DD5"/>
    <w:multiLevelType w:val="hybridMultilevel"/>
    <w:lvl w:ilvl="0">
      <w:lvlJc w:val="left"/>
      <w:lvlText w:val="(%1)"/>
      <w:numFmt w:val="lowerLetter"/>
      <w:start w:val="2"/>
    </w:lvl>
  </w:abstractNum>
  <w:abstractNum w:abstractNumId="128">
    <w:nsid w:val="57D2F10E"/>
    <w:multiLevelType w:val="hybridMultilevel"/>
    <w:lvl w:ilvl="0">
      <w:lvlJc w:val="left"/>
      <w:lvlText w:val="%1"/>
      <w:numFmt w:val="lowerLetter"/>
      <w:start w:val="1"/>
    </w:lvl>
    <w:lvl w:ilvl="1">
      <w:lvlJc w:val="left"/>
      <w:lvlText w:val="%2."/>
      <w:numFmt w:val="decimal"/>
      <w:start w:val="20"/>
    </w:lvl>
  </w:abstractNum>
  <w:abstractNum w:abstractNumId="129">
    <w:nsid w:val="BFFAE18"/>
    <w:multiLevelType w:val="hybridMultilevel"/>
    <w:lvl w:ilvl="0">
      <w:lvlJc w:val="left"/>
      <w:lvlText w:val="(%1)"/>
      <w:numFmt w:val="lowerLetter"/>
      <w:start w:val="1"/>
    </w:lvl>
    <w:lvl w:ilvl="1">
      <w:lvlJc w:val="left"/>
      <w:lvlText w:val="%2"/>
      <w:numFmt w:val="decimal"/>
      <w:start w:val="1"/>
    </w:lvl>
  </w:abstractNum>
  <w:abstractNum w:abstractNumId="130">
    <w:nsid w:val="E3E47A8"/>
    <w:multiLevelType w:val="hybridMultilevel"/>
    <w:lvl w:ilvl="0">
      <w:lvlJc w:val="left"/>
      <w:lvlText w:val="%1."/>
      <w:numFmt w:val="decimal"/>
      <w:start w:val="21"/>
    </w:lvl>
  </w:abstractNum>
  <w:abstractNum w:abstractNumId="131">
    <w:nsid w:val="2E48F044"/>
    <w:multiLevelType w:val="hybridMultilevel"/>
    <w:lvl w:ilvl="0">
      <w:lvlJc w:val="left"/>
      <w:lvlText w:val="%1"/>
      <w:numFmt w:val="decimal"/>
      <w:start w:val="1"/>
    </w:lvl>
    <w:lvl w:ilvl="1">
      <w:lvlJc w:val="left"/>
      <w:lvlText w:val="%2."/>
      <w:numFmt w:val="decimal"/>
      <w:start w:val="27"/>
    </w:lvl>
  </w:abstractNum>
  <w:abstractNum w:abstractNumId="132">
    <w:nsid w:val="49D0FEAC"/>
    <w:multiLevelType w:val="hybridMultilevel"/>
    <w:lvl w:ilvl="0">
      <w:lvlJc w:val="left"/>
      <w:lvlText w:val="%1."/>
      <w:numFmt w:val="decimal"/>
      <w:start w:val="30"/>
    </w:lvl>
    <w:lvl w:ilvl="1">
      <w:lvlJc w:val="left"/>
      <w:lvlText w:val="%2"/>
      <w:numFmt w:val="decimal"/>
      <w:start w:val="1"/>
    </w:lvl>
  </w:abstractNum>
  <w:abstractNum w:abstractNumId="133">
    <w:nsid w:val="4BEE5A5B"/>
    <w:multiLevelType w:val="hybridMultilevel"/>
    <w:lvl w:ilvl="0">
      <w:lvlJc w:val="left"/>
      <w:lvlText w:val="(%1)"/>
      <w:numFmt w:val="decimal"/>
      <w:start w:val="1"/>
    </w:lvl>
  </w:abstractNum>
  <w:abstractNum w:abstractNumId="134">
    <w:nsid w:val="5551B9F3"/>
    <w:multiLevelType w:val="hybridMultilevel"/>
    <w:lvl w:ilvl="0">
      <w:lvlJc w:val="left"/>
      <w:lvlText w:val="%1."/>
      <w:numFmt w:val="decimal"/>
      <w:start w:val="1"/>
    </w:lvl>
  </w:abstractNum>
  <w:abstractNum w:abstractNumId="135">
    <w:nsid w:val="24F6AB8E"/>
    <w:multiLevelType w:val="hybridMultilevel"/>
    <w:lvl w:ilvl="0">
      <w:lvlJc w:val="left"/>
      <w:lvlText w:val="%1."/>
      <w:numFmt w:val="decimal"/>
      <w:start w:val="5"/>
    </w:lvl>
  </w:abstractNum>
  <w:abstractNum w:abstractNumId="136">
    <w:nsid w:val="634C574C"/>
    <w:multiLevelType w:val="hybridMultilevel"/>
    <w:lvl w:ilvl="0">
      <w:lvlJc w:val="left"/>
      <w:lvlText w:val="%1."/>
      <w:numFmt w:val="decimal"/>
      <w:start w:val="1"/>
    </w:lvl>
  </w:abstractNum>
  <w:abstractNum w:abstractNumId="137">
    <w:nsid w:val="24E99DD7"/>
    <w:multiLevelType w:val="hybridMultilevel"/>
    <w:lvl w:ilvl="0">
      <w:lvlJc w:val="left"/>
      <w:lvlText w:val="%1."/>
      <w:numFmt w:val="decimal"/>
      <w:start w:val="5"/>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3"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33" Type="http://schemas.openxmlformats.org/officeDocument/2006/relationships/hyperlink" Target="http://www.sec.gov/Archives/edgar/data/823768/000095012310070947/h74168exv3w1.htm" TargetMode="External"/><Relationship Id="rId134" Type="http://schemas.openxmlformats.org/officeDocument/2006/relationships/hyperlink" Target="https://www.sec.gov/Archives/edgar/data/823768/000110465922117214/tm2230189d1_ex3-2.htm" TargetMode="External"/><Relationship Id="rId135" Type="http://schemas.openxmlformats.org/officeDocument/2006/relationships/hyperlink" Target="http://www.sec.gov/Archives/edgar/data/823768/0000950129-99-001268.txt" TargetMode="External"/><Relationship Id="rId136" Type="http://schemas.openxmlformats.org/officeDocument/2006/relationships/hyperlink" Target="http://www.sec.gov/Archives/edgar/data/823768/000095012315002550/d793975dex42.htm" TargetMode="External"/><Relationship Id="rId137" Type="http://schemas.openxmlformats.org/officeDocument/2006/relationships/hyperlink" Target="http://www.sec.gov/Archives/edgar/data/823768/000119312514283972/d740524dex43.htm" TargetMode="External"/><Relationship Id="rId138" Type="http://schemas.openxmlformats.org/officeDocument/2006/relationships/hyperlink" Target="http://www.sec.gov/Archives/edgar/data/823768/0000950129-97-000380.txt" TargetMode="External"/><Relationship Id="rId139" Type="http://schemas.openxmlformats.org/officeDocument/2006/relationships/hyperlink" Target="http://www.sec.gov/Archives/edgar/data/823768/0000950129-97-003909.txt" TargetMode="External"/><Relationship Id="rId140" Type="http://schemas.openxmlformats.org/officeDocument/2006/relationships/hyperlink" Target="https://www.sec.gov/Archives/edgar/data/823768/000155837020000762/ex-4d9.htm" TargetMode="External"/><Relationship Id="rId141" Type="http://schemas.openxmlformats.org/officeDocument/2006/relationships/hyperlink" Target="https://www.sec.gov/Archives/edgar/data/823768/000155837022011119/wm-20220630xex4d1.htm" TargetMode="External"/><Relationship Id="rId142" Type="http://schemas.openxmlformats.org/officeDocument/2006/relationships/hyperlink" Target="https://www.sec.gov/Archives/edgar/data/823768/000155837022011119/wm-20220630xex4d2.htm" TargetMode="External"/><Relationship Id="rId144" Type="http://schemas.openxmlformats.org/officeDocument/2006/relationships/hyperlink" Target="http://www.sec.gov/Archives/edgar/data/823768/000119312514200494/d726417dex101.htm" TargetMode="External"/><Relationship Id="rId145" Type="http://schemas.openxmlformats.org/officeDocument/2006/relationships/hyperlink" Target="https://www.sec.gov/Archives/edgar/data/823768/000110465920062449/tm2018602d2_ex10-2.htm" TargetMode="External"/><Relationship Id="rId146" Type="http://schemas.openxmlformats.org/officeDocument/2006/relationships/hyperlink" Target="https://www.sec.gov/Archives/edgar/data/823768/000155837022011119/wm-20220630xex10d3.htm" TargetMode="External"/><Relationship Id="rId147" Type="http://schemas.openxmlformats.org/officeDocument/2006/relationships/hyperlink" Target="https://www.sec.gov/Archives/edgar/data/823768/000119312509062520/ddef14a.htm" TargetMode="External"/><Relationship Id="rId148" Type="http://schemas.openxmlformats.org/officeDocument/2006/relationships/hyperlink" Target="https://www.sec.gov/Archives/edgar/data/823768/000119312504059008/ddef14a.htm" TargetMode="External"/><Relationship Id="rId149" Type="http://schemas.openxmlformats.org/officeDocument/2006/relationships/hyperlink" Target="https://www.sec.gov/Archives/edgar/data/823768/000110465920062449/tm2018602d2_ex10-1.htm" TargetMode="External"/><Relationship Id="rId150" Type="http://schemas.openxmlformats.org/officeDocument/2006/relationships/hyperlink" Target="http://www.sec.gov/Archives/edgar/data/823768/000119312514156430/d690567dex102.htm" TargetMode="External"/><Relationship Id="rId151" Type="http://schemas.openxmlformats.org/officeDocument/2006/relationships/hyperlink" Target="https://www.sec.gov/Archives/edgar/data/823768/000110465922067600/tm2217217d1_ex10-1.htm" TargetMode="External"/><Relationship Id="rId152" Type="http://schemas.openxmlformats.org/officeDocument/2006/relationships/hyperlink" Target="https://www.sec.gov/Archives/edgar/data/823768/000110465922067600/tm2217217d1_ex10-2.htm" TargetMode="External"/><Relationship Id="rId153" Type="http://schemas.openxmlformats.org/officeDocument/2006/relationships/hyperlink" Target="https://www.sec.gov/Archives/edgar/data/823768/000119312517046480/d252547dex1011.htm" TargetMode="External"/><Relationship Id="rId154" Type="http://schemas.openxmlformats.org/officeDocument/2006/relationships/hyperlink" Target="http://www.sec.gov/Archives/edgar/data/823768/000110465917075030/a17-28786_1ex10d2.htm" TargetMode="External"/><Relationship Id="rId155" Type="http://schemas.openxmlformats.org/officeDocument/2006/relationships/hyperlink" Target="http://www.sec.gov/Archives/edgar/data/823768/000110465917075030/a17-28786_1ex10d3.htm" TargetMode="External"/><Relationship Id="rId156" Type="http://schemas.openxmlformats.org/officeDocument/2006/relationships/hyperlink" Target="http://www.sec.gov/Archives/edgar/data/823768/000110465917075030/a17-28786_1ex10d4.htm" TargetMode="External"/><Relationship Id="rId157" Type="http://schemas.openxmlformats.org/officeDocument/2006/relationships/hyperlink" Target="http://www.sec.gov/Archives/edgar/data/823768/000155837018000716/wm-20171231ex10236fa05.htm" TargetMode="External"/><Relationship Id="rId158" Type="http://schemas.openxmlformats.org/officeDocument/2006/relationships/hyperlink" Target="http://www.sec.gov/Archives/edgar/data/823768/000119312513058892/d413187dex1043.htm" TargetMode="External"/><Relationship Id="rId159" Type="http://schemas.openxmlformats.org/officeDocument/2006/relationships/hyperlink" Target="http://www.sec.gov/Archives/edgar/data/823768/000110465917075030/a17-28786_1ex10d1.htm" TargetMode="External"/><Relationship Id="rId160" Type="http://schemas.openxmlformats.org/officeDocument/2006/relationships/hyperlink" Target="https://www.sec.gov/Archives/edgar/data/823768/000110465920024590/tm207498d2_ex10-1.htm" TargetMode="External"/><Relationship Id="rId161" Type="http://schemas.openxmlformats.org/officeDocument/2006/relationships/hyperlink" Target="https://www.sec.gov/Archives/edgar/data/0000823768/000110465921029723/tm216945d2_ex10-1.htm" TargetMode="External"/><Relationship Id="rId162" Type="http://schemas.openxmlformats.org/officeDocument/2006/relationships/hyperlink" Target="https://www.sec.gov/Archives/edgar/data/823768/000155837022001179/wm-20211231xex10d19.htm" TargetMode="External"/><Relationship Id="rId163" Type="http://schemas.openxmlformats.org/officeDocument/2006/relationships/hyperlink" Target="https://www.sec.gov/Archives/edgar/data/823768/000110465922030973/tm228341d1_ex10-1.htm" TargetMode="External"/><Relationship Id="rId164" Type="http://schemas.openxmlformats.org/officeDocument/2006/relationships/hyperlink" Target="https://www.sec.gov/Archives/edgar/data/823768/000110465922030973/tm22834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2023-02-07T14:28:34Z</dcterms:created>
  <dcterms:modified xsi:type="dcterms:W3CDTF">2023-02-07T14:28:34Z</dcterms:modified>
</cp:coreProperties>
</file>