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333-137526</w:t>
      </w:r>
    </w:p>
    <w:p>
      <w:pPr>
        <w:spacing w:after="0" w:line="5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540" w:type="dxa"/>
            <w:vAlign w:val="bottom"/>
            <w:tcBorders>
              <w:top w:val="single" w:sz="8" w:color="auto"/>
              <w:bottom w:val="single" w:sz="8" w:color="auto"/>
              <w:right w:val="single" w:sz="8" w:color="auto"/>
            </w:tcBorders>
          </w:tcPr>
          <w:p>
            <w:pPr>
              <w:spacing w:after="0"/>
              <w:rPr>
                <w:sz w:val="3"/>
                <w:szCs w:val="3"/>
                <w:color w:val="auto"/>
              </w:rPr>
            </w:pPr>
          </w:p>
        </w:tc>
        <w:tc>
          <w:tcPr>
            <w:tcW w:w="2460" w:type="dxa"/>
            <w:vAlign w:val="bottom"/>
            <w:tcBorders>
              <w:top w:val="single" w:sz="8" w:color="auto"/>
              <w:bottom w:val="single" w:sz="8" w:color="auto"/>
              <w:right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40" w:type="dxa"/>
            <w:vAlign w:val="bottom"/>
            <w:tcBorders>
              <w:right w:val="single" w:sz="8" w:color="auto"/>
            </w:tcBorders>
            <w:vMerge w:val="restart"/>
          </w:tcPr>
          <w:p>
            <w:pPr>
              <w:ind w:left="1320"/>
              <w:spacing w:after="0"/>
              <w:rPr>
                <w:sz w:val="20"/>
                <w:szCs w:val="20"/>
                <w:color w:val="auto"/>
              </w:rPr>
            </w:pPr>
            <w:r>
              <w:rPr>
                <w:rFonts w:ascii="Arial" w:cs="Arial" w:eastAsia="Arial" w:hAnsi="Arial"/>
                <w:sz w:val="14"/>
                <w:szCs w:val="14"/>
                <w:b w:val="1"/>
                <w:bCs w:val="1"/>
                <w:color w:val="auto"/>
              </w:rPr>
              <w:t>Title of Each Class of Securities to be Offered</w:t>
            </w:r>
          </w:p>
        </w:tc>
        <w:tc>
          <w:tcPr>
            <w:tcW w:w="2460" w:type="dxa"/>
            <w:vAlign w:val="bottom"/>
            <w:tcBorders>
              <w:right w:val="single" w:sz="8" w:color="auto"/>
            </w:tcBorders>
          </w:tcPr>
          <w:p>
            <w:pPr>
              <w:jc w:val="right"/>
              <w:ind w:right="497"/>
              <w:spacing w:after="0" w:line="106" w:lineRule="exact"/>
              <w:rPr>
                <w:sz w:val="20"/>
                <w:szCs w:val="20"/>
                <w:color w:val="auto"/>
              </w:rPr>
            </w:pPr>
            <w:r>
              <w:rPr>
                <w:rFonts w:ascii="Arial" w:cs="Arial" w:eastAsia="Arial" w:hAnsi="Arial"/>
                <w:sz w:val="12"/>
                <w:szCs w:val="12"/>
                <w:b w:val="1"/>
                <w:bCs w:val="1"/>
                <w:color w:val="auto"/>
              </w:rPr>
              <w:t>Maximum Aggregate</w:t>
            </w:r>
          </w:p>
        </w:tc>
        <w:tc>
          <w:tcPr>
            <w:tcW w:w="1900" w:type="dxa"/>
            <w:vAlign w:val="bottom"/>
          </w:tcPr>
          <w:p>
            <w:pPr>
              <w:jc w:val="right"/>
              <w:ind w:right="497"/>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Borders>
              <w:bottom w:val="single" w:sz="8" w:color="auto"/>
              <w:right w:val="single" w:sz="8" w:color="auto"/>
            </w:tcBorders>
            <w:vMerge w:val="continue"/>
          </w:tcPr>
          <w:p>
            <w:pPr>
              <w:spacing w:after="0"/>
              <w:rPr>
                <w:sz w:val="14"/>
                <w:szCs w:val="14"/>
                <w:color w:val="auto"/>
              </w:rPr>
            </w:pPr>
          </w:p>
        </w:tc>
        <w:tc>
          <w:tcPr>
            <w:tcW w:w="2460" w:type="dxa"/>
            <w:vAlign w:val="bottom"/>
            <w:tcBorders>
              <w:bottom w:val="single" w:sz="8" w:color="auto"/>
              <w:right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Offering Price</w:t>
            </w:r>
          </w:p>
        </w:tc>
        <w:tc>
          <w:tcPr>
            <w:tcW w:w="1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6.375% Senior Notes due 2015</w:t>
            </w:r>
          </w:p>
        </w:tc>
        <w:tc>
          <w:tcPr>
            <w:tcW w:w="246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$350,000,000</w:t>
            </w:r>
          </w:p>
        </w:tc>
        <w:tc>
          <w:tcPr>
            <w:tcW w:w="1900" w:type="dxa"/>
            <w:vAlign w:val="bottom"/>
            <w:tcBorders>
              <w:bottom w:val="single" w:sz="8" w:color="auto"/>
            </w:tcBorders>
          </w:tcPr>
          <w:p>
            <w:pPr>
              <w:jc w:val="right"/>
              <w:ind w:right="577"/>
              <w:spacing w:after="0"/>
              <w:rPr>
                <w:sz w:val="20"/>
                <w:szCs w:val="20"/>
                <w:color w:val="auto"/>
              </w:rPr>
            </w:pPr>
            <w:r>
              <w:rPr>
                <w:rFonts w:ascii="Arial" w:cs="Arial" w:eastAsia="Arial" w:hAnsi="Arial"/>
                <w:sz w:val="18"/>
                <w:szCs w:val="18"/>
                <w:color w:val="auto"/>
              </w:rPr>
              <w:t>$13,755</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7.375% Senior Notes due 2019</w:t>
            </w:r>
          </w:p>
        </w:tc>
        <w:tc>
          <w:tcPr>
            <w:tcW w:w="246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$450,000,000</w:t>
            </w:r>
          </w:p>
        </w:tc>
        <w:tc>
          <w:tcPr>
            <w:tcW w:w="1900" w:type="dxa"/>
            <w:vAlign w:val="bottom"/>
            <w:tcBorders>
              <w:bottom w:val="single" w:sz="8" w:color="auto"/>
            </w:tcBorders>
          </w:tcPr>
          <w:p>
            <w:pPr>
              <w:jc w:val="right"/>
              <w:ind w:right="577"/>
              <w:spacing w:after="0"/>
              <w:rPr>
                <w:sz w:val="20"/>
                <w:szCs w:val="20"/>
                <w:color w:val="auto"/>
              </w:rPr>
            </w:pPr>
            <w:r>
              <w:rPr>
                <w:rFonts w:ascii="Arial" w:cs="Arial" w:eastAsia="Arial" w:hAnsi="Arial"/>
                <w:sz w:val="18"/>
                <w:szCs w:val="18"/>
                <w:color w:val="auto"/>
              </w:rPr>
              <w:t>$17,685</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 of 2015 Notes(2)</w:t>
            </w:r>
          </w:p>
        </w:tc>
        <w:tc>
          <w:tcPr>
            <w:tcW w:w="246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5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Guarantee of 2019 Notes(2)</w:t>
            </w:r>
          </w:p>
        </w:tc>
        <w:tc>
          <w:tcPr>
            <w:tcW w:w="2460" w:type="dxa"/>
            <w:vAlign w:val="bottom"/>
            <w:tcBorders>
              <w:right w:val="single" w:sz="8" w:color="auto"/>
            </w:tcBorders>
          </w:tcPr>
          <w:p>
            <w:pPr>
              <w:jc w:val="right"/>
              <w:ind w:right="697"/>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460" w:type="dxa"/>
            <w:vAlign w:val="bottom"/>
            <w:tcBorders>
              <w:top w:val="single" w:sz="8" w:color="auto"/>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$800,000,000</w:t>
            </w:r>
          </w:p>
        </w:tc>
        <w:tc>
          <w:tcPr>
            <w:tcW w:w="19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8"/>
                <w:szCs w:val="18"/>
                <w:color w:val="auto"/>
              </w:rPr>
              <w:t>$31,440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920" w:hanging="227"/>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in accordance with Rule 457(r) of the Securities Act of 1933, as amended.</w:t>
      </w:r>
    </w:p>
    <w:p>
      <w:pPr>
        <w:spacing w:after="0" w:line="86" w:lineRule="exact"/>
        <w:rPr>
          <w:rFonts w:ascii="Arial" w:cs="Arial" w:eastAsia="Arial" w:hAnsi="Arial"/>
          <w:sz w:val="16"/>
          <w:szCs w:val="16"/>
          <w:color w:val="auto"/>
        </w:rPr>
      </w:pPr>
    </w:p>
    <w:p>
      <w:pPr>
        <w:ind w:left="920" w:hanging="227"/>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457(n), no separate fee for the guarantee is payable.</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2006)</w:t>
      </w:r>
    </w:p>
    <w:p>
      <w:pPr>
        <w:spacing w:after="0" w:line="108"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$350,000,000 6.375% Senior Notes due 2015</w:t>
      </w:r>
    </w:p>
    <w:p>
      <w:pPr>
        <w:spacing w:after="0" w:line="131"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$450,000,000 7.375% Senior Notes due 2019</w:t>
      </w:r>
    </w:p>
    <w:p>
      <w:pPr>
        <w:spacing w:after="0" w:line="140"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We are offering $350 million of our 6.375% senior notes due 2015 and $450 million of our 7.375% senior notes due 2019. Interest on the notes of each series will accrue from February 26, 2009 and will be payable on March 11 and September 11 of each year, beginning September 11, 2009. The 2015 notes will mature on March 11, 2015 and the 2019 notes will mature on March 11, 2019. We use the term “notes” to refer to both series of notes collectively.</w:t>
      </w:r>
    </w:p>
    <w:p>
      <w:pPr>
        <w:spacing w:after="0" w:line="92"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52"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We may redeem the 2015 notes and the 2019 notes, in whole or in part, at any time at the redemption prices described beginning on page S-14. If a change of control triggering event as described on page S-17 occurs, we may be required to offer to purchase the notes of each series from holders.</w:t>
      </w:r>
    </w:p>
    <w:p>
      <w:pPr>
        <w:spacing w:after="0" w:line="74" w:lineRule="exact"/>
        <w:rPr>
          <w:sz w:val="20"/>
          <w:szCs w:val="20"/>
          <w:color w:val="auto"/>
        </w:rPr>
      </w:pPr>
    </w:p>
    <w:p>
      <w:pPr>
        <w:ind w:left="700" w:right="5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8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 2015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 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980" w:type="dxa"/>
            <w:vAlign w:val="bottom"/>
          </w:tcPr>
          <w:p>
            <w:pPr>
              <w:spacing w:after="0"/>
              <w:rPr>
                <w:sz w:val="20"/>
                <w:szCs w:val="20"/>
                <w:color w:val="auto"/>
              </w:rPr>
            </w:pPr>
            <w:r>
              <w:rPr>
                <w:rFonts w:ascii="Arial" w:cs="Arial" w:eastAsia="Arial" w:hAnsi="Arial"/>
                <w:sz w:val="18"/>
                <w:szCs w:val="18"/>
                <w:color w:val="auto"/>
              </w:rPr>
              <w:t>Public Offering Price(1)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99.650%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348,775,000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99.882%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449,469,000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0.600%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2,100,000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0.650%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2,925,000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Proceeds to Us (excluding expenses)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99.050%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346,675,000</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99.232%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446,544,000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Plus accrued interest from February 26, 2009 if delivery occurs after that 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700" w:right="600" w:firstLine="397"/>
        <w:spacing w:after="0" w:line="342" w:lineRule="auto"/>
        <w:rPr>
          <w:sz w:val="20"/>
          <w:szCs w:val="20"/>
          <w:color w:val="auto"/>
        </w:rPr>
      </w:pPr>
      <w:r>
        <w:rPr>
          <w:rFonts w:ascii="Arial" w:cs="Arial" w:eastAsia="Arial" w:hAnsi="Arial"/>
          <w:sz w:val="16"/>
          <w:szCs w:val="16"/>
          <w:color w:val="auto"/>
        </w:rPr>
        <w:t>The underwriters expect to deliver the notes to investors on or about February 26, 2009 only in book-entry form through the facilities of The Depository Trust Company and its participants, including Euroclear and Clearstream Luxembourg.</w:t>
      </w:r>
    </w:p>
    <w:p>
      <w:pPr>
        <w:spacing w:after="0" w:line="29"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Joint Book-Running and Joint Lead Managers</w:t>
      </w:r>
    </w:p>
    <w:p>
      <w:pPr>
        <w:sectPr>
          <w:pgSz w:w="11900" w:h="16838" w:orient="portrait"/>
          <w:cols w:equalWidth="0" w:num="1">
            <w:col w:w="10620"/>
          </w:cols>
          <w:pgMar w:left="240" w:top="122" w:right="1039" w:bottom="595" w:gutter="0" w:footer="0" w:header="0"/>
        </w:sectPr>
      </w:pPr>
    </w:p>
    <w:p>
      <w:pPr>
        <w:spacing w:after="0" w:line="113"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Barclays Capital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Suisse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Deutsche Bank Securities RBS Greenwich Capital</w:t>
      </w:r>
    </w:p>
    <w:p>
      <w:pPr>
        <w:spacing w:after="0" w:line="168" w:lineRule="exact"/>
        <w:rPr>
          <w:sz w:val="20"/>
          <w:szCs w:val="20"/>
          <w:color w:val="auto"/>
        </w:rPr>
      </w:pPr>
    </w:p>
    <w:p>
      <w:pPr>
        <w:sectPr>
          <w:pgSz w:w="11900" w:h="16838" w:orient="portrait"/>
          <w:cols w:equalWidth="0" w:num="3">
            <w:col w:w="2960" w:space="720"/>
            <w:col w:w="1320" w:space="560"/>
            <w:col w:w="5060"/>
          </w:cols>
          <w:pgMar w:left="240" w:top="122" w:right="1039" w:bottom="595" w:gutter="0" w:footer="0" w:header="0"/>
          <w:type w:val="continuous"/>
        </w:sectPr>
      </w:pPr>
    </w:p>
    <w:p>
      <w:pPr>
        <w:ind w:left="5160"/>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0620"/>
          </w:cols>
          <w:pgMar w:left="240" w:top="122" w:right="1039" w:bottom="595" w:gutter="0" w:footer="0" w:header="0"/>
          <w:type w:val="continuous"/>
        </w:sectPr>
      </w:pPr>
    </w:p>
    <w:p>
      <w:pPr>
        <w:spacing w:after="0" w:line="163" w:lineRule="exact"/>
        <w:rPr>
          <w:sz w:val="20"/>
          <w:szCs w:val="20"/>
          <w:color w:val="auto"/>
        </w:rPr>
      </w:pPr>
    </w:p>
    <w:p>
      <w:pPr>
        <w:ind w:left="3160"/>
        <w:spacing w:after="0"/>
        <w:rPr>
          <w:sz w:val="20"/>
          <w:szCs w:val="20"/>
          <w:color w:val="auto"/>
        </w:rPr>
      </w:pPr>
      <w:r>
        <w:rPr>
          <w:rFonts w:ascii="Arial" w:cs="Arial" w:eastAsia="Arial" w:hAnsi="Arial"/>
          <w:sz w:val="12"/>
          <w:szCs w:val="12"/>
          <w:b w:val="1"/>
          <w:bCs w:val="1"/>
          <w:i w:val="1"/>
          <w:iCs w:val="1"/>
          <w:u w:val="single" w:color="auto"/>
          <w:color w:val="auto"/>
        </w:rPr>
        <w:t>2</w:t>
      </w:r>
      <w:r>
        <w:rPr>
          <w:rFonts w:ascii="Arial" w:cs="Arial" w:eastAsia="Arial" w:hAnsi="Arial"/>
          <w:sz w:val="12"/>
          <w:szCs w:val="12"/>
          <w:b w:val="1"/>
          <w:bCs w:val="1"/>
          <w:i w:val="1"/>
          <w:iCs w:val="1"/>
          <w:color w:val="auto"/>
        </w:rPr>
        <w:t>015 Notes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2</w:t>
      </w:r>
      <w:r>
        <w:rPr>
          <w:rFonts w:ascii="Arial" w:cs="Arial" w:eastAsia="Arial" w:hAnsi="Arial"/>
          <w:sz w:val="12"/>
          <w:szCs w:val="12"/>
          <w:b w:val="1"/>
          <w:bCs w:val="1"/>
          <w:i w:val="1"/>
          <w:iCs w:val="1"/>
          <w:color w:val="auto"/>
        </w:rPr>
        <w:t>019 Notes</w:t>
      </w:r>
    </w:p>
    <w:p>
      <w:pPr>
        <w:spacing w:after="0" w:line="96" w:lineRule="exact"/>
        <w:rPr>
          <w:sz w:val="20"/>
          <w:szCs w:val="20"/>
          <w:color w:val="auto"/>
        </w:rPr>
      </w:pPr>
    </w:p>
    <w:p>
      <w:pPr>
        <w:sectPr>
          <w:pgSz w:w="11900" w:h="16838" w:orient="portrait"/>
          <w:cols w:equalWidth="0" w:num="2">
            <w:col w:w="7500" w:space="720"/>
            <w:col w:w="2400"/>
          </w:cols>
          <w:pgMar w:left="240" w:top="122" w:right="1039" w:bottom="595" w:gutter="0" w:footer="0" w:header="0"/>
          <w:type w:val="continuous"/>
        </w:sectPr>
      </w:pPr>
    </w:p>
    <w:p>
      <w:pPr>
        <w:jc w:val="center"/>
        <w:ind w:left="60"/>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BNY Mellon Capital Markets LLC</w:t>
      </w:r>
    </w:p>
    <w:p>
      <w:pPr>
        <w:spacing w:after="0" w:line="2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CALYON</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Scotia Capital</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Wells Fargo Securities</w:t>
      </w:r>
    </w:p>
    <w:p>
      <w:pPr>
        <w:spacing w:after="0" w:line="20" w:lineRule="exact"/>
        <w:rPr>
          <w:sz w:val="20"/>
          <w:szCs w:val="20"/>
          <w:color w:val="auto"/>
        </w:rPr>
      </w:pPr>
      <w:r>
        <w:rPr>
          <w:sz w:val="20"/>
          <w:szCs w:val="20"/>
          <w:color w:val="auto"/>
        </w:rPr>
        <w:br w:type="column"/>
      </w:r>
    </w:p>
    <w:p>
      <w:pPr>
        <w:jc w:val="center"/>
        <w:ind w:right="1160"/>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Morgan Keegan &amp; Company, Inc.</w:t>
      </w:r>
    </w:p>
    <w:p>
      <w:pPr>
        <w:spacing w:after="0" w:line="3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Scotia Capital</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SunTrust Robinson Humphrey</w:t>
      </w:r>
    </w:p>
    <w:p>
      <w:pPr>
        <w:spacing w:after="0" w:line="130" w:lineRule="exact"/>
        <w:rPr>
          <w:sz w:val="20"/>
          <w:szCs w:val="20"/>
          <w:color w:val="auto"/>
        </w:rPr>
      </w:pPr>
    </w:p>
    <w:p>
      <w:pPr>
        <w:sectPr>
          <w:pgSz w:w="11900" w:h="16838" w:orient="portrait"/>
          <w:cols w:equalWidth="0" w:num="2">
            <w:col w:w="6300" w:space="720"/>
            <w:col w:w="3600"/>
          </w:cols>
          <w:pgMar w:left="240" w:top="122" w:right="1039" w:bottom="595" w:gutter="0" w:footer="0" w:header="0"/>
          <w:type w:val="continuous"/>
        </w:sectPr>
      </w:pPr>
    </w:p>
    <w:p>
      <w:pPr>
        <w:ind w:left="700"/>
        <w:spacing w:after="0"/>
        <w:rPr>
          <w:sz w:val="20"/>
          <w:szCs w:val="20"/>
          <w:color w:val="auto"/>
        </w:rPr>
      </w:pPr>
      <w:r>
        <w:rPr>
          <w:rFonts w:ascii="Arial" w:cs="Arial" w:eastAsia="Arial" w:hAnsi="Arial"/>
          <w:sz w:val="16"/>
          <w:szCs w:val="16"/>
          <w:color w:val="auto"/>
        </w:rPr>
        <w:t>February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595" w:gutter="0" w:footer="0" w:header="0"/>
          <w:type w:val="continuous"/>
        </w:sectPr>
      </w:pPr>
    </w:p>
    <w:bookmarkStart w:id="2" w:name="page3"/>
    <w:bookmarkEnd w:id="2"/>
    <w:p>
      <w:pPr>
        <w:ind w:left="700" w:right="840" w:firstLine="397"/>
        <w:spacing w:after="0" w:line="271" w:lineRule="auto"/>
        <w:rPr>
          <w:sz w:val="20"/>
          <w:szCs w:val="20"/>
          <w:color w:val="auto"/>
        </w:rPr>
      </w:pPr>
      <w:r>
        <w:rPr>
          <w:rFonts w:ascii="Arial" w:cs="Arial" w:eastAsia="Arial" w:hAnsi="Arial"/>
          <w:sz w:val="17"/>
          <w:szCs w:val="17"/>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authorized anyone to provide you with additional or different information. We are not making an offer of these securities in any state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7"/>
          </w:tcPr>
          <w:p>
            <w:pPr>
              <w:spacing w:after="0"/>
              <w:rPr>
                <w:sz w:val="16"/>
                <w:szCs w:val="16"/>
                <w:color w:val="auto"/>
              </w:rPr>
            </w:pPr>
          </w:p>
        </w:tc>
        <w:tc>
          <w:tcPr>
            <w:tcW w:w="5580" w:type="dxa"/>
            <w:vAlign w:val="bottom"/>
          </w:tcPr>
          <w:p>
            <w:pPr>
              <w:spacing w:after="0"/>
              <w:rPr>
                <w:sz w:val="16"/>
                <w:szCs w:val="16"/>
                <w:color w:val="auto"/>
              </w:rPr>
            </w:pPr>
          </w:p>
        </w:tc>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6"/>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2"/>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Description of Notes</w:t>
              </w:r>
            </w:hyperlink>
          </w:p>
        </w:tc>
        <w:tc>
          <w:tcPr>
            <w:tcW w:w="23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Underwriting</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Legal Matters</w:t>
              </w:r>
            </w:hyperlink>
          </w:p>
        </w:tc>
        <w:tc>
          <w:tcPr>
            <w:tcW w:w="2800" w:type="dxa"/>
            <w:vAlign w:val="bottom"/>
            <w:gridSpan w:val="4"/>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S-26</w:t>
            </w:r>
          </w:p>
        </w:tc>
        <w:tc>
          <w:tcPr>
            <w:tcW w:w="800" w:type="dxa"/>
            <w:vAlign w:val="bottom"/>
          </w:tcPr>
          <w:p>
            <w:pPr>
              <w:spacing w:after="0"/>
              <w:rPr>
                <w:sz w:val="17"/>
                <w:szCs w:val="17"/>
                <w:color w:val="auto"/>
              </w:rPr>
            </w:pPr>
          </w:p>
        </w:tc>
      </w:tr>
      <w:tr>
        <w:trPr>
          <w:trHeight w:val="438"/>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277"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subsidiaries, taken as a whole, unless the context clearly indicates otherwise.</w:t>
      </w:r>
    </w:p>
    <w:p>
      <w:pPr>
        <w:spacing w:after="0" w:line="28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200" w:firstLine="2"/>
        <w:spacing w:after="0" w:line="295"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“WMI.”</w:t>
      </w:r>
    </w:p>
    <w:p>
      <w:pPr>
        <w:spacing w:after="0" w:line="27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29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$800 million aggregate principal amount of notes, consisting of:</w:t>
      </w:r>
    </w:p>
    <w:p>
      <w:pPr>
        <w:spacing w:after="0" w:line="13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$350 million aggregate principal amount of 6.375% Senior Notes due 2015</w:t>
      </w:r>
    </w:p>
    <w:p>
      <w:pPr>
        <w:spacing w:after="0" w:line="12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$450 million aggregate principal amount of 7.375% Senior Notes due 2019</w:t>
      </w:r>
    </w:p>
    <w:p>
      <w:pPr>
        <w:spacing w:after="0" w:line="14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Subsidiary Guarantee</w:t>
      </w:r>
      <w:r>
        <w:rPr>
          <w:sz w:val="20"/>
          <w:szCs w:val="20"/>
          <w:color w:val="auto"/>
        </w:rPr>
        <w:tab/>
      </w:r>
      <w:r>
        <w:rPr>
          <w:rFonts w:ascii="Arial" w:cs="Arial" w:eastAsia="Arial" w:hAnsi="Arial"/>
          <w:sz w:val="16"/>
          <w:szCs w:val="16"/>
          <w:color w:val="auto"/>
        </w:rPr>
        <w:t>WM Holdings will fully and unconditionally guarantee, on a senior unsecured basis,</w:t>
      </w:r>
    </w:p>
    <w:p>
      <w:pPr>
        <w:spacing w:after="0" w:line="23" w:lineRule="exact"/>
        <w:rPr>
          <w:sz w:val="20"/>
          <w:szCs w:val="20"/>
          <w:color w:val="auto"/>
        </w:rPr>
      </w:pPr>
    </w:p>
    <w:p>
      <w:pPr>
        <w:ind w:left="4600" w:right="100"/>
        <w:spacing w:after="0" w:line="255" w:lineRule="auto"/>
        <w:rPr>
          <w:sz w:val="20"/>
          <w:szCs w:val="20"/>
          <w:color w:val="auto"/>
        </w:rPr>
      </w:pPr>
      <w:r>
        <w:rPr>
          <w:rFonts w:ascii="Arial" w:cs="Arial" w:eastAsia="Arial" w:hAnsi="Arial"/>
          <w:sz w:val="18"/>
          <w:szCs w:val="18"/>
          <w:color w:val="auto"/>
        </w:rPr>
        <w:t>the full and prompt payment of the principal and any premium and interest on the notes of each series, when and as it becomes due and payable, whether at maturity or otherwise.</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2015 notes - March 11, 2015</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2019 notes - March 11, 2019</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2015 notes - 6.375% per year</w:t>
      </w:r>
    </w:p>
    <w:p>
      <w:pPr>
        <w:spacing w:after="0" w:line="11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2019 notes - 7.375% per year</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5"/>
          <w:szCs w:val="15"/>
          <w:color w:val="auto"/>
        </w:rPr>
        <w:t>March 11 and September 11 of each year, commencing September 11, 2009</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 in minimum</w:t>
      </w:r>
    </w:p>
    <w:p>
      <w:pPr>
        <w:spacing w:after="0" w:line="23" w:lineRule="exact"/>
        <w:rPr>
          <w:sz w:val="20"/>
          <w:szCs w:val="20"/>
          <w:color w:val="auto"/>
        </w:rPr>
      </w:pPr>
    </w:p>
    <w:p>
      <w:pPr>
        <w:ind w:left="4600"/>
        <w:spacing w:after="0" w:line="292" w:lineRule="auto"/>
        <w:rPr>
          <w:sz w:val="20"/>
          <w:szCs w:val="20"/>
          <w:color w:val="auto"/>
        </w:rPr>
      </w:pPr>
      <w:r>
        <w:rPr>
          <w:rFonts w:ascii="Arial" w:cs="Arial" w:eastAsia="Arial" w:hAnsi="Arial"/>
          <w:sz w:val="16"/>
          <w:szCs w:val="16"/>
          <w:color w:val="auto"/>
        </w:rPr>
        <w:t>principal amounts of $2,000 or any integral of $1,000 in excess thereof. We will pay an amount equal to the greater of 100% of the principal amount of the notes redeemed and repaid, or the sum of the present values of the remaining scheduled payments of principal and interest on the notes, as described on page S-14 of this prospectus supplement. We will also pay accrued interest to the redemption date.</w:t>
      </w:r>
    </w:p>
    <w:p>
      <w:pPr>
        <w:spacing w:after="0" w:line="5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Please read “Description of Notes — Optional Redemption.”</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6"/>
          <w:szCs w:val="16"/>
          <w:color w:val="auto"/>
        </w:rPr>
        <w:t>If a change of control triggering event as described on page S-17 occurs, holders of</w:t>
      </w:r>
    </w:p>
    <w:p>
      <w:pPr>
        <w:spacing w:after="0" w:line="23" w:lineRule="exact"/>
        <w:rPr>
          <w:sz w:val="20"/>
          <w:szCs w:val="20"/>
          <w:color w:val="auto"/>
        </w:rPr>
      </w:pPr>
    </w:p>
    <w:p>
      <w:pPr>
        <w:ind w:left="4600" w:right="20"/>
        <w:spacing w:after="0" w:line="302" w:lineRule="auto"/>
        <w:rPr>
          <w:sz w:val="20"/>
          <w:szCs w:val="20"/>
          <w:color w:val="auto"/>
        </w:rPr>
      </w:pPr>
      <w:r>
        <w:rPr>
          <w:rFonts w:ascii="Arial" w:cs="Arial" w:eastAsia="Arial" w:hAnsi="Arial"/>
          <w:sz w:val="16"/>
          <w:szCs w:val="16"/>
          <w:color w:val="auto"/>
        </w:rPr>
        <w:t>the notes of each series may require us to purchase all or a portion of such holder’s notes at a price equal to 101% of the principal amount, plus accrued interest, if any, to the date of purchase. See “Description of Notes — Change of Control Offer.”</w:t>
      </w:r>
    </w:p>
    <w:p>
      <w:pPr>
        <w:spacing w:after="0" w:line="4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Ranking</w:t>
      </w:r>
      <w:r>
        <w:rPr>
          <w:sz w:val="20"/>
          <w:szCs w:val="20"/>
          <w:color w:val="auto"/>
        </w:rPr>
        <w:tab/>
      </w:r>
      <w:r>
        <w:rPr>
          <w:rFonts w:ascii="Arial" w:cs="Arial" w:eastAsia="Arial" w:hAnsi="Arial"/>
          <w:sz w:val="17"/>
          <w:szCs w:val="17"/>
          <w:color w:val="auto"/>
        </w:rPr>
        <w:t>The notes and the guarantee will constitute the senior unsecured debt of Waste</w:t>
      </w:r>
    </w:p>
    <w:p>
      <w:pPr>
        <w:spacing w:after="0" w:line="35" w:lineRule="exact"/>
        <w:rPr>
          <w:sz w:val="20"/>
          <w:szCs w:val="20"/>
          <w:color w:val="auto"/>
        </w:rPr>
      </w:pPr>
    </w:p>
    <w:p>
      <w:pPr>
        <w:ind w:left="4600" w:right="160"/>
        <w:spacing w:after="0" w:line="255" w:lineRule="auto"/>
        <w:rPr>
          <w:sz w:val="20"/>
          <w:szCs w:val="20"/>
          <w:color w:val="auto"/>
        </w:rPr>
      </w:pPr>
      <w:r>
        <w:rPr>
          <w:rFonts w:ascii="Arial" w:cs="Arial" w:eastAsia="Arial" w:hAnsi="Arial"/>
          <w:sz w:val="18"/>
          <w:szCs w:val="18"/>
          <w:color w:val="auto"/>
        </w:rPr>
        <w:t>Management, Inc. and WM Holdings, respectively, and will rank equally with all of our and its other existing and future senior indebtedness from time to time outstanding.</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Covenants</w:t>
      </w:r>
      <w:r>
        <w:rPr>
          <w:sz w:val="20"/>
          <w:szCs w:val="20"/>
          <w:color w:val="auto"/>
        </w:rPr>
        <w:tab/>
      </w:r>
      <w:r>
        <w:rPr>
          <w:rFonts w:ascii="Arial" w:cs="Arial" w:eastAsia="Arial" w:hAnsi="Arial"/>
          <w:sz w:val="17"/>
          <w:szCs w:val="17"/>
          <w:color w:val="auto"/>
        </w:rPr>
        <w:t>We will issue the notes under an indenture containing covenants for your benefit.</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These covenants restrict our ability, with certain exceptions, to:</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create, incur or assume debt secured by liens;</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engage in sale and leaseback transactions; and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merge, consolidate or transfer all or substantially all of our assets.</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$792.6 million, after</w:t>
      </w:r>
    </w:p>
    <w:p>
      <w:pPr>
        <w:spacing w:after="0" w:line="23" w:lineRule="exact"/>
        <w:rPr>
          <w:sz w:val="20"/>
          <w:szCs w:val="20"/>
          <w:color w:val="auto"/>
        </w:rPr>
      </w:pPr>
    </w:p>
    <w:p>
      <w:pPr>
        <w:ind w:left="4600" w:right="20"/>
        <w:spacing w:after="0" w:line="254" w:lineRule="auto"/>
        <w:rPr>
          <w:sz w:val="20"/>
          <w:szCs w:val="20"/>
          <w:color w:val="auto"/>
        </w:rPr>
      </w:pPr>
      <w:r>
        <w:rPr>
          <w:rFonts w:ascii="Arial" w:cs="Arial" w:eastAsia="Arial" w:hAnsi="Arial"/>
          <w:sz w:val="18"/>
          <w:szCs w:val="18"/>
          <w:color w:val="auto"/>
        </w:rPr>
        <w:t>deducting underwriting discounts and commissions and estimated expenses of the offering that we will pay. These net proceeds will be used to repay in full at maturity certain of our debt securities and for general corporate purposes. For more details, see “Use of Proceeds.”</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without the consent of the holders, create and issue additional notes of each</w:t>
      </w:r>
    </w:p>
    <w:p>
      <w:pPr>
        <w:spacing w:after="0" w:line="23" w:lineRule="exact"/>
        <w:rPr>
          <w:sz w:val="20"/>
          <w:szCs w:val="20"/>
          <w:color w:val="auto"/>
        </w:rPr>
      </w:pPr>
    </w:p>
    <w:p>
      <w:pPr>
        <w:ind w:left="4600" w:right="100"/>
        <w:spacing w:after="0" w:line="255" w:lineRule="auto"/>
        <w:rPr>
          <w:sz w:val="20"/>
          <w:szCs w:val="20"/>
          <w:color w:val="auto"/>
        </w:rPr>
      </w:pPr>
      <w:r>
        <w:rPr>
          <w:rFonts w:ascii="Arial" w:cs="Arial" w:eastAsia="Arial" w:hAnsi="Arial"/>
          <w:sz w:val="18"/>
          <w:szCs w:val="18"/>
          <w:color w:val="auto"/>
        </w:rPr>
        <w:t>series ranking equally and ratably with the notes of such series in all respects, so that such additional notes shall be considered and form a single series with the notes of such series.</w:t>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r>
      <w:tr>
        <w:trPr>
          <w:trHeight w:val="264"/>
        </w:trPr>
        <w:tc>
          <w:tcPr>
            <w:tcW w:w="64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r>
      <w:tr>
        <w:trPr>
          <w:trHeight w:val="20"/>
        </w:trPr>
        <w:tc>
          <w:tcPr>
            <w:tcW w:w="6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920" w:right="20" w:firstLine="397"/>
        <w:spacing w:after="0" w:line="279"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earnings before taxes, cumulative effects of changes in accounting principles, losses in equity investments, minority interest expense and fixed charges. Fixed charges consist of total interest, whether expensed or capitalized, and the portion of our operating lease rental expense that represents an interest factor.</w:t>
      </w:r>
    </w:p>
    <w:p>
      <w:pPr>
        <w:sectPr>
          <w:pgSz w:w="11900" w:h="16838" w:orient="portrait"/>
          <w:cols w:equalWidth="0" w:num="1">
            <w:col w:w="10760"/>
          </w:cols>
          <w:pgMar w:left="240" w:top="419"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materially impair our business operations. The events discussed in the risk factors below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As of December 31, 2008, our operating subsidiaries had $3.25 billion of indebtedness, excluding inter-company loans. Any inability to pay amounts to us, whether by reason of financial difficulties or other restrictions, could have a material adverse effect on our ability to service and repay our debt, including the notes.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have substantial indebtedness.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have substantial indebtedness. At December 31, 2008, our ratio of total debt to total capitalization was 58.5% and our total</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consolidated indebtedness as of December 31, 2008 was $8.33 billion. Our annual debt service obligations vary due to differing</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maturities on all of our debt instruments; however, our total interest expense for the twelve months ended December 31, 2008 was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$472 million. A 1% increase in interest rates for our variable rate instruments, including our interest rate swaps, would have increased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interest expense for the twelve months ended December 31, 2008 by 6.4%, or $30 million. Such an increase would have caused our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coverage ratio, which we calculate as consolidated net income plus interest and income taxes over interest expense, to decrease from 4.7</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1 to 4.4 to 1 for the twelve months ended December 31, 2008. Although such an interest rate increase would also affect our other debt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covenants, we would still be in compliance with all of these covenants, including the coverage ratio covenant. However, any more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substantial increases in interest rates for our variable rate instruments could affect our compliance with our debt covenants, liquidity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ability to service our debt, including making payments on the notes.</w:t>
      </w:r>
    </w:p>
    <w:p>
      <w:pPr>
        <w:spacing w:after="0" w:line="116" w:lineRule="exact"/>
        <w:rPr>
          <w:sz w:val="20"/>
          <w:szCs w:val="20"/>
          <w:color w:val="auto"/>
        </w:rPr>
      </w:pPr>
    </w:p>
    <w:p>
      <w:pPr>
        <w:ind w:left="700" w:right="360" w:firstLine="397"/>
        <w:spacing w:after="0" w:line="279" w:lineRule="auto"/>
        <w:rPr>
          <w:sz w:val="20"/>
          <w:szCs w:val="20"/>
          <w:color w:val="auto"/>
        </w:rPr>
      </w:pPr>
      <w:r>
        <w:rPr>
          <w:rFonts w:ascii="Arial" w:cs="Arial" w:eastAsia="Arial" w:hAnsi="Arial"/>
          <w:sz w:val="17"/>
          <w:szCs w:val="17"/>
          <w:color w:val="auto"/>
        </w:rPr>
        <w:t>The degree to which we are leveraged could adversely affect our ability to obtain additional financing and could make us more vulnerable to industry downturns or competitive pressures, all of which could materially adversely affect our ability to meet our debt service obligations. Additionally, our indentures do not limit the amount of future indebtedness that we can create, incur, assume or guarantee. The incurrence of additional debt could exacerbate any risks associated with our liquidity.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and we cannot assure you as to what standard a court would apply in order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0" w:lineRule="exact"/>
        <w:rPr>
          <w:sz w:val="20"/>
          <w:szCs w:val="20"/>
          <w:color w:val="auto"/>
        </w:rPr>
      </w:pPr>
    </w:p>
    <w:p>
      <w:pPr>
        <w:ind w:left="900" w:right="44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2"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or quotation of the notes on any dealer quotation system.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94" w:lineRule="exact"/>
        <w:rPr>
          <w:sz w:val="20"/>
          <w:szCs w:val="20"/>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economic conditions can adversely affect our revenues and our operating margins.</w:t>
      </w:r>
    </w:p>
    <w:p>
      <w:pPr>
        <w:spacing w:after="0" w:line="131"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The availability of credit in the second half of 2008 was severely limited, which negatively affected business and consumer spending generally. If our customers do not have access to capital, we do not expect that our volumes will improve or that we will increase new business. Additionally, if we are unable to access credit on favorable terms, our growth, development and capital spending plans may be adversely affected.</w:t>
      </w: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of two national waste management companies,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84"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9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If we do not successfully manage our costs, or do not successfully implement our plans and strategies to improve margins, our income from operations could be lower than expected.</w:t>
      </w:r>
    </w:p>
    <w:p>
      <w:pPr>
        <w:spacing w:after="0" w:line="76"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In recent years, we have implemented several profit improvement initiatives aimed at lowering our costs and enhancing our revenues. We have implemented price increases and environmental fees, and we have continued our fuel surcharge program, all of which have increased our internal revenue growth. The loss of volumes as a result of price increases may negatively affect our cash flows or results of operations.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Additionally, in February 2009 we announced that we had taken steps to realign our field operations to combine several of our market areas in an effort to achieve greater economies of scale in our local and regional operations and our corporate organization to provide support functions more efficiently. If we are not able to fully or successfully implement our plans and strategies for any reason, many of which are out of our control, we may not see the expected improvements in our income from operations or our operating margins.</w:t>
      </w:r>
    </w:p>
    <w:p>
      <w:pPr>
        <w:spacing w:after="0" w:line="191"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causes our quarterly results to fluctuate, and prior performance is not necessarily indicative of our future results.</w:t>
      </w:r>
    </w:p>
    <w:p>
      <w:pPr>
        <w:spacing w:after="0" w:line="76"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 to-energy facilities. 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186"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76" w:lineRule="exact"/>
        <w:rPr>
          <w:sz w:val="20"/>
          <w:szCs w:val="20"/>
          <w:color w:val="auto"/>
        </w:rPr>
      </w:pPr>
    </w:p>
    <w:p>
      <w:pPr>
        <w:ind w:left="700" w:right="760" w:firstLine="397"/>
        <w:spacing w:after="0" w:line="277" w:lineRule="auto"/>
        <w:rPr>
          <w:sz w:val="20"/>
          <w:szCs w:val="20"/>
          <w:color w:val="auto"/>
        </w:rPr>
      </w:pPr>
      <w:r>
        <w:rPr>
          <w:rFonts w:ascii="Arial" w:cs="Arial" w:eastAsia="Arial" w:hAnsi="Arial"/>
          <w:sz w:val="18"/>
          <w:szCs w:val="18"/>
          <w:color w:val="auto"/>
        </w:rPr>
        <w:t>We could be liable if our operations cause environmental damage to our properties or to the property of other landowners, particularly as a result of the contamination of air, drinking water or soil. Under current law,</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94"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9" w:lineRule="exact"/>
        <w:rPr>
          <w:sz w:val="20"/>
          <w:szCs w:val="20"/>
          <w:color w:val="auto"/>
        </w:rPr>
      </w:pPr>
    </w:p>
    <w:p>
      <w:pPr>
        <w:ind w:left="1300" w:right="540" w:hanging="202"/>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7"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95"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76"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77"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or processing facilities or expanding existing facilities;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mandates regarding the disposal of solid waste, including requirements to recycle rather than landfill certain waste streams.</w:t>
      </w:r>
    </w:p>
    <w:p>
      <w:pPr>
        <w:spacing w:after="0" w:line="142"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7"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Governmental authorities may enact climate change regulations that could increase our costs to operate.</w:t>
      </w:r>
    </w:p>
    <w:p>
      <w:pPr>
        <w:spacing w:after="0" w:line="131"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Environmental advocacy groups and regulatory agencies in the United States have been focusing considerable attention on the emissions of greenhouse gases and their potential role in climate change. The</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spacing w:after="0" w:line="297" w:lineRule="auto"/>
        <w:rPr>
          <w:sz w:val="20"/>
          <w:szCs w:val="20"/>
          <w:color w:val="auto"/>
        </w:rPr>
      </w:pPr>
      <w:r>
        <w:rPr>
          <w:rFonts w:ascii="Arial" w:cs="Arial" w:eastAsia="Arial" w:hAnsi="Arial"/>
          <w:sz w:val="16"/>
          <w:szCs w:val="16"/>
          <w:color w:val="auto"/>
        </w:rPr>
        <w:t>adoption of laws and regulations to implement controls of greenhouse gases, including the imposition of fees or taxes, could adversely affect our collection and disposal operations. Additionally, certain of the states in which we operate are contemplating air pollution control regulations that are more stringent than existing and proposed federal regulations. Changing environmental regulations could require us to take any number of actions, including the purchase of emission allowances or installation of additional pollution control technology, and could make some operations less profitable, which could adversely affect our results of operations.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131"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56% on a year-over-year basis and decrease by as much as 9% on a year-over-year basis within the last two years.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186" w:lineRule="exact"/>
        <w:rPr>
          <w:sz w:val="20"/>
          <w:szCs w:val="20"/>
          <w:color w:val="auto"/>
        </w:rPr>
      </w:pPr>
    </w:p>
    <w:p>
      <w:pPr>
        <w:ind w:left="900" w:right="240"/>
        <w:spacing w:after="0" w:line="381" w:lineRule="auto"/>
        <w:rPr>
          <w:sz w:val="20"/>
          <w:szCs w:val="20"/>
          <w:color w:val="auto"/>
        </w:rPr>
      </w:pPr>
      <w:r>
        <w:rPr>
          <w:rFonts w:ascii="Arial" w:cs="Arial" w:eastAsia="Arial" w:hAnsi="Arial"/>
          <w:sz w:val="15"/>
          <w:szCs w:val="15"/>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additional costs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were unable to meet their obligations, or our own obligations for claims were more than we estimated, there could be a material adverse effect to our financial results.</w:t>
      </w:r>
    </w:p>
    <w:p>
      <w:pPr>
        <w:spacing w:after="0" w:line="72"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parent company financial guarantees. We currently have in place all financial assurance instruments necessary for our operations. We do not anticipate any unmanageable difficulty in obtaining financial assurance instruments in the future, although general economic factors may adversely affect the cost of our current financial assurance instruments.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record material charges against our earnings due to any number of events that could cause impairments to our assets.</w:t>
      </w:r>
    </w:p>
    <w:p>
      <w:pPr>
        <w:spacing w:after="0" w:line="154"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The recent downturn in the recycling commodities market could potentially cause the carrying value of our recycling operations’ assets to be lower than their fair value, resulting in an impairment to goodwill.</w:t>
      </w:r>
    </w:p>
    <w:p>
      <w:pPr>
        <w:spacing w:after="0" w:line="72"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We may be required to incur charges against earnings if we determine that events such as those described cause impairments. Any such charges could have a material adverse effect on our results of operations.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as we experienced in 2008. In the fourth quarter of 2008, the monthly market prices for OCC and ONP fell by 79% and 72%, respectively, from their high points within the year. The decline in market prices for commodities resulted in a fourth quarter 2008 year-over-year decrease in revenue of almost $100 million. Additionally, our recycling operations offer rebates to suppliers. Therefore, even if we experience higher revenues based on increased market prices for commodities, the rebates we pay will also increase and in some circumstances, the rebates may have floors even as market prices decrease, which could eliminate any expected profit margins.</w:t>
      </w:r>
    </w:p>
    <w:p>
      <w:pPr>
        <w:spacing w:after="0" w:line="87"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volatility does not cause our quarterly results to fluctuate significantly. However, as longer-term agreements expire and are up for renewal, or as market prices remain at lower levels for sustained periods, our revenues will be adversely affected. Additionally, revenues from our independent power production plants can be affected by price fluctuations. In the past two years, the year-over-year changes in the average quarterly electricity prices have ranged from increases of as much as 26% to decreases of as much as 5%.</w:t>
      </w:r>
    </w:p>
    <w:p>
      <w:pPr>
        <w:spacing w:after="0" w:line="206" w:lineRule="exact"/>
        <w:rPr>
          <w:sz w:val="20"/>
          <w:szCs w:val="20"/>
          <w:color w:val="auto"/>
        </w:rPr>
      </w:pPr>
    </w:p>
    <w:p>
      <w:pPr>
        <w:ind w:left="900" w:right="540"/>
        <w:spacing w:after="0" w:line="277" w:lineRule="auto"/>
        <w:rPr>
          <w:sz w:val="20"/>
          <w:szCs w:val="20"/>
          <w:color w:val="auto"/>
        </w:rPr>
      </w:pPr>
      <w:r>
        <w:rPr>
          <w:rFonts w:ascii="Arial" w:cs="Arial" w:eastAsia="Arial" w:hAnsi="Arial"/>
          <w:sz w:val="18"/>
          <w:szCs w:val="18"/>
          <w:b w:val="1"/>
          <w:bCs w:val="1"/>
          <w:i w:val="1"/>
          <w:iCs w:val="1"/>
          <w:color w:val="auto"/>
        </w:rPr>
        <w:t>The development and acceptance of alternatives to landfill disposal and waste-to-energy facilities could reduce our ability to operate at full capacity.</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i w:val="1"/>
          <w:iCs w:val="1"/>
          <w:color w:val="auto"/>
        </w:rPr>
        <w:t>Our operating expenses could increase as a result of labor unions organizing or changes in regulations related to labor unions.</w:t>
      </w:r>
    </w:p>
    <w:p>
      <w:pPr>
        <w:spacing w:after="0" w:line="154"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Considerable attention has been focused on proposed legislation that could amend the National Labor Relations Act that would make it easier for unions to become recognized as the bargaining representatives for employees. Depending on the form of legislation, if any, that is ultimately enacted, it is reasonably possible that our operating expenses would increase as a result of the provisions of such legislation. If we are unable to negotiate acceptable collective bargaining agreements, or future legislation requires us to submit the terms of employment to binding arbitration in the event an agreement can not be reached in a timely manner, our operating expenses could increase significantly as a result of work stoppages, including strikes, or unfavorable terms in such agreements that result from arbitration. Any of these matters could adversely affect our financial condition, results of operations and cash flows.</w:t>
      </w:r>
    </w:p>
    <w:p>
      <w:pPr>
        <w:spacing w:after="0" w:line="186"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00"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76"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 There can be no assurances that our issues related to the licensed application will not ultimately result in an impairment charge, which could be material. Additionally, any systems failures could impede our ability to timely collect and report financial results in accordance with applicable laws and regulations.</w:t>
      </w:r>
    </w:p>
    <w:p>
      <w:pPr>
        <w:spacing w:after="0" w:line="206"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76"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Unforeseen circumstances could result in a need for additional capital.</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We currently expect to meet our anticipated cash needs for capital expenditures, scheduled debt repayments, acquisitions and other cash expenditures with our cash flows from operations and, to the extent necessary and available, additional financings. However, materially adverse events, including recent economic conditions, may reduce our cash flows from operations. Our Board of Directors has approved a capital allocation program for 2009 that provides for up to $1.3 billion in aggregate dividend payments, share repurchases, acquisitions and debt reductions. In December 2008, we announced that we expect future</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3" w:lineRule="auto"/>
        <w:rPr>
          <w:sz w:val="20"/>
          <w:szCs w:val="20"/>
          <w:color w:val="auto"/>
        </w:rPr>
      </w:pPr>
      <w:r>
        <w:rPr>
          <w:rFonts w:ascii="Arial" w:cs="Arial" w:eastAsia="Arial" w:hAnsi="Arial"/>
          <w:sz w:val="17"/>
          <w:szCs w:val="17"/>
          <w:color w:val="auto"/>
        </w:rPr>
        <w:t>quarterly dividend payments, when declared by the Board of Directors, to be $0.29 per share. If the impact on our cash flows from operations is significant, we may need to reduce capital expenditures, acquisition activity or dividend declarations unless we are able to incur indebtedness to either pay for these activities or refinance our scheduled debt maturities. In light of the recent state of the credit markets, there can be no assurances that we will be able to obtain additional financings on acceptable terms. In these circumstances, we would likely use our revolving credit facility to meet our cash needs, to the extent available. As of December 31, 2008, we had $297 million of capacity under our revolving credit facility.</w:t>
      </w:r>
    </w:p>
    <w:p>
      <w:pPr>
        <w:spacing w:after="0" w:line="84" w:lineRule="exact"/>
        <w:rPr>
          <w:sz w:val="20"/>
          <w:szCs w:val="20"/>
          <w:color w:val="auto"/>
        </w:rPr>
      </w:pPr>
    </w:p>
    <w:p>
      <w:pPr>
        <w:jc w:val="both"/>
        <w:ind w:left="700" w:right="100" w:firstLine="397"/>
        <w:spacing w:after="0" w:line="259" w:lineRule="auto"/>
        <w:rPr>
          <w:sz w:val="20"/>
          <w:szCs w:val="20"/>
          <w:color w:val="auto"/>
        </w:rPr>
      </w:pPr>
      <w:r>
        <w:rPr>
          <w:rFonts w:ascii="Arial" w:cs="Arial" w:eastAsia="Arial" w:hAnsi="Arial"/>
          <w:sz w:val="18"/>
          <w:szCs w:val="18"/>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Any such default would have a material adverse effect on our ability to operate.</w:t>
      </w:r>
    </w:p>
    <w:p>
      <w:pPr>
        <w:spacing w:after="0" w:line="304"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We expect the net proceeds from the offering of the notes to be $792.6 million, after deducting discounts to the underwriters and estimated expenses of the offering that we will pay. We intend to use the net proceeds to repay the $500 million principal amount of our outstanding 6.875% Senior Notes when they mature in May 2009. We intend to use any remaining proceeds for general corporate purposes, which may include repayments of amounts outstanding under our revolving credit facility. Pending application of the offering proceeds as described, we may temporarily invest the proceeds in short-term investments.</w:t>
      </w:r>
    </w:p>
    <w:p>
      <w:pPr>
        <w:spacing w:after="0" w:line="78"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Affiliates of some of the underwriters are lenders under our revolving credit facility and may receive a share of the proceeds of this offering as a result of any repayment of outstanding indebtedness under our revolving credit facility. See “Underwriting.”</w:t>
      </w:r>
    </w:p>
    <w:p>
      <w:pPr>
        <w:spacing w:after="0" w:line="3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The following table sets forth our consolidated cash and cash equivalents and consolidated capitalization as of December 31, 2008 and as adjusted to give effect to the offering of the notes and the application of the net proceeds as described under “Use of Proceeds.”</w:t>
      </w:r>
    </w:p>
    <w:p>
      <w:pPr>
        <w:spacing w:after="0" w:line="29"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“Where You Can Find More Information.”</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(weighted average interest rate of 2.4% at December 31, 2008)(a)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Canadian credit facility (weighted average interest rate of 3.3% at December 31, 2008)(b)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Maturing through 2032, interest rates ranging from 5.0% to 7.75% (weighted average interest rate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520"/>
              <w:spacing w:after="0"/>
              <w:rPr>
                <w:sz w:val="20"/>
                <w:szCs w:val="20"/>
                <w:color w:val="auto"/>
              </w:rPr>
            </w:pPr>
            <w:r>
              <w:rPr>
                <w:rFonts w:ascii="Arial" w:cs="Arial" w:eastAsia="Arial" w:hAnsi="Arial"/>
                <w:sz w:val="18"/>
                <w:szCs w:val="18"/>
                <w:color w:val="auto"/>
              </w:rPr>
              <w:t>6.8% at December 31, 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6.375% Senior Notes due 2015 offered hereby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520"/>
              <w:spacing w:after="0"/>
              <w:rPr>
                <w:sz w:val="20"/>
                <w:szCs w:val="20"/>
                <w:color w:val="auto"/>
              </w:rPr>
            </w:pPr>
            <w:r>
              <w:rPr>
                <w:rFonts w:ascii="Arial" w:cs="Arial" w:eastAsia="Arial" w:hAnsi="Arial"/>
                <w:sz w:val="18"/>
                <w:szCs w:val="18"/>
                <w:color w:val="auto"/>
              </w:rPr>
              <w:t>7.375% Senior Notes due 2019 offered hereby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Tax-exempt bonds maturing through 2039, fixed and variable interest rates ranging from 0.9% to 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interest rate of 3.9% at December 31, 2008)(c)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tcPr>
          <w:p>
            <w:pPr>
              <w:spacing w:after="0" w:line="201" w:lineRule="exact"/>
              <w:rPr>
                <w:sz w:val="20"/>
                <w:szCs w:val="20"/>
                <w:color w:val="auto"/>
              </w:rPr>
            </w:pPr>
            <w:r>
              <w:rPr>
                <w:rFonts w:ascii="Arial" w:cs="Arial" w:eastAsia="Arial" w:hAnsi="Arial"/>
                <w:sz w:val="18"/>
                <w:szCs w:val="18"/>
                <w:color w:val="auto"/>
                <w:w w:val="98"/>
              </w:rPr>
              <w:t>Tax-exempt project bonds, principal payable in periodic installments, maturing through 2029, fixed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w w:val="92"/>
              </w:rPr>
              <w:t>variable interest rates ranging from 1.2% to 9.3% (weighted average interest rate of 4.9% at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2008)(d)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Treasury stock at cost, 139,546,915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(4,381)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debt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14,228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00" w:hanging="40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party to a $2.4 billion revolving credit facility that matures on August 17, 2011.</w:t>
      </w:r>
    </w:p>
    <w:p>
      <w:pPr>
        <w:spacing w:after="0" w:line="63" w:lineRule="exact"/>
        <w:rPr>
          <w:rFonts w:ascii="Arial" w:cs="Arial" w:eastAsia="Arial" w:hAnsi="Arial"/>
          <w:sz w:val="18"/>
          <w:szCs w:val="18"/>
          <w:color w:val="auto"/>
        </w:rPr>
      </w:pPr>
    </w:p>
    <w:p>
      <w:pPr>
        <w:ind w:left="1100" w:right="480" w:hanging="407"/>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Management of Canada Corporation, our wholly 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100" w:right="340" w:hanging="407"/>
        <w:spacing w:after="0" w:line="305"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ind w:left="1100" w:right="180" w:hanging="407"/>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project bonds are used primarily by our Wheelabrator Group, which owns and operates waste-to-energy facilities and independent power production plants, to finance the development of the waste-to-energy facilities.</w:t>
      </w:r>
    </w:p>
    <w:p>
      <w:pPr>
        <w:spacing w:after="0" w:line="3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80" w:firstLine="397"/>
        <w:spacing w:after="0" w:line="327" w:lineRule="auto"/>
        <w:rPr>
          <w:sz w:val="20"/>
          <w:szCs w:val="20"/>
          <w:color w:val="auto"/>
        </w:rPr>
      </w:pPr>
      <w:r>
        <w:rPr>
          <w:rFonts w:ascii="Arial" w:cs="Arial" w:eastAsia="Arial" w:hAnsi="Arial"/>
          <w:sz w:val="15"/>
          <w:szCs w:val="15"/>
          <w:color w:val="auto"/>
        </w:rPr>
        <w:t>The notes of each series will be issued under and pursuant to an Indenture dated as of September 10, 1997, between us and The Bank of New York Mellon Trust Company, N.A. (the current successor to Texas Commerce Bank National Association), as Trustee. The 2015 notes and 2019 notes are separate series of notes under the Indenture. We will issue the notes of each series pursuant to a resolution of our Board of Directors and accompanying officers’ certificate setting forth the specific terms applicable to the notes of each series.</w:t>
      </w:r>
    </w:p>
    <w:p>
      <w:pPr>
        <w:spacing w:after="0" w:line="4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forms of which are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117" w:lineRule="exact"/>
        <w:rPr>
          <w:rFonts w:ascii="Arial" w:cs="Arial" w:eastAsia="Arial" w:hAnsi="Arial"/>
          <w:sz w:val="18"/>
          <w:szCs w:val="18"/>
          <w:color w:val="auto"/>
        </w:rPr>
      </w:pPr>
    </w:p>
    <w:p>
      <w:pPr>
        <w:ind w:left="1300" w:right="420" w:hanging="202"/>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constitute new and separate series of debt securities issued under the Indenture: the 2015 notes will be initially limited to an aggregate principal amount of $350 million and the 2019 notes will be initially limited to an aggregate principal amount of $450 million;</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mature on March 11, 2015 in the case of the 2015 notes and March 11, 2019, in the case of the 2019 notes;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minimum denominations of $2,000 and integral multiples of $1,000 in excess thereof; and</w:t>
      </w:r>
    </w:p>
    <w:p>
      <w:pPr>
        <w:spacing w:after="0" w:line="117" w:lineRule="exact"/>
        <w:rPr>
          <w:rFonts w:ascii="Arial" w:cs="Arial" w:eastAsia="Arial" w:hAnsi="Arial"/>
          <w:sz w:val="18"/>
          <w:szCs w:val="18"/>
          <w:color w:val="auto"/>
        </w:rPr>
      </w:pPr>
    </w:p>
    <w:p>
      <w:pPr>
        <w:jc w:val="both"/>
        <w:ind w:left="1300" w:right="100" w:hanging="202"/>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accrue on the 2015 notes at the rate of 6.375% per annum and accrue on the 2019 notes at the rate of 7.375% per annum;</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 from February 26, 2009 or the most recent interest payment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 payable in cash semi-annually in arrears on March 11 and September 11 of each year, beginning on September 11, 2009;</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 payable to holders of record on the March 1 and September 1 immediately preceding the related interest payment dates;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on behalf (for the benefit) of The Bank of New York Mellon Trust Company, N.A., located at 101 Barclay Street, Floor 21 West, New York, New York 10286).</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on behalf (for the benefit) of The Bank of New York Mellon Trust Company, N.A., or by check mailed directly to registered holders at their registered addresses or by wire transfer to an account designated by a registered holder.</w:t>
      </w:r>
    </w:p>
    <w:p>
      <w:pPr>
        <w:spacing w:after="0" w:line="9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notes of each series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right="20" w:hanging="202"/>
        <w:spacing w:after="0" w:line="288"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 calculation of the redemption price) on the notes of the applicable series to be redeemed (exclusive of interest accrued to the date of redemption) discounted to the date of redemption on a semi-annual basis (assuming a 360-day year consisting of twelve</w:t>
      </w:r>
    </w:p>
    <w:p>
      <w:pPr>
        <w:ind w:left="1300" w:right="40"/>
        <w:spacing w:after="0" w:line="261" w:lineRule="auto"/>
        <w:rPr>
          <w:rFonts w:ascii="Arial" w:cs="Arial" w:eastAsia="Arial" w:hAnsi="Arial"/>
          <w:sz w:val="16"/>
          <w:szCs w:val="16"/>
          <w:color w:val="auto"/>
        </w:rPr>
      </w:pPr>
      <w:r>
        <w:rPr>
          <w:rFonts w:ascii="Arial" w:cs="Arial" w:eastAsia="Arial" w:hAnsi="Arial"/>
          <w:sz w:val="18"/>
          <w:szCs w:val="18"/>
          <w:color w:val="auto"/>
        </w:rPr>
        <w:t>30-day months) at the applicable Treasury Yield plus 50 basis points for the 2015 notes and at the applicable Treasury Yield plus 50 basis points for the 2019 notes;</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either series are redeemed at any time, the Trustee will select the notes to be redeemed on a pro rata basis or by any other method the Trustee deems fair and appropriate.</w:t>
      </w:r>
    </w:p>
    <w:p>
      <w:pPr>
        <w:spacing w:after="0" w:line="7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of a series, the rate per annum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semi-annual equivalent yield to maturity (computed as of the third business day immediately preceding the redemption date) of the Comparable Treasury Issue, assuming a price for the</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Comparable Treasury Issue (expressed as a percentage of its principal amount) equal to the applicable Comparable Treasury Price for the redemption date.</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 having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comparable to the remaining term of the notes of the series to be redeemed that would be utilized, at the time of selection and in accordance with customary financial practice, in pricing new issues of corporate debt securities of comparable maturity to the remaining term of the notes of such series.</w:t>
      </w:r>
    </w:p>
    <w:p>
      <w:pPr>
        <w:spacing w:after="0" w:line="92"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Barclays Capital Inc., Credit Suisse Securities (USA) LLC, Deutsche Bank</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Inc. and Greenwich Capital Markets, Inc.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9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(a) the bid price for the Comparable Treasury Issue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“Reference Treasury Dealer” </w:t>
      </w:r>
      <w:r>
        <w:rPr>
          <w:rFonts w:ascii="Arial" w:cs="Arial" w:eastAsia="Arial" w:hAnsi="Arial"/>
          <w:sz w:val="17"/>
          <w:szCs w:val="17"/>
          <w:color w:val="auto"/>
        </w:rPr>
        <w:t>means (i) each of Barclays Capital Inc., Credit Suisse Securities (USA) LLC, Deutsche Bank</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Securities Inc. and Greenwich Capital Markets, Inc. (and their respective successors), unless any of them ceases to be a primary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U.S. government securities dealer in New York City (a “Primary Treasury Dealer”), in which case we will substitute therefore another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Primary Treasury Dealer, and (ii) any other Primary Treasury Dealer selected by us.</w:t>
      </w:r>
    </w:p>
    <w:p>
      <w:pPr>
        <w:spacing w:after="0" w:line="116"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of a series,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680" w:firstLine="397"/>
        <w:spacing w:after="0" w:line="308" w:lineRule="auto"/>
        <w:rPr>
          <w:sz w:val="20"/>
          <w:szCs w:val="20"/>
          <w:color w:val="auto"/>
        </w:rPr>
      </w:pPr>
      <w:r>
        <w:rPr>
          <w:rFonts w:ascii="Arial" w:cs="Arial" w:eastAsia="Arial" w:hAnsi="Arial"/>
          <w:sz w:val="17"/>
          <w:szCs w:val="17"/>
          <w:color w:val="auto"/>
        </w:rPr>
        <w:t>Each series of notes will be subject to legal defeasance and to covenant defeasance as provided under “Description of Debt Securities — Provisions Applicable to Each Indenture — Defeasance” in the accompanying prospectus.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87" w:lineRule="exact"/>
        <w:rPr>
          <w:sz w:val="20"/>
          <w:szCs w:val="20"/>
          <w:color w:val="auto"/>
        </w:rPr>
      </w:pPr>
    </w:p>
    <w:p>
      <w:pPr>
        <w:ind w:left="1720" w:hanging="249"/>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200" w:firstLine="372"/>
        <w:spacing w:after="0" w:line="312" w:lineRule="auto"/>
        <w:tabs>
          <w:tab w:leader="none" w:pos="20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100" w:hanging="248"/>
        <w:spacing w:after="0"/>
        <w:tabs>
          <w:tab w:leader="none" w:pos="2100" w:val="left"/>
        </w:tabs>
        <w:numPr>
          <w:ilvl w:val="2"/>
          <w:numId w:val="11"/>
        </w:numPr>
        <w:rPr>
          <w:rFonts w:ascii="Arial" w:cs="Arial" w:eastAsia="Arial" w:hAnsi="Arial"/>
          <w:sz w:val="17"/>
          <w:szCs w:val="17"/>
          <w:color w:val="auto"/>
        </w:rPr>
      </w:pPr>
      <w:r>
        <w:rPr>
          <w:rFonts w:ascii="Arial" w:cs="Arial" w:eastAsia="Arial" w:hAnsi="Arial"/>
          <w:sz w:val="17"/>
          <w:szCs w:val="17"/>
          <w:color w:val="auto"/>
        </w:rPr>
        <w:t>all notes of that series not theretofore delivered to the Trustee for cancellation (i) have become due and payable,</w:t>
      </w:r>
    </w:p>
    <w:p>
      <w:pPr>
        <w:spacing w:after="0" w:line="34" w:lineRule="exact"/>
        <w:rPr>
          <w:rFonts w:ascii="Arial" w:cs="Arial" w:eastAsia="Arial" w:hAnsi="Arial"/>
          <w:sz w:val="17"/>
          <w:szCs w:val="17"/>
          <w:color w:val="auto"/>
        </w:rPr>
      </w:pPr>
    </w:p>
    <w:p>
      <w:pPr>
        <w:jc w:val="both"/>
        <w:ind w:left="1480" w:firstLine="7"/>
        <w:spacing w:after="0" w:line="315" w:lineRule="auto"/>
        <w:tabs>
          <w:tab w:leader="none" w:pos="1745" w:val="left"/>
        </w:tabs>
        <w:numPr>
          <w:ilvl w:val="1"/>
          <w:numId w:val="12"/>
        </w:numPr>
        <w:rPr>
          <w:rFonts w:ascii="Arial" w:cs="Arial" w:eastAsia="Arial" w:hAnsi="Arial"/>
          <w:sz w:val="15"/>
          <w:szCs w:val="15"/>
          <w:color w:val="auto"/>
        </w:rPr>
      </w:pPr>
      <w:r>
        <w:rPr>
          <w:rFonts w:ascii="Arial" w:cs="Arial" w:eastAsia="Arial" w:hAnsi="Arial"/>
          <w:sz w:val="15"/>
          <w:szCs w:val="15"/>
          <w:color w:val="auto"/>
        </w:rPr>
        <w:t>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55" w:lineRule="exact"/>
        <w:rPr>
          <w:rFonts w:ascii="Arial" w:cs="Arial" w:eastAsia="Arial" w:hAnsi="Arial"/>
          <w:sz w:val="15"/>
          <w:szCs w:val="15"/>
          <w:color w:val="auto"/>
        </w:rPr>
      </w:pPr>
    </w:p>
    <w:p>
      <w:pPr>
        <w:ind w:left="1720" w:hanging="249"/>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13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7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52"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The notes will be structurally subordinated to all obligations of our operating subsidiaries, including claims of trade payables.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75"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As of December 31, 2008, our operating subsidiaries had $3.25 billion of indebtedness and WM Holdings had $638 million of indebtedness (excluding guarantees of $4.3 billion of our senior debt), in each case excluding intercompany loans.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440" w:firstLine="397"/>
        <w:spacing w:after="0" w:line="257" w:lineRule="auto"/>
        <w:rPr>
          <w:sz w:val="20"/>
          <w:szCs w:val="20"/>
          <w:color w:val="auto"/>
        </w:rPr>
      </w:pPr>
      <w:r>
        <w:rPr>
          <w:rFonts w:ascii="Arial" w:cs="Arial" w:eastAsia="Arial" w:hAnsi="Arial"/>
          <w:sz w:val="18"/>
          <w:szCs w:val="18"/>
          <w:color w:val="auto"/>
        </w:rPr>
        <w:t>WM Holdings will unconditionally guarantee our obligations under the notes of each series.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of each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70"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80"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 by</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i w:val="1"/>
          <w:iCs w:val="1"/>
          <w:color w:val="auto"/>
        </w:rPr>
        <w:t xml:space="preserve">“rating agencies” </w:t>
      </w:r>
      <w:r>
        <w:rPr>
          <w:rFonts w:ascii="Arial" w:cs="Arial" w:eastAsia="Arial" w:hAnsi="Arial"/>
          <w:sz w:val="17"/>
          <w:szCs w:val="17"/>
          <w:color w:val="auto"/>
        </w:rPr>
        <w:t>means (1) each of Fitch, Moody’s and S&amp;P and (2) if any of Fitch, Moody’s or S&amp;P ceases to rate the notes or</w:t>
      </w:r>
      <w:r>
        <w:rPr>
          <w:rFonts w:ascii="Arial" w:cs="Arial" w:eastAsia="Arial" w:hAnsi="Arial"/>
          <w:sz w:val="17"/>
          <w:szCs w:val="17"/>
          <w:i w:val="1"/>
          <w:iCs w:val="1"/>
          <w:color w:val="auto"/>
        </w:rPr>
        <w:t xml:space="preserve"> </w:t>
      </w:r>
      <w:r>
        <w:rPr>
          <w:rFonts w:ascii="Arial" w:cs="Arial" w:eastAsia="Arial" w:hAnsi="Arial"/>
          <w:sz w:val="17"/>
          <w:szCs w:val="17"/>
          <w:color w:val="auto"/>
        </w:rPr>
        <w:t>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i w:val="1"/>
          <w:iCs w:val="1"/>
          <w:color w:val="auto"/>
        </w:rPr>
        <w:t xml:space="preserve">“rating event” </w:t>
      </w:r>
      <w:r>
        <w:rPr>
          <w:rFonts w:ascii="Arial" w:cs="Arial" w:eastAsia="Arial" w:hAnsi="Arial"/>
          <w:sz w:val="18"/>
          <w:szCs w:val="18"/>
          <w:color w:val="auto"/>
        </w:rPr>
        <w:t>means the rating on the notes is lowered by at least two of the three rating agencies and the notes are rated below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rating by at least two of the three rating agencies, in any case on any day during the period (which period will be extended so long as the rating of the notes is under</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division of The McGraw-Hill Companies, Inc., and its successors.</w:t>
      </w:r>
    </w:p>
    <w:p>
      <w:pPr>
        <w:spacing w:after="0" w:line="13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from time to time, without notice or the consent of the registered holders of the notes, create and issue further notes ranking equally and ratably with the notes of either series in all respects (or in all respects except for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right="160" w:firstLine="397"/>
        <w:spacing w:after="0" w:line="288"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 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hanging="202"/>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78" w:lineRule="exact"/>
        <w:rPr>
          <w:rFonts w:ascii="Arial" w:cs="Arial" w:eastAsia="Arial" w:hAnsi="Arial"/>
          <w:sz w:val="18"/>
          <w:szCs w:val="18"/>
          <w:color w:val="auto"/>
        </w:rPr>
      </w:pPr>
    </w:p>
    <w:p>
      <w:pPr>
        <w:ind w:left="1300" w:right="20" w:hanging="202"/>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hanging="202"/>
        <w:spacing w:after="0" w:line="279"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20" w:hanging="20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beneficial owners will be governed by arrangements among them, subject to any statutory or regulatory requirements as may be in effect from time to time.</w:t>
      </w:r>
    </w:p>
    <w:p>
      <w:pPr>
        <w:spacing w:after="0" w:line="76"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92" w:lineRule="exact"/>
        <w:rPr>
          <w:sz w:val="20"/>
          <w:szCs w:val="20"/>
          <w:color w:val="auto"/>
        </w:rPr>
      </w:pPr>
    </w:p>
    <w:p>
      <w:pPr>
        <w:ind w:left="700" w:right="20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Transactions may now be settled through Euroclear in many currencies, including United States dollars and Japanese yen. Euroclear provides various other services, including securities lending and borrowing and interfaces with domestic markets in several countries generally similar to the arrangements for cross-market transfers with DTC.</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Euroclear is operated by the Euroclear Operator under a contract with Euroclear Clearance System plc, a U.K. corporation, or the “Euroclear Clearance System.” The Euroclear Operator conducts all operations, and all Euroclear securities clearance accounts and Euroclear cash accounts are accounts with the Euroclear Operator, not Euroclear Clearance System. The Euroclear Clearance System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98"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92"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7"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84"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84"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16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80" w:firstLine="397"/>
        <w:spacing w:after="0" w:line="342" w:lineRule="auto"/>
        <w:rPr>
          <w:sz w:val="20"/>
          <w:szCs w:val="20"/>
          <w:color w:val="auto"/>
        </w:rPr>
      </w:pPr>
      <w:r>
        <w:rPr>
          <w:rFonts w:ascii="Arial" w:cs="Arial" w:eastAsia="Arial" w:hAnsi="Arial"/>
          <w:sz w:val="16"/>
          <w:szCs w:val="16"/>
          <w:color w:val="auto"/>
        </w:rPr>
        <w:t>Barclays Capital Inc., Credit Suisse Securities (USA) LLC, Deutsche Bank Securities Inc. and Greenwich Capital Markets, Inc. are acting as joint book-running and joint lead managers of the offering and as representatives of the underwriters named below.</w:t>
      </w:r>
    </w:p>
    <w:p>
      <w:pPr>
        <w:spacing w:after="0" w:line="29"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2015 notes and the 2019 notes set forth opposite the respective underwriters’ names.</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U</w:t>
            </w:r>
            <w:r>
              <w:rPr>
                <w:rFonts w:ascii="Arial" w:cs="Arial" w:eastAsia="Arial" w:hAnsi="Arial"/>
                <w:sz w:val="14"/>
                <w:szCs w:val="14"/>
                <w:b w:val="1"/>
                <w:bCs w:val="1"/>
                <w:color w:val="auto"/>
              </w:rPr>
              <w:t>nderwriters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Principal Amount</w:t>
            </w:r>
          </w:p>
        </w:tc>
        <w:tc>
          <w:tcPr>
            <w:tcW w:w="380" w:type="dxa"/>
            <w:vAlign w:val="bottom"/>
          </w:tcPr>
          <w:p>
            <w:pPr>
              <w:spacing w:after="0"/>
              <w:rPr>
                <w:sz w:val="14"/>
                <w:szCs w:val="1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rPr>
              <w:t>of 2015 Notes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of 2019 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70,000,000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Greenwich Capital Markets, Inc.</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70,000,000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BNY Mellon Capital Markets LLC</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11,667,000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Calyon Securities (USA) Inc.</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Goldman, Sachs &amp; Co.</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Morgan Keegan &amp; Company, Inc.</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Scotia Capital (USA) Inc.</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11,666,000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11,666,000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The underwriters propose to offer the notes of each series directly to the public at the public offering price set forth on the cover page of this prospectus supplement and may offer notes of each series to dealers at the public offering price less a concession not to exceed 0.35% of the principal amount of the 2015 notes and 0.40% of the principal amount of the 2019 notes. The underwriters may allow, and dealers may reallow, a concession not to exceed 0.175% of the principal amount of the 2015 notes and 0.20% of the principal amounts of the 2019 notes on sales to other dealers. After the initial offering of the notes to the public, the representatives may change the public offering price and concessions applicable to the notes of either series.</w:t>
      </w:r>
    </w:p>
    <w:p>
      <w:pPr>
        <w:spacing w:after="0" w:line="8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of either series in excess of the principal amount of notes of that series to be purchased by the underwriters in the offering, which creates a syndicate short position. Syndicate covering transactions involve purchases of the notes of either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95"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of either series. They may also cause the price of the notes to be higher than the price that otherwise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342" w:lineRule="auto"/>
        <w:rPr>
          <w:sz w:val="20"/>
          <w:szCs w:val="20"/>
          <w:color w:val="auto"/>
        </w:rPr>
      </w:pPr>
      <w:r>
        <w:rPr>
          <w:rFonts w:ascii="Arial" w:cs="Arial" w:eastAsia="Arial" w:hAnsi="Arial"/>
          <w:sz w:val="16"/>
          <w:szCs w:val="16"/>
          <w:color w:val="auto"/>
        </w:rPr>
        <w:t>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131"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76"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 (a) to legal entities which are authorized or regulated to operate in the financial markets or, if not so authorized or regulated, whose corporate purpose is solely to invest in securities; (b) to any legal entity which has two or more of (1) an average of at least 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Prospective Directive) subject to obtaining the prior consent of the manager for any such offer; or (d) in any other circumstances which do not require the publication by us of a prospectus pursuant to Article 3 of the Prospectus Directive. For the purposes of this provision, the term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for notes,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78"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FMSA does not apply to us.</w:t>
      </w:r>
    </w:p>
    <w:p>
      <w:pPr>
        <w:spacing w:after="0" w:line="64"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Certain of the underwriters or their affiliates have performed investment banking, commercial banking and advisory services for us from time to time for which they have received customary fees and expenses. The underwriters may, from time to time, engage in transactions with and perform services for us in the ordinary course of their business. Affiliates of all of the underwriters serve as lenders under our revolving credit facility. These affiliates of the underwriters may receive a portion of the proceeds from this offering as a result of any repayment of outstanding indebtedness thereunder, which may in aggregate be more than 10% of the net proceeds of this offering. Accordingly, this offering is being conducted in accordance with the requirements of Rule 5110 of the Financial Industry Regulatory Authority. The trustee for the notes is an affiliate of BNY Mellon Capital Markets LLC.</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2008 including the schedule appearing therein, and the effectiveness of Waste Management’s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163195</wp:posOffset>
            </wp:positionV>
            <wp:extent cx="126936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19"/>
        <w:spacing w:after="0"/>
        <w:rPr>
          <w:sz w:val="20"/>
          <w:szCs w:val="20"/>
          <w:color w:val="auto"/>
        </w:rPr>
      </w:pPr>
      <w:r>
        <w:rPr>
          <w:rFonts w:ascii="Arial" w:cs="Arial" w:eastAsia="Arial" w:hAnsi="Arial"/>
          <w:sz w:val="32"/>
          <w:szCs w:val="32"/>
          <w:b w:val="1"/>
          <w:bCs w:val="1"/>
          <w:color w:val="auto"/>
        </w:rPr>
        <w:t>WASTE MANAGEMENT, INC.</w:t>
      </w:r>
    </w:p>
    <w:p>
      <w:pPr>
        <w:spacing w:after="0" w:line="133"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DEBT SECURITIES</w:t>
      </w:r>
    </w:p>
    <w:p>
      <w:pPr>
        <w:spacing w:after="0" w:line="34" w:lineRule="exact"/>
        <w:rPr>
          <w:sz w:val="20"/>
          <w:szCs w:val="20"/>
          <w:color w:val="auto"/>
        </w:rPr>
      </w:pPr>
    </w:p>
    <w:p>
      <w:pPr>
        <w:jc w:val="center"/>
        <w:ind w:right="-819"/>
        <w:spacing w:after="0"/>
        <w:rPr>
          <w:sz w:val="20"/>
          <w:szCs w:val="20"/>
          <w:color w:val="auto"/>
        </w:rPr>
      </w:pPr>
      <w:r>
        <w:rPr>
          <w:rFonts w:ascii="Arial" w:cs="Arial" w:eastAsia="Arial" w:hAnsi="Arial"/>
          <w:sz w:val="27"/>
          <w:szCs w:val="27"/>
          <w:b w:val="1"/>
          <w:bCs w:val="1"/>
          <w:color w:val="auto"/>
        </w:rPr>
        <w:t>COMMON STOCK</w:t>
      </w:r>
    </w:p>
    <w:p>
      <w:pPr>
        <w:jc w:val="center"/>
        <w:ind w:right="-819"/>
        <w:spacing w:after="0"/>
        <w:rPr>
          <w:sz w:val="20"/>
          <w:szCs w:val="20"/>
          <w:color w:val="auto"/>
        </w:rPr>
      </w:pPr>
      <w:r>
        <w:rPr>
          <w:rFonts w:ascii="Arial" w:cs="Arial" w:eastAsia="Arial" w:hAnsi="Arial"/>
          <w:sz w:val="27"/>
          <w:szCs w:val="27"/>
          <w:b w:val="1"/>
          <w:bCs w:val="1"/>
          <w:color w:val="auto"/>
        </w:rPr>
        <w:t>PREFERRED STOCK</w:t>
      </w:r>
    </w:p>
    <w:p>
      <w:pPr>
        <w:jc w:val="center"/>
        <w:ind w:right="-819"/>
        <w:spacing w:after="0"/>
        <w:rPr>
          <w:sz w:val="20"/>
          <w:szCs w:val="20"/>
          <w:color w:val="auto"/>
        </w:rPr>
      </w:pPr>
      <w:r>
        <w:rPr>
          <w:rFonts w:ascii="Arial" w:cs="Arial" w:eastAsia="Arial" w:hAnsi="Arial"/>
          <w:sz w:val="27"/>
          <w:szCs w:val="27"/>
          <w:b w:val="1"/>
          <w:bCs w:val="1"/>
          <w:color w:val="auto"/>
        </w:rPr>
        <w:t>WARRANTS</w:t>
      </w:r>
    </w:p>
    <w:p>
      <w:pPr>
        <w:jc w:val="center"/>
        <w:ind w:right="-819"/>
        <w:spacing w:after="0"/>
        <w:rPr>
          <w:sz w:val="20"/>
          <w:szCs w:val="20"/>
          <w:color w:val="auto"/>
        </w:rPr>
      </w:pPr>
      <w:r>
        <w:rPr>
          <w:rFonts w:ascii="Arial" w:cs="Arial" w:eastAsia="Arial" w:hAnsi="Arial"/>
          <w:sz w:val="27"/>
          <w:szCs w:val="27"/>
          <w:b w:val="1"/>
          <w:bCs w:val="1"/>
          <w:color w:val="auto"/>
        </w:rPr>
        <w:t>GUARANTEES</w:t>
      </w:r>
    </w:p>
    <w:p>
      <w:pPr>
        <w:jc w:val="center"/>
        <w:ind w:right="-819"/>
        <w:spacing w:after="0"/>
        <w:rPr>
          <w:sz w:val="20"/>
          <w:szCs w:val="20"/>
          <w:color w:val="auto"/>
        </w:rPr>
      </w:pPr>
      <w:r>
        <w:rPr>
          <w:rFonts w:ascii="Arial" w:cs="Arial" w:eastAsia="Arial" w:hAnsi="Arial"/>
          <w:sz w:val="27"/>
          <w:szCs w:val="27"/>
          <w:b w:val="1"/>
          <w:bCs w:val="1"/>
          <w:color w:val="auto"/>
        </w:rPr>
        <w:t>UNITS</w:t>
      </w:r>
    </w:p>
    <w:p>
      <w:pPr>
        <w:spacing w:after="0" w:line="109"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“WMI.”</w:t>
      </w:r>
    </w:p>
    <w:p>
      <w:pPr>
        <w:spacing w:after="0" w:line="131"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You should consider carefully the risk factors included in our periodic reports filed with the SEC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16376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31"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36195</wp:posOffset>
            </wp:positionV>
            <wp:extent cx="16376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7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This prospectus is dated September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40" w:firstLine="298"/>
        <w:spacing w:after="0" w:line="275" w:lineRule="auto"/>
        <w:rPr>
          <w:sz w:val="20"/>
          <w:szCs w:val="20"/>
          <w:color w:val="auto"/>
        </w:rPr>
      </w:pPr>
      <w:r>
        <w:rPr>
          <w:rFonts w:ascii="Arial" w:cs="Arial" w:eastAsia="Arial" w:hAnsi="Arial"/>
          <w:sz w:val="16"/>
          <w:szCs w:val="16"/>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900" w:type="dxa"/>
            <w:vAlign w:val="bottom"/>
            <w:tcBorders>
              <w:bottom w:val="single" w:sz="8" w:color="0000EE"/>
            </w:tcBorders>
            <w:gridSpan w:val="11"/>
          </w:tcPr>
          <w:p>
            <w:pPr>
              <w:spacing w:after="0"/>
              <w:rPr>
                <w:rFonts w:ascii="Arial" w:cs="Arial" w:eastAsia="Arial" w:hAnsi="Arial"/>
                <w:sz w:val="16"/>
                <w:szCs w:val="16"/>
                <w:color w:val="0000EE"/>
                <w:w w:val="91"/>
              </w:rPr>
            </w:pPr>
            <w:hyperlink w:anchor="page32">
              <w:r>
                <w:rPr>
                  <w:rFonts w:ascii="Arial" w:cs="Arial" w:eastAsia="Arial" w:hAnsi="Arial"/>
                  <w:sz w:val="16"/>
                  <w:szCs w:val="16"/>
                  <w:color w:val="0000EE"/>
                  <w:w w:val="91"/>
                </w:rPr>
                <w:t>Forward-Looking Statements</w:t>
              </w:r>
            </w:hyperlink>
          </w:p>
        </w:tc>
        <w:tc>
          <w:tcPr>
            <w:tcW w:w="4240" w:type="dxa"/>
            <w:vAlign w:val="bottom"/>
            <w:gridSpan w:val="5"/>
          </w:tcPr>
          <w:p>
            <w:pPr>
              <w:spacing w:after="0"/>
              <w:rPr>
                <w:sz w:val="16"/>
                <w:szCs w:val="16"/>
                <w:color w:val="auto"/>
              </w:rPr>
            </w:pPr>
          </w:p>
        </w:tc>
        <w:tc>
          <w:tcPr>
            <w:tcW w:w="4580" w:type="dxa"/>
            <w:vAlign w:val="bottom"/>
          </w:tcPr>
          <w:p>
            <w:pPr>
              <w:jc w:val="right"/>
              <w:ind w:right="759"/>
              <w:spacing w:after="0"/>
              <w:rPr>
                <w:sz w:val="20"/>
                <w:szCs w:val="20"/>
                <w:color w:val="auto"/>
              </w:rPr>
            </w:pPr>
            <w:r>
              <w:rPr>
                <w:rFonts w:ascii="Arial" w:cs="Arial" w:eastAsia="Arial" w:hAnsi="Arial"/>
                <w:sz w:val="16"/>
                <w:szCs w:val="16"/>
                <w:color w:val="auto"/>
              </w:rPr>
              <w:t>1</w:t>
            </w:r>
          </w:p>
        </w:tc>
      </w:tr>
      <w:tr>
        <w:trPr>
          <w:trHeight w:val="183"/>
        </w:trPr>
        <w:tc>
          <w:tcPr>
            <w:tcW w:w="700" w:type="dxa"/>
            <w:vAlign w:val="bottom"/>
          </w:tcPr>
          <w:p>
            <w:pPr>
              <w:spacing w:after="0"/>
              <w:rPr>
                <w:sz w:val="15"/>
                <w:szCs w:val="15"/>
                <w:color w:val="auto"/>
              </w:rPr>
            </w:pPr>
          </w:p>
        </w:tc>
        <w:tc>
          <w:tcPr>
            <w:tcW w:w="1420" w:type="dxa"/>
            <w:vAlign w:val="bottom"/>
            <w:tcBorders>
              <w:bottom w:val="single" w:sz="8" w:color="0000EE"/>
            </w:tcBorders>
            <w:gridSpan w:val="6"/>
          </w:tcPr>
          <w:p>
            <w:pPr>
              <w:spacing w:after="0" w:line="183" w:lineRule="exact"/>
              <w:rPr>
                <w:rFonts w:ascii="Arial" w:cs="Arial" w:eastAsia="Arial" w:hAnsi="Arial"/>
                <w:sz w:val="16"/>
                <w:szCs w:val="16"/>
                <w:color w:val="0000EE"/>
                <w:w w:val="89"/>
              </w:rPr>
            </w:pPr>
            <w:hyperlink w:anchor="page33">
              <w:r>
                <w:rPr>
                  <w:rFonts w:ascii="Arial" w:cs="Arial" w:eastAsia="Arial" w:hAnsi="Arial"/>
                  <w:sz w:val="16"/>
                  <w:szCs w:val="16"/>
                  <w:color w:val="0000EE"/>
                  <w:w w:val="89"/>
                </w:rPr>
                <w:t>About this Prospectus</w:t>
              </w:r>
            </w:hyperlink>
          </w:p>
        </w:tc>
        <w:tc>
          <w:tcPr>
            <w:tcW w:w="4720" w:type="dxa"/>
            <w:vAlign w:val="bottom"/>
            <w:gridSpan w:val="10"/>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2</w:t>
            </w:r>
          </w:p>
        </w:tc>
      </w:tr>
      <w:tr>
        <w:trPr>
          <w:trHeight w:val="183"/>
        </w:trPr>
        <w:tc>
          <w:tcPr>
            <w:tcW w:w="700" w:type="dxa"/>
            <w:vAlign w:val="bottom"/>
          </w:tcPr>
          <w:p>
            <w:pPr>
              <w:spacing w:after="0"/>
              <w:rPr>
                <w:sz w:val="15"/>
                <w:szCs w:val="15"/>
                <w:color w:val="auto"/>
              </w:rPr>
            </w:pPr>
          </w:p>
        </w:tc>
        <w:tc>
          <w:tcPr>
            <w:tcW w:w="178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w:anchor="page34">
              <w:r>
                <w:rPr>
                  <w:rFonts w:ascii="Arial" w:cs="Arial" w:eastAsia="Arial" w:hAnsi="Arial"/>
                  <w:sz w:val="16"/>
                  <w:szCs w:val="16"/>
                  <w:color w:val="0000EE"/>
                  <w:w w:val="91"/>
                </w:rPr>
                <w:t>Incorporation by Reference</w:t>
              </w:r>
            </w:hyperlink>
          </w:p>
        </w:tc>
        <w:tc>
          <w:tcPr>
            <w:tcW w:w="4360" w:type="dxa"/>
            <w:vAlign w:val="bottom"/>
            <w:gridSpan w:val="7"/>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3</w:t>
            </w:r>
          </w:p>
        </w:tc>
      </w:tr>
      <w:tr>
        <w:trPr>
          <w:trHeight w:val="183"/>
        </w:trPr>
        <w:tc>
          <w:tcPr>
            <w:tcW w:w="700" w:type="dxa"/>
            <w:vAlign w:val="bottom"/>
          </w:tcPr>
          <w:p>
            <w:pPr>
              <w:spacing w:after="0"/>
              <w:rPr>
                <w:sz w:val="15"/>
                <w:szCs w:val="15"/>
                <w:color w:val="auto"/>
              </w:rPr>
            </w:pPr>
          </w:p>
        </w:tc>
        <w:tc>
          <w:tcPr>
            <w:tcW w:w="2580" w:type="dxa"/>
            <w:vAlign w:val="bottom"/>
            <w:tcBorders>
              <w:bottom w:val="single" w:sz="8" w:color="0000EE"/>
            </w:tcBorders>
            <w:gridSpan w:val="15"/>
          </w:tcPr>
          <w:p>
            <w:pPr>
              <w:spacing w:after="0" w:line="183" w:lineRule="exact"/>
              <w:rPr>
                <w:rFonts w:ascii="Arial" w:cs="Arial" w:eastAsia="Arial" w:hAnsi="Arial"/>
                <w:sz w:val="16"/>
                <w:szCs w:val="16"/>
                <w:color w:val="0000EE"/>
                <w:w w:val="93"/>
              </w:rPr>
            </w:pPr>
            <w:hyperlink w:anchor="page35">
              <w:r>
                <w:rPr>
                  <w:rFonts w:ascii="Arial" w:cs="Arial" w:eastAsia="Arial" w:hAnsi="Arial"/>
                  <w:sz w:val="16"/>
                  <w:szCs w:val="16"/>
                  <w:color w:val="0000EE"/>
                  <w:w w:val="93"/>
                </w:rPr>
                <w:t>Where You Can Find More Information</w:t>
              </w:r>
            </w:hyperlink>
          </w:p>
        </w:tc>
        <w:tc>
          <w:tcPr>
            <w:tcW w:w="3560" w:type="dxa"/>
            <w:vAlign w:val="bottom"/>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4</w:t>
            </w:r>
          </w:p>
        </w:tc>
      </w:tr>
      <w:tr>
        <w:trPr>
          <w:trHeight w:val="183"/>
        </w:trPr>
        <w:tc>
          <w:tcPr>
            <w:tcW w:w="70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w:anchor="page35">
              <w:r>
                <w:rPr>
                  <w:rFonts w:ascii="Arial" w:cs="Arial" w:eastAsia="Arial" w:hAnsi="Arial"/>
                  <w:sz w:val="16"/>
                  <w:szCs w:val="16"/>
                  <w:color w:val="0000EE"/>
                  <w:w w:val="89"/>
                </w:rPr>
                <w:t>The Company</w:t>
              </w:r>
            </w:hyperlink>
          </w:p>
        </w:tc>
        <w:tc>
          <w:tcPr>
            <w:tcW w:w="5220" w:type="dxa"/>
            <w:vAlign w:val="bottom"/>
            <w:gridSpan w:val="1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4</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Ratio of Earnings to Fixed Charges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183"/>
        </w:trPr>
        <w:tc>
          <w:tcPr>
            <w:tcW w:w="700" w:type="dxa"/>
            <w:vAlign w:val="bottom"/>
          </w:tcPr>
          <w:p>
            <w:pPr>
              <w:spacing w:after="0"/>
              <w:rPr>
                <w:sz w:val="15"/>
                <w:szCs w:val="15"/>
                <w:color w:val="auto"/>
              </w:rPr>
            </w:pPr>
          </w:p>
        </w:tc>
        <w:tc>
          <w:tcPr>
            <w:tcW w:w="228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Use of Proceeds</w:t>
              </w:r>
            </w:hyperlink>
          </w:p>
        </w:tc>
        <w:tc>
          <w:tcPr>
            <w:tcW w:w="3860" w:type="dxa"/>
            <w:vAlign w:val="bottom"/>
            <w:gridSpan w:val="2"/>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Debt Securities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5</w:t>
            </w:r>
          </w:p>
        </w:tc>
      </w:tr>
      <w:tr>
        <w:trPr>
          <w:trHeight w:val="183"/>
        </w:trPr>
        <w:tc>
          <w:tcPr>
            <w:tcW w:w="70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0"/>
              </w:rPr>
            </w:pPr>
            <w:hyperlink w:anchor="page44">
              <w:r>
                <w:rPr>
                  <w:rFonts w:ascii="Arial" w:cs="Arial" w:eastAsia="Arial" w:hAnsi="Arial"/>
                  <w:sz w:val="16"/>
                  <w:szCs w:val="16"/>
                  <w:color w:val="0000EE"/>
                  <w:w w:val="90"/>
                </w:rPr>
                <w:t>Description of Guarantees</w:t>
              </w:r>
            </w:hyperlink>
          </w:p>
        </w:tc>
        <w:tc>
          <w:tcPr>
            <w:tcW w:w="260" w:type="dxa"/>
            <w:vAlign w:val="bottom"/>
            <w:tcBorders>
              <w:top w:val="single" w:sz="8" w:color="0000EE"/>
            </w:tcBorders>
            <w:gridSpan w:val="4"/>
          </w:tcPr>
          <w:p>
            <w:pPr>
              <w:spacing w:after="0"/>
              <w:rPr>
                <w:sz w:val="15"/>
                <w:szCs w:val="15"/>
                <w:color w:val="auto"/>
              </w:rPr>
            </w:pPr>
          </w:p>
        </w:tc>
        <w:tc>
          <w:tcPr>
            <w:tcW w:w="4180" w:type="dxa"/>
            <w:vAlign w:val="bottom"/>
            <w:gridSpan w:val="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13</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4">
              <w:r>
                <w:rPr>
                  <w:rFonts w:ascii="Arial" w:cs="Arial" w:eastAsia="Arial" w:hAnsi="Arial"/>
                  <w:sz w:val="16"/>
                  <w:szCs w:val="16"/>
                  <w:color w:val="0000EE"/>
                </w:rPr>
                <w:t>Description of Capital Stock</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13</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2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w:anchor="page46">
              <w:r>
                <w:rPr>
                  <w:rFonts w:ascii="Arial" w:cs="Arial" w:eastAsia="Arial" w:hAnsi="Arial"/>
                  <w:sz w:val="16"/>
                  <w:szCs w:val="16"/>
                  <w:color w:val="0000EE"/>
                  <w:w w:val="92"/>
                </w:rPr>
                <w:t>Description of Other Securities</w:t>
              </w:r>
            </w:hyperlink>
          </w:p>
        </w:tc>
        <w:tc>
          <w:tcPr>
            <w:tcW w:w="4120" w:type="dxa"/>
            <w:vAlign w:val="bottom"/>
            <w:gridSpan w:val="3"/>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15</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6">
              <w:r>
                <w:rPr>
                  <w:rFonts w:ascii="Arial" w:cs="Arial" w:eastAsia="Arial" w:hAnsi="Arial"/>
                  <w:sz w:val="16"/>
                  <w:szCs w:val="16"/>
                  <w:color w:val="0000EE"/>
                </w:rPr>
                <w:t>Plan of Distribution</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15</w:t>
            </w:r>
          </w:p>
        </w:tc>
      </w:tr>
      <w:tr>
        <w:trPr>
          <w:trHeight w:val="20"/>
        </w:trPr>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1520" w:type="dxa"/>
            <w:vAlign w:val="bottom"/>
            <w:tcBorders>
              <w:bottom w:val="single" w:sz="8" w:color="0000EE"/>
            </w:tcBorders>
            <w:gridSpan w:val="7"/>
          </w:tcPr>
          <w:p>
            <w:pPr>
              <w:spacing w:after="0" w:line="183" w:lineRule="exact"/>
              <w:rPr>
                <w:rFonts w:ascii="Arial" w:cs="Arial" w:eastAsia="Arial" w:hAnsi="Arial"/>
                <w:sz w:val="16"/>
                <w:szCs w:val="16"/>
                <w:color w:val="0000EE"/>
                <w:w w:val="92"/>
              </w:rPr>
            </w:pPr>
            <w:hyperlink w:anchor="page48">
              <w:r>
                <w:rPr>
                  <w:rFonts w:ascii="Arial" w:cs="Arial" w:eastAsia="Arial" w:hAnsi="Arial"/>
                  <w:sz w:val="16"/>
                  <w:szCs w:val="16"/>
                  <w:color w:val="0000EE"/>
                  <w:w w:val="92"/>
                </w:rPr>
                <w:t>Selling Securityholders</w:t>
              </w:r>
            </w:hyperlink>
          </w:p>
        </w:tc>
        <w:tc>
          <w:tcPr>
            <w:tcW w:w="4620" w:type="dxa"/>
            <w:vAlign w:val="bottom"/>
            <w:gridSpan w:val="9"/>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183"/>
        </w:trPr>
        <w:tc>
          <w:tcPr>
            <w:tcW w:w="700" w:type="dxa"/>
            <w:vAlign w:val="bottom"/>
          </w:tcPr>
          <w:p>
            <w:pPr>
              <w:spacing w:after="0"/>
              <w:rPr>
                <w:sz w:val="15"/>
                <w:szCs w:val="15"/>
                <w:color w:val="auto"/>
              </w:rPr>
            </w:pPr>
          </w:p>
        </w:tc>
        <w:tc>
          <w:tcPr>
            <w:tcW w:w="90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w:anchor="page48">
              <w:r>
                <w:rPr>
                  <w:rFonts w:ascii="Arial" w:cs="Arial" w:eastAsia="Arial" w:hAnsi="Arial"/>
                  <w:sz w:val="16"/>
                  <w:szCs w:val="16"/>
                  <w:color w:val="0000EE"/>
                  <w:w w:val="90"/>
                </w:rPr>
                <w:t>Legal Matters</w:t>
              </w:r>
            </w:hyperlink>
          </w:p>
        </w:tc>
        <w:tc>
          <w:tcPr>
            <w:tcW w:w="5240" w:type="dxa"/>
            <w:vAlign w:val="bottom"/>
            <w:gridSpan w:val="14"/>
          </w:tcPr>
          <w:p>
            <w:pPr>
              <w:spacing w:after="0"/>
              <w:rPr>
                <w:sz w:val="15"/>
                <w:szCs w:val="15"/>
                <w:color w:val="auto"/>
              </w:rPr>
            </w:pPr>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183"/>
        </w:trPr>
        <w:tc>
          <w:tcPr>
            <w:tcW w:w="700" w:type="dxa"/>
            <w:vAlign w:val="bottom"/>
          </w:tcPr>
          <w:p>
            <w:pPr>
              <w:spacing w:after="0"/>
              <w:rPr>
                <w:sz w:val="15"/>
                <w:szCs w:val="15"/>
                <w:color w:val="auto"/>
              </w:rPr>
            </w:pPr>
          </w:p>
        </w:tc>
        <w:tc>
          <w:tcPr>
            <w:tcW w:w="6140" w:type="dxa"/>
            <w:vAlign w:val="bottom"/>
            <w:gridSpan w:val="16"/>
          </w:tcPr>
          <w:p>
            <w:pPr>
              <w:spacing w:after="0" w:line="183" w:lineRule="exact"/>
              <w:rPr>
                <w:rFonts w:ascii="Arial" w:cs="Arial" w:eastAsia="Arial" w:hAnsi="Arial"/>
                <w:sz w:val="16"/>
                <w:szCs w:val="16"/>
                <w:color w:val="0000EE"/>
              </w:rPr>
            </w:pPr>
            <w:hyperlink w:anchor="page48">
              <w:r>
                <w:rPr>
                  <w:rFonts w:ascii="Arial" w:cs="Arial" w:eastAsia="Arial" w:hAnsi="Arial"/>
                  <w:sz w:val="16"/>
                  <w:szCs w:val="16"/>
                  <w:color w:val="0000EE"/>
                </w:rPr>
                <w:t>Experts</w:t>
              </w:r>
            </w:hyperlink>
          </w:p>
        </w:tc>
        <w:tc>
          <w:tcPr>
            <w:tcW w:w="4580" w:type="dxa"/>
            <w:vAlign w:val="bottom"/>
          </w:tcPr>
          <w:p>
            <w:pPr>
              <w:jc w:val="right"/>
              <w:ind w:right="759"/>
              <w:spacing w:after="0" w:line="183" w:lineRule="exact"/>
              <w:rPr>
                <w:sz w:val="20"/>
                <w:szCs w:val="20"/>
                <w:color w:val="auto"/>
              </w:rPr>
            </w:pPr>
            <w:r>
              <w:rPr>
                <w:rFonts w:ascii="Arial" w:cs="Arial" w:eastAsia="Arial" w:hAnsi="Arial"/>
                <w:sz w:val="16"/>
                <w:szCs w:val="16"/>
                <w:color w:val="auto"/>
              </w:rPr>
              <w:t>17</w:t>
            </w:r>
          </w:p>
        </w:tc>
      </w:tr>
      <w:tr>
        <w:trPr>
          <w:trHeight w:val="247"/>
        </w:trPr>
        <w:tc>
          <w:tcPr>
            <w:tcW w:w="700" w:type="dxa"/>
            <w:vAlign w:val="bottom"/>
            <w:tcBorders>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3560" w:type="dxa"/>
            <w:vAlign w:val="bottom"/>
            <w:tcBorders>
              <w:bottom w:val="single" w:sz="8" w:color="808080"/>
            </w:tcBorders>
          </w:tcPr>
          <w:p>
            <w:pPr>
              <w:spacing w:after="0"/>
              <w:rPr>
                <w:sz w:val="21"/>
                <w:szCs w:val="21"/>
                <w:color w:val="auto"/>
              </w:rPr>
            </w:pPr>
          </w:p>
        </w:tc>
        <w:tc>
          <w:tcPr>
            <w:tcW w:w="45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left="700" w:right="16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SEC filings, including the report on Form 10-K for the year ended December 31, 2005.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 the following:</w:t>
      </w:r>
    </w:p>
    <w:p>
      <w:pPr>
        <w:spacing w:after="0" w:line="83" w:lineRule="exact"/>
        <w:rPr>
          <w:sz w:val="20"/>
          <w:szCs w:val="20"/>
          <w:color w:val="auto"/>
        </w:rPr>
      </w:pPr>
    </w:p>
    <w:p>
      <w:pPr>
        <w:jc w:val="both"/>
        <w:ind w:left="1300" w:right="120" w:hanging="202"/>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w:t>
      </w:r>
    </w:p>
    <w:p>
      <w:pPr>
        <w:spacing w:after="0" w:line="117" w:lineRule="exact"/>
        <w:rPr>
          <w:rFonts w:ascii="Arial" w:cs="Arial" w:eastAsia="Arial" w:hAnsi="Arial"/>
          <w:sz w:val="18"/>
          <w:szCs w:val="18"/>
          <w:color w:val="auto"/>
        </w:rPr>
      </w:pPr>
    </w:p>
    <w:p>
      <w:pPr>
        <w:ind w:left="1300" w:right="7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attract or retain qualified personnel, including licensed commercial drivers and truck maintenance professionals;</w:t>
      </w:r>
    </w:p>
    <w:p>
      <w:pPr>
        <w:spacing w:after="0" w:line="62" w:lineRule="exact"/>
        <w:rPr>
          <w:rFonts w:ascii="Arial" w:cs="Arial" w:eastAsia="Arial" w:hAnsi="Arial"/>
          <w:sz w:val="18"/>
          <w:szCs w:val="18"/>
          <w:color w:val="auto"/>
        </w:rPr>
      </w:pPr>
    </w:p>
    <w:p>
      <w:pPr>
        <w:ind w:left="1300" w:right="480" w:hanging="202"/>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57" w:lineRule="exact"/>
        <w:rPr>
          <w:rFonts w:ascii="Arial" w:cs="Arial" w:eastAsia="Arial" w:hAnsi="Arial"/>
          <w:sz w:val="17"/>
          <w:szCs w:val="17"/>
          <w:color w:val="auto"/>
        </w:rPr>
      </w:pPr>
    </w:p>
    <w:p>
      <w:pPr>
        <w:ind w:left="1300" w:right="3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including our tax expense if Section 45K credits are phased out due to continued high crude oil prices;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fluctuating commodity prices may have negative effects on our operating revenues and expenses;</w:t>
      </w:r>
    </w:p>
    <w:p>
      <w:pPr>
        <w:spacing w:after="0" w:line="117" w:lineRule="exact"/>
        <w:rPr>
          <w:rFonts w:ascii="Arial" w:cs="Arial" w:eastAsia="Arial" w:hAnsi="Arial"/>
          <w:sz w:val="18"/>
          <w:szCs w:val="18"/>
          <w:color w:val="auto"/>
        </w:rPr>
      </w:pPr>
    </w:p>
    <w:p>
      <w:pPr>
        <w:ind w:left="1300" w:right="64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inflation and resulting higher interest rates may have negative effects on the economy, which could result in decreases in volumes of waste generated and increases in our financing costs and other expenses </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inability of our insurers to meet their obligations may cause our expenses to increase;</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cause our quarter to quarter results to fluctuate, and extremely harsh weather or natural disasters may cause us to shut down operations;</w:t>
      </w:r>
    </w:p>
    <w:p>
      <w:pPr>
        <w:spacing w:after="0" w:line="62" w:lineRule="exact"/>
        <w:rPr>
          <w:rFonts w:ascii="Arial" w:cs="Arial" w:eastAsia="Arial" w:hAnsi="Arial"/>
          <w:sz w:val="18"/>
          <w:szCs w:val="18"/>
          <w:color w:val="auto"/>
        </w:rPr>
      </w:pPr>
    </w:p>
    <w:p>
      <w:pPr>
        <w:ind w:left="1300" w:right="78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 may increase our expenses or reduce revenues;</w:t>
      </w:r>
    </w:p>
    <w:p>
      <w:pPr>
        <w:spacing w:after="0" w:line="62"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increasing the cost to comply with regulatory requirements and the potential liabilities associated with disposal operations;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or cross-border waste or certain categories of waste can increase our expenses and reduce our revenues;</w:t>
      </w:r>
    </w:p>
    <w:p>
      <w:pPr>
        <w:spacing w:after="0" w:line="62"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73" w:lineRule="exact"/>
        <w:rPr>
          <w:rFonts w:ascii="Arial" w:cs="Arial" w:eastAsia="Arial" w:hAnsi="Arial"/>
          <w:sz w:val="18"/>
          <w:szCs w:val="18"/>
          <w:color w:val="auto"/>
        </w:rPr>
      </w:pPr>
    </w:p>
    <w:p>
      <w:pPr>
        <w:ind w:left="1300" w:hanging="202"/>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78"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or limit our ability to conduct or expand our operations;</w:t>
      </w:r>
    </w:p>
    <w:p>
      <w:pPr>
        <w:spacing w:after="0" w:line="62"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errors or problems with implementing and deploying new information technology systems may decrease our efficiencies and increase our costs to operate;</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quarterly results of operations or adversely impact our results of operations; and</w:t>
      </w:r>
    </w:p>
    <w:p>
      <w:pPr>
        <w:spacing w:after="0" w:line="62" w:lineRule="exact"/>
        <w:rPr>
          <w:rFonts w:ascii="Arial" w:cs="Arial" w:eastAsia="Arial" w:hAnsi="Arial"/>
          <w:sz w:val="18"/>
          <w:szCs w:val="18"/>
          <w:color w:val="auto"/>
        </w:rPr>
      </w:pPr>
    </w:p>
    <w:p>
      <w:pPr>
        <w:ind w:left="1300" w:right="22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8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ABOUT THIS PROSPECTUS</w:t>
      </w:r>
    </w:p>
    <w:p>
      <w:pPr>
        <w:spacing w:after="0" w:line="126" w:lineRule="exact"/>
        <w:rPr>
          <w:sz w:val="20"/>
          <w:szCs w:val="20"/>
          <w:color w:val="auto"/>
        </w:rPr>
      </w:pPr>
    </w:p>
    <w:p>
      <w:pPr>
        <w:ind w:left="700" w:right="480" w:firstLine="397"/>
        <w:spacing w:after="0" w:line="308" w:lineRule="auto"/>
        <w:rPr>
          <w:sz w:val="20"/>
          <w:szCs w:val="20"/>
          <w:color w:val="auto"/>
        </w:rPr>
      </w:pPr>
      <w:r>
        <w:rPr>
          <w:rFonts w:ascii="Arial" w:cs="Arial" w:eastAsia="Arial" w:hAnsi="Arial"/>
          <w:sz w:val="17"/>
          <w:szCs w:val="17"/>
          <w:color w:val="auto"/>
        </w:rPr>
        <w:t>This prospectus is part of a registration statement we filed with the SEC using a “shelf” registration process. We may sell any combination of the securities described in this prospectus from time to time up to an indeterminate dollar amount.</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142"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131" w:lineRule="exact"/>
        <w:rPr>
          <w:sz w:val="20"/>
          <w:szCs w:val="20"/>
          <w:color w:val="auto"/>
        </w:rPr>
      </w:pPr>
    </w:p>
    <w:p>
      <w:pPr>
        <w:ind w:left="700" w:right="112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 “Documents Incorporated by Reference” and “Where You Can Find More Information.”</w:t>
      </w:r>
    </w:p>
    <w:p>
      <w:pPr>
        <w:spacing w:after="0" w:line="71" w:lineRule="exact"/>
        <w:rPr>
          <w:sz w:val="20"/>
          <w:szCs w:val="20"/>
          <w:color w:val="auto"/>
        </w:rPr>
      </w:pPr>
    </w:p>
    <w:p>
      <w:pPr>
        <w:ind w:left="700" w:right="102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114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6" w:lineRule="exact"/>
        <w:rPr>
          <w:sz w:val="20"/>
          <w:szCs w:val="20"/>
          <w:color w:val="auto"/>
        </w:rPr>
      </w:pPr>
    </w:p>
    <w:p>
      <w:pPr>
        <w:ind w:left="700" w:right="9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9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760" w:type="dxa"/>
            <w:vAlign w:val="bottom"/>
            <w:gridSpan w:val="3"/>
          </w:tcPr>
          <w:p>
            <w:pPr>
              <w:ind w:left="700"/>
              <w:spacing w:after="0"/>
              <w:rPr>
                <w:sz w:val="20"/>
                <w:szCs w:val="20"/>
                <w:color w:val="auto"/>
              </w:rPr>
            </w:pPr>
            <w:r>
              <w:rPr>
                <w:rFonts w:ascii="Arial" w:cs="Arial" w:eastAsia="Arial" w:hAnsi="Arial"/>
                <w:sz w:val="18"/>
                <w:szCs w:val="18"/>
                <w:b w:val="1"/>
                <w:bCs w:val="1"/>
                <w:color w:val="auto"/>
              </w:rPr>
              <w:t>SEC Filing (our SEC file number is 1-1254)</w:t>
            </w:r>
          </w:p>
        </w:tc>
        <w:tc>
          <w:tcPr>
            <w:tcW w:w="280" w:type="dxa"/>
            <w:vAlign w:val="bottom"/>
          </w:tcPr>
          <w:p>
            <w:pPr>
              <w:spacing w:after="0"/>
              <w:rPr>
                <w:sz w:val="21"/>
                <w:szCs w:val="21"/>
                <w:color w:val="auto"/>
              </w:rPr>
            </w:pPr>
          </w:p>
        </w:tc>
        <w:tc>
          <w:tcPr>
            <w:tcW w:w="1580" w:type="dxa"/>
            <w:vAlign w:val="bottom"/>
          </w:tcPr>
          <w:p>
            <w:pPr>
              <w:ind w:left="400"/>
              <w:spacing w:after="0"/>
              <w:rPr>
                <w:sz w:val="20"/>
                <w:szCs w:val="20"/>
                <w:color w:val="auto"/>
              </w:rPr>
            </w:pPr>
            <w:r>
              <w:rPr>
                <w:rFonts w:ascii="Arial" w:cs="Arial" w:eastAsia="Arial" w:hAnsi="Arial"/>
                <w:sz w:val="18"/>
                <w:szCs w:val="18"/>
                <w:b w:val="1"/>
                <w:bCs w:val="1"/>
                <w:color w:val="auto"/>
              </w:rPr>
              <w:t>Date Filed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8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2006 annual meeting of</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9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91"/>
              </w:rPr>
              <w:t>stockholders incorporated by reference therein) for the year ended December 31, 2005</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February 21, 2006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2006</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April 27,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2006</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March 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April 20,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12,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May 18,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May 24,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June 22,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July 6,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July 28,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August 21, 2006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July 13, 1995</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8760" w:type="dxa"/>
            <w:vAlign w:val="bottom"/>
            <w:gridSpan w:val="3"/>
          </w:tcPr>
          <w:p>
            <w:pPr>
              <w:jc w:val="right"/>
              <w:ind w:right="29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also incorporate by reference into this prospectus additional documents that we may file with the SEC under Section 13(a), 13(c), 14 or 15(d) of the Exchange Act from the date of this prospectus to the end of the offering of the securities.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9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www.wm.com</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342"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6"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THE COMPANY</w:t>
      </w:r>
    </w:p>
    <w:p>
      <w:pPr>
        <w:spacing w:after="0" w:line="12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500" w:type="dxa"/>
            <w:vAlign w:val="bottom"/>
          </w:tcPr>
          <w:p>
            <w:pPr>
              <w:ind w:left="2460"/>
              <w:spacing w:after="0"/>
              <w:rPr>
                <w:sz w:val="20"/>
                <w:szCs w:val="20"/>
                <w:color w:val="auto"/>
              </w:rPr>
            </w:pPr>
            <w:r>
              <w:rPr>
                <w:rFonts w:ascii="Arial" w:cs="Arial" w:eastAsia="Arial" w:hAnsi="Arial"/>
                <w:sz w:val="18"/>
                <w:szCs w:val="18"/>
                <w:b w:val="1"/>
                <w:bCs w:val="1"/>
                <w:color w:val="auto"/>
              </w:rPr>
              <w:t>RATIO OF EARNINGS TO FIXED CHARGES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7640" w:type="dxa"/>
            <w:vAlign w:val="bottom"/>
            <w:gridSpan w:val="4"/>
          </w:tcPr>
          <w:p>
            <w:pPr>
              <w:jc w:val="right"/>
              <w:spacing w:after="0"/>
              <w:rPr>
                <w:sz w:val="20"/>
                <w:szCs w:val="20"/>
                <w:color w:val="auto"/>
              </w:rPr>
            </w:pPr>
            <w:r>
              <w:rPr>
                <w:rFonts w:ascii="Arial" w:cs="Arial" w:eastAsia="Arial" w:hAnsi="Arial"/>
                <w:sz w:val="18"/>
                <w:szCs w:val="18"/>
                <w:color w:val="auto"/>
                <w:w w:val="96"/>
              </w:rPr>
              <w:t>The following table sets forth our ratio of earnings to fixed charges for each of the periods indicated: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ind w:left="2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6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7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Income before taxes, cumulative effect of changes in accounting principles, losses in equity</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and minority interests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1,316</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3"/>
          </w:tcPr>
          <w:p>
            <w:pPr>
              <w:ind w:left="700"/>
              <w:spacing w:after="0"/>
              <w:rPr>
                <w:sz w:val="20"/>
                <w:szCs w:val="20"/>
                <w:color w:val="auto"/>
              </w:rPr>
            </w:pPr>
            <w:r>
              <w:rPr>
                <w:rFonts w:ascii="Arial" w:cs="Arial" w:eastAsia="Arial" w:hAnsi="Arial"/>
                <w:sz w:val="18"/>
                <w:szCs w:val="18"/>
                <w:color w:val="auto"/>
              </w:rPr>
              <w:t>Fixed charges deducted from income:</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Implicit interest in rents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360"/>
              <w:spacing w:after="0"/>
              <w:rPr>
                <w:sz w:val="20"/>
                <w:szCs w:val="20"/>
                <w:color w:val="auto"/>
              </w:rPr>
            </w:pPr>
            <w:r>
              <w:rPr>
                <w:rFonts w:ascii="Arial" w:cs="Arial" w:eastAsia="Arial" w:hAnsi="Arial"/>
                <w:sz w:val="18"/>
                <w:szCs w:val="18"/>
                <w:color w:val="auto"/>
              </w:rPr>
              <w:t>Earnings available for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160" w:type="dxa"/>
            <w:vAlign w:val="bottom"/>
            <w:gridSpan w:val="2"/>
          </w:tcPr>
          <w:p>
            <w:pPr>
              <w:ind w:left="180"/>
              <w:spacing w:after="0"/>
              <w:rPr>
                <w:sz w:val="20"/>
                <w:szCs w:val="20"/>
                <w:color w:val="auto"/>
              </w:rPr>
            </w:pPr>
            <w:r>
              <w:rPr>
                <w:rFonts w:ascii="Arial" w:cs="Arial" w:eastAsia="Arial" w:hAnsi="Arial"/>
                <w:sz w:val="18"/>
                <w:szCs w:val="18"/>
                <w:color w:val="auto"/>
              </w:rPr>
              <w:t>Total fixed charges</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Ratio of earnings to fixed charges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3.1x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the repayment of indebtedness and our working capital requirements. Unless otherwise specified in the applicable prospectus supplement, we will not receive any proceeds from the sale of securities by selling securityholders.</w:t>
      </w:r>
    </w:p>
    <w:p>
      <w:pPr>
        <w:spacing w:after="0" w:line="30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26"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JPMorgan Chase Bank), as trustee. We will issue subordinated debt securities under an indenture dated as of February 1, 1997 among Waste Management, as issuer, and JPMorgan Chase, as trustee. The indentures are substantially identical, except for provisions relating to subordination and covenants.</w:t>
      </w:r>
    </w:p>
    <w:p>
      <w:pPr>
        <w:spacing w:after="0" w:line="64"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We have summarized material provisions of the indentures, the debt securities and the guarantees below. This summary is not complete. We have filed the senior indenture and the form of subordinated indenture with the SEC as exhibits to the registration statement, and you should read the indentures for provisions that may be important to you.</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62"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involving Waste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or a lease, transfer or disposition of all or substantially all of our assets unless:</w:t>
      </w:r>
    </w:p>
    <w:p>
      <w:pPr>
        <w:spacing w:after="0" w:line="76"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are the continuing corporation; or</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700" w:hanging="202"/>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are not the continuing corporation, the resulting entity or transferee assumes the performance of its covenants and obligations under the indentures and the due and punctual payments on the debt securities; and</w:t>
      </w:r>
    </w:p>
    <w:p>
      <w:pPr>
        <w:spacing w:after="0" w:line="38" w:lineRule="exact"/>
        <w:rPr>
          <w:rFonts w:ascii="Arial" w:cs="Arial" w:eastAsia="Arial" w:hAnsi="Arial"/>
          <w:sz w:val="17"/>
          <w:szCs w:val="17"/>
          <w:color w:val="auto"/>
        </w:rPr>
      </w:pPr>
    </w:p>
    <w:p>
      <w:pPr>
        <w:ind w:left="1300" w:right="10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either case, 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that series of debt securities</w:t>
      </w:r>
    </w:p>
    <w:p>
      <w:pPr>
        <w:spacing w:after="0" w:line="117" w:lineRule="exact"/>
        <w:rPr>
          <w:rFonts w:ascii="Arial" w:cs="Arial" w:eastAsia="Arial" w:hAnsi="Arial"/>
          <w:sz w:val="18"/>
          <w:szCs w:val="18"/>
          <w:color w:val="auto"/>
        </w:rPr>
      </w:pPr>
    </w:p>
    <w:p>
      <w:pPr>
        <w:ind w:left="1300" w:right="40" w:hanging="202"/>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131"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17"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certain restrictive covenants, and the related events of default will no longer apply (“covenant defeasance”).</w:t>
      </w:r>
    </w:p>
    <w:p>
      <w:pPr>
        <w:spacing w:after="0" w:line="76"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right="320" w:firstLine="397"/>
        <w:spacing w:after="0" w:line="259"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JPMorgan Chase is the trustee under the senior indenture and the subordinated indenture. JPMorgan Chase serves as</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relating to a number of series of debt obligations of Waste Management as of December 31, 2005. JPMorgan Chase and its affiliates perform certain commercial banking services for us for which they receive customary fees and are lenders under our current credit facility.</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87"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place of payment on the debt securities of that series is authorized or obligated by law, regulation or executive order to remain closed.</w:t>
      </w:r>
    </w:p>
    <w:p>
      <w:pPr>
        <w:spacing w:after="0" w:line="7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6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8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on Liens</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60" w:firstLine="391"/>
        <w:spacing w:after="0" w:line="277" w:lineRule="auto"/>
        <w:tabs>
          <w:tab w:leader="none" w:pos="17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right="740" w:firstLine="391"/>
        <w:spacing w:after="0" w:line="277" w:lineRule="auto"/>
        <w:tabs>
          <w:tab w:leader="none" w:pos="17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480" w:firstLine="391"/>
        <w:spacing w:after="0" w:line="277" w:lineRule="auto"/>
        <w:tabs>
          <w:tab w:leader="none" w:pos="17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Consolidation, Merger and Sale of Assets</w:t>
      </w:r>
      <w:r>
        <w:rPr>
          <w:rFonts w:ascii="Arial" w:cs="Arial" w:eastAsia="Arial" w:hAnsi="Arial"/>
          <w:sz w:val="18"/>
          <w:szCs w:val="18"/>
          <w:color w:val="auto"/>
        </w:rPr>
        <w:t>,” above;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 liens on assets either:</w:t>
      </w:r>
    </w:p>
    <w:p>
      <w:pPr>
        <w:spacing w:after="0" w:line="131" w:lineRule="exact"/>
        <w:rPr>
          <w:sz w:val="20"/>
          <w:szCs w:val="20"/>
          <w:color w:val="auto"/>
        </w:rPr>
      </w:pPr>
    </w:p>
    <w:p>
      <w:pPr>
        <w:ind w:left="1700" w:hanging="211"/>
        <w:spacing w:after="0"/>
        <w:tabs>
          <w:tab w:leader="none" w:pos="17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b w:val="1"/>
          <w:bCs w:val="1"/>
          <w:color w:val="auto"/>
        </w:rPr>
      </w:pPr>
    </w:p>
    <w:p>
      <w:pPr>
        <w:ind w:left="1700" w:hanging="211"/>
        <w:spacing w:after="0" w:line="259" w:lineRule="auto"/>
        <w:tabs>
          <w:tab w:leader="none" w:pos="17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sz w:val="20"/>
          <w:szCs w:val="20"/>
          <w:color w:val="auto"/>
        </w:rPr>
      </w:pPr>
    </w:p>
    <w:p>
      <w:pPr>
        <w:ind w:left="1740" w:hanging="269"/>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740" w:hanging="269"/>
        <w:spacing w:after="0"/>
        <w:tabs>
          <w:tab w:leader="none" w:pos="1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080" w:right="100" w:firstLine="391"/>
        <w:spacing w:after="0" w:line="277" w:lineRule="auto"/>
        <w:tabs>
          <w:tab w:leader="none" w:pos="17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153" w:lineRule="exact"/>
        <w:rPr>
          <w:rFonts w:ascii="Arial" w:cs="Arial" w:eastAsia="Arial" w:hAnsi="Arial"/>
          <w:sz w:val="16"/>
          <w:szCs w:val="16"/>
          <w:color w:val="auto"/>
        </w:rPr>
      </w:pPr>
    </w:p>
    <w:p>
      <w:pPr>
        <w:ind w:left="1080" w:right="120" w:firstLine="391"/>
        <w:spacing w:after="0" w:line="277" w:lineRule="auto"/>
        <w:tabs>
          <w:tab w:leader="none" w:pos="17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00" w:firstLine="391"/>
        <w:spacing w:after="0" w:line="277" w:lineRule="auto"/>
        <w:tabs>
          <w:tab w:leader="none" w:pos="18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80" w:hanging="309"/>
        <w:spacing w:after="0"/>
        <w:tabs>
          <w:tab w:leader="none" w:pos="1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20" w:firstLine="391"/>
        <w:spacing w:after="0" w:line="277" w:lineRule="auto"/>
        <w:tabs>
          <w:tab w:leader="none" w:pos="17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on Sale/Leaseback Transactions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00" w:firstLine="391"/>
        <w:spacing w:after="0" w:line="264" w:lineRule="auto"/>
        <w:tabs>
          <w:tab w:leader="none" w:pos="17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right="680" w:firstLine="391"/>
        <w:spacing w:after="0" w:line="277" w:lineRule="auto"/>
        <w:tabs>
          <w:tab w:leader="none" w:pos="17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debt securities issued under the senior indenture or to the acquisition or capital improvement of a Principal Property.</w:t>
      </w:r>
    </w:p>
    <w:p>
      <w:pPr>
        <w:spacing w:after="0" w:line="13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Glossary</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“Attributable Debt” means the present value of the rental payments during the remaining term of the lease included in the 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“Consolidated Net Tangible Assets” 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“Indebtedness” means (a) all obligations for borrowed money or on which interest charges are customarily paid, all as shown on the balance sheet of the indebted party and (b) all guarantees of Indebtedness.</w:t>
      </w:r>
    </w:p>
    <w:p>
      <w:pPr>
        <w:spacing w:after="0" w:line="76"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“Restricted Subsidiary” means any Subsidiary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80" w:firstLine="397"/>
        <w:spacing w:after="0" w:line="255" w:lineRule="auto"/>
        <w:rPr>
          <w:sz w:val="20"/>
          <w:szCs w:val="20"/>
          <w:color w:val="auto"/>
        </w:rPr>
      </w:pPr>
      <w:r>
        <w:rPr>
          <w:rFonts w:ascii="Arial" w:cs="Arial" w:eastAsia="Arial" w:hAnsi="Arial"/>
          <w:sz w:val="18"/>
          <w:szCs w:val="18"/>
          <w:color w:val="auto"/>
        </w:rPr>
        <w:t>“Principal Property” means any waste processing, waste disposal or resource recovery plant or similar 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“Sale/Leaseback Transaction” means any arrangement with anyone under which we or our Restricted Subsidiaries lease any 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“Subsidiary” means an entity at least a majority of the outstanding voting stock of which is owned, directly or indirectly, by us or by one or more other Subsidiaries, or by us and one or more other Subsidiaries.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9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26"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DESCRIPTION OF CAPITAL STOCK</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52"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534,480,615 shares were outstanding at September 20, 2006.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20"/>
        <w:spacing w:after="0" w:line="277" w:lineRule="auto"/>
        <w:rPr>
          <w:sz w:val="20"/>
          <w:szCs w:val="20"/>
          <w:color w:val="auto"/>
        </w:rPr>
      </w:pPr>
      <w:r>
        <w:rPr>
          <w:rFonts w:ascii="Arial" w:cs="Arial" w:eastAsia="Arial" w:hAnsi="Arial"/>
          <w:sz w:val="18"/>
          <w:szCs w:val="18"/>
          <w:color w:val="auto"/>
        </w:rPr>
        <w:t>rights. Accordingly, the holders of a majority of shares voting for the election of directors can elect all of the directors standing for election.</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“WMI.”</w:t>
      </w:r>
    </w:p>
    <w:p>
      <w:pPr>
        <w:spacing w:after="0" w:line="131" w:lineRule="exact"/>
        <w:rPr>
          <w:sz w:val="20"/>
          <w:szCs w:val="20"/>
          <w:color w:val="auto"/>
        </w:rPr>
      </w:pPr>
    </w:p>
    <w:p>
      <w:pPr>
        <w:ind w:left="700" w:right="7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Mellon Investor Services in South</w:t>
      </w:r>
      <w:r>
        <w:rPr>
          <w:rFonts w:ascii="Arial" w:cs="Arial" w:eastAsia="Arial" w:hAnsi="Arial"/>
          <w:sz w:val="18"/>
          <w:szCs w:val="18"/>
          <w:i w:val="1"/>
          <w:iCs w:val="1"/>
          <w:color w:val="auto"/>
        </w:rPr>
        <w:t xml:space="preserve"> </w:t>
      </w:r>
      <w:r>
        <w:rPr>
          <w:rFonts w:ascii="Arial" w:cs="Arial" w:eastAsia="Arial" w:hAnsi="Arial"/>
          <w:sz w:val="18"/>
          <w:szCs w:val="18"/>
          <w:color w:val="auto"/>
        </w:rPr>
        <w:t>Hackensack, New Jersey.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28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6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60" w:hanging="202"/>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elect not to be governed by Section 203. Such an election would be effective 12 months after its adoption.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78"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4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7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26"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2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PLAN OF DISTRIBUTION</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discounts. If such dealers or agents were deemed to be underwriters, they may be subject to statutory liabilities under the Securities Act.</w:t>
      </w:r>
    </w:p>
    <w:p>
      <w:pPr>
        <w:spacing w:after="0" w:line="154"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4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0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SELLING SECURITYHOLDERS</w:t>
      </w:r>
    </w:p>
    <w:p>
      <w:pPr>
        <w:spacing w:after="0" w:line="126" w:lineRule="exact"/>
        <w:rPr>
          <w:sz w:val="20"/>
          <w:szCs w:val="20"/>
          <w:color w:val="auto"/>
        </w:rPr>
      </w:pPr>
    </w:p>
    <w:p>
      <w:pPr>
        <w:ind w:left="700" w:right="62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6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26"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3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26"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consolidated financial statements of Waste Management, Inc. appearing in Waste Management, Inc.’s Annual Report (Form 10-K) for the year ended December 31, 2005 (including the schedule appearing therein), and Waste Management, Inc. management’s assessment of the effectiveness of internal control over financial reporting as of December 31, 2005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140970</wp:posOffset>
            </wp:positionV>
            <wp:extent cx="126936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$350,000,000 6.375% Senior Notes due 2015</w:t>
      </w:r>
    </w:p>
    <w:p>
      <w:pPr>
        <w:spacing w:after="0" w:line="361"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$450,000,000 7.375% Senior Notes due 2019</w:t>
      </w:r>
    </w:p>
    <w:p>
      <w:pPr>
        <w:spacing w:after="0" w:line="20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Joint Book-Running and Joint Lead Managers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32"/>
          <w:szCs w:val="32"/>
          <w:b w:val="1"/>
          <w:bCs w:val="1"/>
          <w:color w:val="auto"/>
        </w:rPr>
        <w:t>Barclays Capital</w:t>
      </w:r>
    </w:p>
    <w:p>
      <w:pPr>
        <w:spacing w:after="0" w:line="29" w:lineRule="exact"/>
        <w:rPr>
          <w:sz w:val="20"/>
          <w:szCs w:val="20"/>
          <w:color w:val="auto"/>
        </w:rPr>
      </w:pPr>
    </w:p>
    <w:p>
      <w:pPr>
        <w:jc w:val="center"/>
        <w:ind w:right="-699"/>
        <w:spacing w:after="0"/>
        <w:rPr>
          <w:sz w:val="20"/>
          <w:szCs w:val="20"/>
          <w:color w:val="auto"/>
        </w:rPr>
      </w:pPr>
      <w:r>
        <w:rPr>
          <w:rFonts w:ascii="Arial" w:cs="Arial" w:eastAsia="Arial" w:hAnsi="Arial"/>
          <w:sz w:val="32"/>
          <w:szCs w:val="32"/>
          <w:b w:val="1"/>
          <w:bCs w:val="1"/>
          <w:color w:val="auto"/>
        </w:rPr>
        <w:t>Credit Suisse</w:t>
      </w:r>
    </w:p>
    <w:p>
      <w:pPr>
        <w:jc w:val="center"/>
        <w:ind w:right="-699"/>
        <w:spacing w:after="0" w:line="237" w:lineRule="auto"/>
        <w:rPr>
          <w:sz w:val="20"/>
          <w:szCs w:val="20"/>
          <w:color w:val="auto"/>
        </w:rPr>
      </w:pPr>
      <w:r>
        <w:rPr>
          <w:rFonts w:ascii="Arial" w:cs="Arial" w:eastAsia="Arial" w:hAnsi="Arial"/>
          <w:sz w:val="32"/>
          <w:szCs w:val="32"/>
          <w:b w:val="1"/>
          <w:bCs w:val="1"/>
          <w:color w:val="auto"/>
        </w:rPr>
        <w:t>Deutsche Bank Securities</w:t>
      </w:r>
    </w:p>
    <w:p>
      <w:pPr>
        <w:spacing w:after="0" w:line="1" w:lineRule="exact"/>
        <w:rPr>
          <w:sz w:val="20"/>
          <w:szCs w:val="20"/>
          <w:color w:val="auto"/>
        </w:rPr>
      </w:pPr>
    </w:p>
    <w:p>
      <w:pPr>
        <w:jc w:val="center"/>
        <w:ind w:right="-699"/>
        <w:spacing w:after="0"/>
        <w:rPr>
          <w:sz w:val="20"/>
          <w:szCs w:val="20"/>
          <w:color w:val="auto"/>
        </w:rPr>
      </w:pPr>
      <w:r>
        <w:rPr>
          <w:rFonts w:ascii="Arial" w:cs="Arial" w:eastAsia="Arial" w:hAnsi="Arial"/>
          <w:sz w:val="32"/>
          <w:szCs w:val="32"/>
          <w:b w:val="1"/>
          <w:bCs w:val="1"/>
          <w:color w:val="auto"/>
        </w:rPr>
        <w:t>RBS Greenwich Capital</w:t>
      </w:r>
    </w:p>
    <w:p>
      <w:pPr>
        <w:spacing w:after="0" w:line="339"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58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Co-Managers</w:t>
            </w:r>
          </w:p>
        </w:tc>
      </w:tr>
      <w:tr>
        <w:trPr>
          <w:trHeight w:val="299"/>
        </w:trPr>
        <w:tc>
          <w:tcPr>
            <w:tcW w:w="4100" w:type="dxa"/>
            <w:vAlign w:val="bottom"/>
          </w:tcPr>
          <w:p>
            <w:pPr>
              <w:ind w:left="2460"/>
              <w:spacing w:after="0"/>
              <w:rPr>
                <w:sz w:val="20"/>
                <w:szCs w:val="20"/>
                <w:color w:val="auto"/>
              </w:rPr>
            </w:pPr>
            <w:r>
              <w:rPr>
                <w:rFonts w:ascii="Arial" w:cs="Arial" w:eastAsia="Arial" w:hAnsi="Arial"/>
                <w:sz w:val="14"/>
                <w:szCs w:val="14"/>
                <w:b w:val="1"/>
                <w:bCs w:val="1"/>
                <w:i w:val="1"/>
                <w:iCs w:val="1"/>
                <w:u w:val="single" w:color="auto"/>
                <w:color w:val="auto"/>
              </w:rPr>
              <w:t>2</w:t>
            </w:r>
            <w:r>
              <w:rPr>
                <w:rFonts w:ascii="Arial" w:cs="Arial" w:eastAsia="Arial" w:hAnsi="Arial"/>
                <w:sz w:val="14"/>
                <w:szCs w:val="14"/>
                <w:b w:val="1"/>
                <w:bCs w:val="1"/>
                <w:i w:val="1"/>
                <w:iCs w:val="1"/>
                <w:color w:val="auto"/>
              </w:rPr>
              <w:t>015 Notes</w:t>
            </w:r>
          </w:p>
        </w:tc>
        <w:tc>
          <w:tcPr>
            <w:tcW w:w="5820" w:type="dxa"/>
            <w:vAlign w:val="bottom"/>
          </w:tcPr>
          <w:p>
            <w:pPr>
              <w:ind w:left="3420"/>
              <w:spacing w:after="0"/>
              <w:rPr>
                <w:sz w:val="20"/>
                <w:szCs w:val="20"/>
                <w:color w:val="auto"/>
              </w:rPr>
            </w:pPr>
            <w:r>
              <w:rPr>
                <w:rFonts w:ascii="Arial" w:cs="Arial" w:eastAsia="Arial" w:hAnsi="Arial"/>
                <w:sz w:val="14"/>
                <w:szCs w:val="14"/>
                <w:b w:val="1"/>
                <w:bCs w:val="1"/>
                <w:i w:val="1"/>
                <w:iCs w:val="1"/>
                <w:u w:val="single" w:color="auto"/>
                <w:color w:val="auto"/>
              </w:rPr>
              <w:t>2</w:t>
            </w:r>
            <w:r>
              <w:rPr>
                <w:rFonts w:ascii="Arial" w:cs="Arial" w:eastAsia="Arial" w:hAnsi="Arial"/>
                <w:sz w:val="14"/>
                <w:szCs w:val="14"/>
                <w:b w:val="1"/>
                <w:bCs w:val="1"/>
                <w:i w:val="1"/>
                <w:iCs w:val="1"/>
                <w:color w:val="auto"/>
              </w:rPr>
              <w:t>019 Notes</w:t>
            </w:r>
          </w:p>
        </w:tc>
      </w:tr>
      <w:tr>
        <w:trPr>
          <w:trHeight w:val="66"/>
        </w:trPr>
        <w:tc>
          <w:tcPr>
            <w:tcW w:w="4100" w:type="dxa"/>
            <w:vAlign w:val="bottom"/>
          </w:tcPr>
          <w:p>
            <w:pPr>
              <w:spacing w:after="0"/>
              <w:rPr>
                <w:sz w:val="5"/>
                <w:szCs w:val="5"/>
                <w:color w:val="auto"/>
              </w:rPr>
            </w:pPr>
          </w:p>
        </w:tc>
        <w:tc>
          <w:tcPr>
            <w:tcW w:w="5820" w:type="dxa"/>
            <w:vAlign w:val="bottom"/>
          </w:tcPr>
          <w:p>
            <w:pPr>
              <w:spacing w:after="0"/>
              <w:rPr>
                <w:sz w:val="5"/>
                <w:szCs w:val="5"/>
                <w:color w:val="auto"/>
              </w:rPr>
            </w:pPr>
          </w:p>
        </w:tc>
      </w:tr>
      <w:tr>
        <w:trPr>
          <w:trHeight w:val="216"/>
        </w:trPr>
        <w:tc>
          <w:tcPr>
            <w:tcW w:w="410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4"/>
              </w:rPr>
              <w:t>BNP PARIBAS</w:t>
            </w:r>
          </w:p>
        </w:tc>
        <w:tc>
          <w:tcPr>
            <w:tcW w:w="582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94"/>
              </w:rPr>
              <w:t>BNP PARIBAS</w:t>
            </w:r>
          </w:p>
        </w:tc>
      </w:tr>
      <w:tr>
        <w:trPr>
          <w:trHeight w:val="216"/>
        </w:trPr>
        <w:tc>
          <w:tcPr>
            <w:tcW w:w="4100" w:type="dxa"/>
            <w:vAlign w:val="bottom"/>
          </w:tcPr>
          <w:p>
            <w:pPr>
              <w:jc w:val="center"/>
              <w:ind w:left="773"/>
              <w:spacing w:after="0"/>
              <w:rPr>
                <w:sz w:val="20"/>
                <w:szCs w:val="20"/>
                <w:color w:val="auto"/>
              </w:rPr>
            </w:pPr>
            <w:r>
              <w:rPr>
                <w:rFonts w:ascii="Arial" w:cs="Arial" w:eastAsia="Arial" w:hAnsi="Arial"/>
                <w:sz w:val="18"/>
                <w:szCs w:val="18"/>
                <w:color w:val="auto"/>
                <w:w w:val="95"/>
              </w:rPr>
              <w:t>BNY Mellon Capital Markets LLC</w:t>
            </w:r>
          </w:p>
        </w:tc>
        <w:tc>
          <w:tcPr>
            <w:tcW w:w="5820" w:type="dxa"/>
            <w:vAlign w:val="bottom"/>
          </w:tcPr>
          <w:p>
            <w:pPr>
              <w:jc w:val="center"/>
              <w:ind w:left="992"/>
              <w:spacing w:after="0"/>
              <w:rPr>
                <w:sz w:val="20"/>
                <w:szCs w:val="20"/>
                <w:color w:val="auto"/>
              </w:rPr>
            </w:pPr>
            <w:r>
              <w:rPr>
                <w:rFonts w:ascii="Arial" w:cs="Arial" w:eastAsia="Arial" w:hAnsi="Arial"/>
                <w:sz w:val="18"/>
                <w:szCs w:val="18"/>
                <w:color w:val="auto"/>
                <w:w w:val="90"/>
              </w:rPr>
              <w:t>Goldman, Sachs &amp; Co.</w:t>
            </w:r>
          </w:p>
        </w:tc>
      </w:tr>
      <w:tr>
        <w:trPr>
          <w:trHeight w:val="216"/>
        </w:trPr>
        <w:tc>
          <w:tcPr>
            <w:tcW w:w="410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7"/>
              </w:rPr>
              <w:t>CALYON</w:t>
            </w:r>
          </w:p>
        </w:tc>
        <w:tc>
          <w:tcPr>
            <w:tcW w:w="582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93"/>
              </w:rPr>
              <w:t>Mizuho Securities USA Inc.</w:t>
            </w:r>
          </w:p>
        </w:tc>
      </w:tr>
      <w:tr>
        <w:trPr>
          <w:trHeight w:val="216"/>
        </w:trPr>
        <w:tc>
          <w:tcPr>
            <w:tcW w:w="4100" w:type="dxa"/>
            <w:vAlign w:val="bottom"/>
          </w:tcPr>
          <w:p>
            <w:pPr>
              <w:jc w:val="center"/>
              <w:ind w:left="773"/>
              <w:spacing w:after="0"/>
              <w:rPr>
                <w:sz w:val="20"/>
                <w:szCs w:val="20"/>
                <w:color w:val="auto"/>
              </w:rPr>
            </w:pPr>
            <w:r>
              <w:rPr>
                <w:rFonts w:ascii="Arial" w:cs="Arial" w:eastAsia="Arial" w:hAnsi="Arial"/>
                <w:sz w:val="18"/>
                <w:szCs w:val="18"/>
                <w:color w:val="auto"/>
                <w:w w:val="93"/>
              </w:rPr>
              <w:t>PNC Capital Markets LLC</w:t>
            </w:r>
          </w:p>
        </w:tc>
        <w:tc>
          <w:tcPr>
            <w:tcW w:w="5820" w:type="dxa"/>
            <w:vAlign w:val="bottom"/>
          </w:tcPr>
          <w:p>
            <w:pPr>
              <w:jc w:val="center"/>
              <w:ind w:left="972"/>
              <w:spacing w:after="0"/>
              <w:rPr>
                <w:sz w:val="20"/>
                <w:szCs w:val="20"/>
                <w:color w:val="auto"/>
              </w:rPr>
            </w:pPr>
            <w:r>
              <w:rPr>
                <w:rFonts w:ascii="Arial" w:cs="Arial" w:eastAsia="Arial" w:hAnsi="Arial"/>
                <w:sz w:val="18"/>
                <w:szCs w:val="18"/>
                <w:color w:val="auto"/>
                <w:w w:val="91"/>
              </w:rPr>
              <w:t>Morgan Keegan &amp; Company, Inc.</w:t>
            </w:r>
          </w:p>
        </w:tc>
      </w:tr>
      <w:tr>
        <w:trPr>
          <w:trHeight w:val="216"/>
        </w:trPr>
        <w:tc>
          <w:tcPr>
            <w:tcW w:w="410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0"/>
              </w:rPr>
              <w:t>Scotia Capital</w:t>
            </w:r>
          </w:p>
        </w:tc>
        <w:tc>
          <w:tcPr>
            <w:tcW w:w="582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91"/>
              </w:rPr>
              <w:t>Scotia Capital</w:t>
            </w:r>
          </w:p>
        </w:tc>
      </w:tr>
      <w:tr>
        <w:trPr>
          <w:trHeight w:val="230"/>
        </w:trPr>
        <w:tc>
          <w:tcPr>
            <w:tcW w:w="4100" w:type="dxa"/>
            <w:vAlign w:val="bottom"/>
          </w:tcPr>
          <w:p>
            <w:pPr>
              <w:jc w:val="center"/>
              <w:ind w:left="753"/>
              <w:spacing w:after="0"/>
              <w:rPr>
                <w:sz w:val="20"/>
                <w:szCs w:val="20"/>
                <w:color w:val="auto"/>
              </w:rPr>
            </w:pPr>
            <w:r>
              <w:rPr>
                <w:rFonts w:ascii="Arial" w:cs="Arial" w:eastAsia="Arial" w:hAnsi="Arial"/>
                <w:sz w:val="18"/>
                <w:szCs w:val="18"/>
                <w:color w:val="auto"/>
                <w:w w:val="89"/>
              </w:rPr>
              <w:t>Wells Fargo Securities</w:t>
            </w:r>
          </w:p>
        </w:tc>
        <w:tc>
          <w:tcPr>
            <w:tcW w:w="5820" w:type="dxa"/>
            <w:vAlign w:val="bottom"/>
          </w:tcPr>
          <w:p>
            <w:pPr>
              <w:jc w:val="center"/>
              <w:ind w:left="972"/>
              <w:spacing w:after="0"/>
              <w:rPr>
                <w:sz w:val="20"/>
                <w:szCs w:val="20"/>
                <w:color w:val="auto"/>
              </w:rPr>
            </w:pPr>
            <w:r>
              <w:rPr>
                <w:rFonts w:ascii="Arial" w:cs="Arial" w:eastAsia="Arial" w:hAnsi="Arial"/>
                <w:sz w:val="18"/>
                <w:szCs w:val="18"/>
                <w:color w:val="auto"/>
                <w:w w:val="90"/>
              </w:rPr>
              <w:t>SunTrust Robinson Humphrey</w:t>
            </w:r>
          </w:p>
        </w:tc>
      </w:tr>
      <w:tr>
        <w:trPr>
          <w:trHeight w:val="236"/>
        </w:trPr>
        <w:tc>
          <w:tcPr>
            <w:tcW w:w="410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620"/>
      </w:cols>
      <w:pgMar w:left="240" w:top="419"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713"/>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lvl w:ilvl="1">
      <w:lvlJc w:val="left"/>
      <w:lvlText w:val="(%2)"/>
      <w:numFmt w:val="lowerLetter"/>
      <w:start w:val="1"/>
    </w:lvl>
  </w:abstractNum>
  <w:abstractNum w:abstractNumId="10">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
    <w:nsid w:val="B03E0C6"/>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12">
    <w:nsid w:val="189A769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Roman"/>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Letter"/>
      <w:start w:val="6"/>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2019-12-10T08:16:44Z</dcterms:created>
  <dcterms:modified xsi:type="dcterms:W3CDTF">2019-12-10T08:16:44Z</dcterms:modified>
</cp:coreProperties>
</file>