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ind w:left="4770" w:right="3179" w:hanging="4494"/>
        <w:spacing w:after="0" w:line="265" w:lineRule="auto"/>
        <w:rPr>
          <w:sz w:val="20"/>
          <w:szCs w:val="20"/>
          <w:color w:val="auto"/>
        </w:rPr>
      </w:pPr>
      <w:r>
        <w:rPr>
          <w:rFonts w:ascii="Courier New" w:cs="Courier New" w:eastAsia="Courier New" w:hAnsi="Courier New"/>
          <w:sz w:val="14"/>
          <w:szCs w:val="14"/>
          <w:color w:val="auto"/>
        </w:rPr>
        <w:t>AS FILED WITH THE SECURITIES AND EXCHANGE COMMISSION ON NOVEMBER 19, 1996 REGISTRATION NO. 333-14109</w:t>
      </w:r>
    </w:p>
    <w:p>
      <w:pPr>
        <w:spacing w:after="0" w:line="32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jc w:val="center"/>
        <w:ind w:right="317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4"/>
          <w:szCs w:val="24"/>
          <w:color w:val="auto"/>
        </w:rPr>
      </w:pPr>
    </w:p>
    <w:p>
      <w:pPr>
        <w:ind w:left="2830"/>
        <w:spacing w:after="0"/>
        <w:rPr>
          <w:sz w:val="20"/>
          <w:szCs w:val="20"/>
          <w:color w:val="auto"/>
        </w:rPr>
      </w:pPr>
      <w:r>
        <w:rPr>
          <w:rFonts w:ascii="Courier New" w:cs="Courier New" w:eastAsia="Courier New" w:hAnsi="Courier New"/>
          <w:sz w:val="15"/>
          <w:szCs w:val="15"/>
          <w:color w:val="auto"/>
        </w:rPr>
        <w:t>AMENDMENT NO. 1</w:t>
      </w:r>
    </w:p>
    <w:p>
      <w:pPr>
        <w:ind w:left="3430"/>
        <w:spacing w:after="0"/>
        <w:rPr>
          <w:sz w:val="20"/>
          <w:szCs w:val="20"/>
          <w:color w:val="auto"/>
        </w:rPr>
      </w:pPr>
      <w:r>
        <w:rPr>
          <w:rFonts w:ascii="Courier New" w:cs="Courier New" w:eastAsia="Courier New" w:hAnsi="Courier New"/>
          <w:sz w:val="15"/>
          <w:szCs w:val="15"/>
          <w:color w:val="auto"/>
        </w:rPr>
        <w:t>TO</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FORM S-4</w:t>
      </w:r>
    </w:p>
    <w:p>
      <w:pPr>
        <w:spacing w:after="0" w:line="169" w:lineRule="exact"/>
        <w:rPr>
          <w:sz w:val="24"/>
          <w:szCs w:val="24"/>
          <w:color w:val="auto"/>
        </w:rPr>
      </w:pPr>
    </w:p>
    <w:p>
      <w:pPr>
        <w:ind w:left="2550"/>
        <w:spacing w:after="0"/>
        <w:rPr>
          <w:sz w:val="20"/>
          <w:szCs w:val="20"/>
          <w:color w:val="auto"/>
        </w:rPr>
      </w:pPr>
      <w:r>
        <w:rPr>
          <w:rFonts w:ascii="Courier New" w:cs="Courier New" w:eastAsia="Courier New" w:hAnsi="Courier New"/>
          <w:sz w:val="15"/>
          <w:szCs w:val="15"/>
          <w:color w:val="auto"/>
        </w:rPr>
        <w:t>REGISTRATION STATEMENT</w:t>
      </w:r>
    </w:p>
    <w:p>
      <w:pPr>
        <w:ind w:left="3090"/>
        <w:spacing w:after="0"/>
        <w:rPr>
          <w:sz w:val="20"/>
          <w:szCs w:val="20"/>
          <w:color w:val="auto"/>
        </w:rPr>
      </w:pPr>
      <w:r>
        <w:rPr>
          <w:rFonts w:ascii="Courier New" w:cs="Courier New" w:eastAsia="Courier New" w:hAnsi="Courier New"/>
          <w:sz w:val="15"/>
          <w:szCs w:val="15"/>
          <w:color w:val="auto"/>
        </w:rPr>
        <w:t>UNDER THE</w:t>
      </w:r>
    </w:p>
    <w:p>
      <w:pPr>
        <w:ind w:left="2550"/>
        <w:spacing w:after="0"/>
        <w:rPr>
          <w:sz w:val="20"/>
          <w:szCs w:val="20"/>
          <w:color w:val="auto"/>
        </w:rPr>
      </w:pPr>
      <w:r>
        <w:rPr>
          <w:rFonts w:ascii="Courier New" w:cs="Courier New" w:eastAsia="Courier New" w:hAnsi="Courier New"/>
          <w:sz w:val="15"/>
          <w:szCs w:val="15"/>
          <w:color w:val="auto"/>
        </w:rPr>
        <w:t>SECURITIES ACT OF 1933</w:t>
      </w:r>
    </w:p>
    <w:p>
      <w:pPr>
        <w:ind w:left="255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USA WASTE SERVICES, INC.</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226" w:right="1440" w:bottom="283" w:gutter="0" w:footer="0" w:header="0"/>
        </w:sectPr>
      </w:pPr>
    </w:p>
    <w:p>
      <w:pPr>
        <w:spacing w:after="0" w:line="200" w:lineRule="exact"/>
        <w:rPr>
          <w:sz w:val="24"/>
          <w:szCs w:val="24"/>
          <w:color w:val="auto"/>
        </w:rPr>
      </w:pPr>
    </w:p>
    <w:p>
      <w:pPr>
        <w:spacing w:after="0" w:line="308" w:lineRule="exact"/>
        <w:rPr>
          <w:sz w:val="24"/>
          <w:szCs w:val="24"/>
          <w:color w:val="auto"/>
        </w:rPr>
      </w:pPr>
    </w:p>
    <w:p>
      <w:pPr>
        <w:ind w:left="45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(State or other jurisdiction of</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4953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73-1309529</w:t>
      </w: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5" w:lineRule="exact"/>
        <w:rPr>
          <w:sz w:val="24"/>
          <w:szCs w:val="24"/>
          <w:color w:val="auto"/>
        </w:rPr>
      </w:pPr>
    </w:p>
    <w:p>
      <w:pPr>
        <w:sectPr>
          <w:pgSz w:w="11900" w:h="16838" w:orient="portrait"/>
          <w:cols w:equalWidth="0" w:num="3">
            <w:col w:w="2890" w:space="720"/>
            <w:col w:w="2540" w:space="720"/>
            <w:col w:w="3359"/>
          </w:cols>
          <w:pgMar w:left="230" w:top="226" w:right="1440" w:bottom="283" w:gutter="0" w:footer="0" w:header="0"/>
          <w:type w:val="continuous"/>
        </w:sectPr>
      </w:pPr>
    </w:p>
    <w:p>
      <w:pPr>
        <w:spacing w:after="0" w:line="139" w:lineRule="exact"/>
        <w:rPr>
          <w:sz w:val="24"/>
          <w:szCs w:val="24"/>
          <w:color w:val="auto"/>
        </w:rPr>
      </w:pPr>
    </w:p>
    <w:p>
      <w:pPr>
        <w:ind w:left="1770"/>
        <w:spacing w:after="0"/>
        <w:rPr>
          <w:sz w:val="20"/>
          <w:szCs w:val="20"/>
          <w:color w:val="auto"/>
        </w:rPr>
      </w:pPr>
      <w:r>
        <w:rPr>
          <w:rFonts w:ascii="Courier New" w:cs="Courier New" w:eastAsia="Courier New" w:hAnsi="Courier New"/>
          <w:sz w:val="15"/>
          <w:szCs w:val="15"/>
          <w:color w:val="auto"/>
        </w:rPr>
        <w:t>5400 LBJ Freeway, Suite 300 - Tower One</w:t>
      </w:r>
    </w:p>
    <w:p>
      <w:pPr>
        <w:ind w:left="2650"/>
        <w:spacing w:after="0"/>
        <w:rPr>
          <w:sz w:val="20"/>
          <w:szCs w:val="20"/>
          <w:color w:val="auto"/>
        </w:rPr>
      </w:pPr>
      <w:r>
        <w:rPr>
          <w:rFonts w:ascii="Courier New" w:cs="Courier New" w:eastAsia="Courier New" w:hAnsi="Courier New"/>
          <w:sz w:val="15"/>
          <w:szCs w:val="15"/>
          <w:color w:val="auto"/>
        </w:rPr>
        <w:t>Dallas, Texas 75240</w:t>
      </w:r>
    </w:p>
    <w:p>
      <w:pPr>
        <w:ind w:left="2910"/>
        <w:spacing w:after="0"/>
        <w:rPr>
          <w:sz w:val="20"/>
          <w:szCs w:val="20"/>
          <w:color w:val="auto"/>
        </w:rPr>
      </w:pPr>
      <w:r>
        <w:rPr>
          <w:rFonts w:ascii="Courier New" w:cs="Courier New" w:eastAsia="Courier New" w:hAnsi="Courier New"/>
          <w:sz w:val="15"/>
          <w:szCs w:val="15"/>
          <w:color w:val="auto"/>
        </w:rPr>
        <w:t>(972) 383-7900</w:t>
      </w:r>
    </w:p>
    <w:p>
      <w:pPr>
        <w:ind w:left="1230"/>
        <w:spacing w:after="0" w:line="238" w:lineRule="auto"/>
        <w:rPr>
          <w:sz w:val="20"/>
          <w:szCs w:val="20"/>
          <w:color w:val="auto"/>
        </w:rPr>
      </w:pPr>
      <w:r>
        <w:rPr>
          <w:rFonts w:ascii="Courier New" w:cs="Courier New" w:eastAsia="Courier New" w:hAnsi="Courier New"/>
          <w:sz w:val="15"/>
          <w:szCs w:val="15"/>
          <w:color w:val="auto"/>
        </w:rPr>
        <w:t>(Address, including zip code, and telephone number,</w:t>
      </w:r>
    </w:p>
    <w:p>
      <w:pPr>
        <w:spacing w:after="0" w:line="5" w:lineRule="exact"/>
        <w:rPr>
          <w:sz w:val="24"/>
          <w:szCs w:val="24"/>
          <w:color w:val="auto"/>
        </w:rPr>
      </w:pPr>
    </w:p>
    <w:p>
      <w:pPr>
        <w:ind w:left="610"/>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344"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Gregory T. Sangalis</w:t>
      </w:r>
    </w:p>
    <w:p>
      <w:pPr>
        <w:ind w:left="2470"/>
        <w:spacing w:after="0"/>
        <w:rPr>
          <w:sz w:val="20"/>
          <w:szCs w:val="20"/>
          <w:color w:val="auto"/>
        </w:rPr>
      </w:pPr>
      <w:r>
        <w:rPr>
          <w:rFonts w:ascii="Courier New" w:cs="Courier New" w:eastAsia="Courier New" w:hAnsi="Courier New"/>
          <w:sz w:val="15"/>
          <w:szCs w:val="15"/>
          <w:color w:val="auto"/>
        </w:rPr>
        <w:t>USA Waste Services, Inc.</w:t>
      </w:r>
    </w:p>
    <w:p>
      <w:pPr>
        <w:ind w:left="1770"/>
        <w:spacing w:after="0"/>
        <w:rPr>
          <w:sz w:val="20"/>
          <w:szCs w:val="20"/>
          <w:color w:val="auto"/>
        </w:rPr>
      </w:pPr>
      <w:r>
        <w:rPr>
          <w:rFonts w:ascii="Courier New" w:cs="Courier New" w:eastAsia="Courier New" w:hAnsi="Courier New"/>
          <w:sz w:val="15"/>
          <w:szCs w:val="15"/>
          <w:color w:val="auto"/>
        </w:rPr>
        <w:t>5400 LBJ Freeway, Suite 300 - Tower One</w:t>
      </w:r>
    </w:p>
    <w:p>
      <w:pPr>
        <w:ind w:left="2650"/>
        <w:spacing w:after="0" w:line="238" w:lineRule="auto"/>
        <w:rPr>
          <w:sz w:val="20"/>
          <w:szCs w:val="20"/>
          <w:color w:val="auto"/>
        </w:rPr>
      </w:pPr>
      <w:r>
        <w:rPr>
          <w:rFonts w:ascii="Courier New" w:cs="Courier New" w:eastAsia="Courier New" w:hAnsi="Courier New"/>
          <w:sz w:val="15"/>
          <w:szCs w:val="15"/>
          <w:color w:val="auto"/>
        </w:rPr>
        <w:t>Dallas, Texas 75240</w:t>
      </w:r>
    </w:p>
    <w:p>
      <w:pPr>
        <w:ind w:left="2910"/>
        <w:spacing w:after="0"/>
        <w:rPr>
          <w:sz w:val="20"/>
          <w:szCs w:val="20"/>
          <w:color w:val="auto"/>
        </w:rPr>
      </w:pPr>
      <w:r>
        <w:rPr>
          <w:rFonts w:ascii="Courier New" w:cs="Courier New" w:eastAsia="Courier New" w:hAnsi="Courier New"/>
          <w:sz w:val="15"/>
          <w:szCs w:val="15"/>
          <w:color w:val="auto"/>
        </w:rPr>
        <w:t>(972) 383-7900</w:t>
      </w:r>
    </w:p>
    <w:p>
      <w:pPr>
        <w:ind w:left="1330"/>
        <w:spacing w:after="0"/>
        <w:rPr>
          <w:sz w:val="20"/>
          <w:szCs w:val="20"/>
          <w:color w:val="auto"/>
        </w:rPr>
      </w:pPr>
      <w:r>
        <w:rPr>
          <w:rFonts w:ascii="Courier New" w:cs="Courier New" w:eastAsia="Courier New" w:hAnsi="Courier New"/>
          <w:sz w:val="15"/>
          <w:szCs w:val="15"/>
          <w:color w:val="auto"/>
        </w:rPr>
        <w:t>(Name, address, including zip code, and telephone</w:t>
      </w:r>
    </w:p>
    <w:p>
      <w:pPr>
        <w:ind w:left="1330"/>
        <w:spacing w:after="0" w:line="238" w:lineRule="auto"/>
        <w:rPr>
          <w:sz w:val="20"/>
          <w:szCs w:val="20"/>
          <w:color w:val="auto"/>
        </w:rPr>
      </w:pPr>
      <w:r>
        <w:rPr>
          <w:rFonts w:ascii="Courier New" w:cs="Courier New" w:eastAsia="Courier New" w:hAnsi="Courier New"/>
          <w:sz w:val="15"/>
          <w:szCs w:val="15"/>
          <w:color w:val="auto"/>
        </w:rPr>
        <w:t>number, including area code, of agent for service)</w:t>
      </w:r>
    </w:p>
    <w:p>
      <w:pPr>
        <w:sectPr>
          <w:pgSz w:w="11900" w:h="16838" w:orient="portrait"/>
          <w:cols w:equalWidth="0" w:num="1">
            <w:col w:w="10229"/>
          </w:cols>
          <w:pgMar w:left="230" w:top="226" w:right="1440" w:bottom="283" w:gutter="0" w:footer="0" w:header="0"/>
          <w:type w:val="continuous"/>
        </w:sectPr>
      </w:pP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Copies to:</w:t>
      </w:r>
    </w:p>
    <w:p>
      <w:pPr>
        <w:spacing w:after="0" w:line="169" w:lineRule="exact"/>
        <w:rPr>
          <w:sz w:val="24"/>
          <w:szCs w:val="24"/>
          <w:color w:val="auto"/>
        </w:rPr>
      </w:pPr>
    </w:p>
    <w:p>
      <w:pPr>
        <w:ind w:left="2910"/>
        <w:spacing w:after="0"/>
        <w:rPr>
          <w:sz w:val="20"/>
          <w:szCs w:val="20"/>
          <w:color w:val="auto"/>
        </w:rPr>
      </w:pPr>
      <w:r>
        <w:rPr>
          <w:rFonts w:ascii="Courier New" w:cs="Courier New" w:eastAsia="Courier New" w:hAnsi="Courier New"/>
          <w:sz w:val="15"/>
          <w:szCs w:val="15"/>
          <w:color w:val="auto"/>
        </w:rPr>
        <w:t>John T. Unger</w:t>
      </w:r>
    </w:p>
    <w:p>
      <w:pPr>
        <w:ind w:left="2650"/>
        <w:spacing w:after="0"/>
        <w:rPr>
          <w:sz w:val="20"/>
          <w:szCs w:val="20"/>
          <w:color w:val="auto"/>
        </w:rPr>
      </w:pPr>
      <w:r>
        <w:rPr>
          <w:rFonts w:ascii="Courier New" w:cs="Courier New" w:eastAsia="Courier New" w:hAnsi="Courier New"/>
          <w:sz w:val="15"/>
          <w:szCs w:val="15"/>
          <w:color w:val="auto"/>
        </w:rPr>
        <w:t>Snell &amp; Smith, P.C.</w:t>
      </w:r>
    </w:p>
    <w:p>
      <w:pPr>
        <w:ind w:left="2390"/>
        <w:spacing w:after="0"/>
        <w:rPr>
          <w:sz w:val="20"/>
          <w:szCs w:val="20"/>
          <w:color w:val="auto"/>
        </w:rPr>
      </w:pPr>
      <w:r>
        <w:rPr>
          <w:rFonts w:ascii="Courier New" w:cs="Courier New" w:eastAsia="Courier New" w:hAnsi="Courier New"/>
          <w:sz w:val="15"/>
          <w:szCs w:val="15"/>
          <w:color w:val="auto"/>
        </w:rPr>
        <w:t>1000 Louisiana, Suite 3650</w:t>
      </w:r>
    </w:p>
    <w:p>
      <w:pPr>
        <w:ind w:left="2650"/>
        <w:spacing w:after="0" w:line="238" w:lineRule="auto"/>
        <w:rPr>
          <w:sz w:val="20"/>
          <w:szCs w:val="20"/>
          <w:color w:val="auto"/>
        </w:rPr>
      </w:pPr>
      <w:r>
        <w:rPr>
          <w:rFonts w:ascii="Courier New" w:cs="Courier New" w:eastAsia="Courier New" w:hAnsi="Courier New"/>
          <w:sz w:val="15"/>
          <w:szCs w:val="15"/>
          <w:color w:val="auto"/>
        </w:rPr>
        <w:t>Houston, Texas 77002</w:t>
      </w:r>
    </w:p>
    <w:p>
      <w:pPr>
        <w:spacing w:after="0" w:line="175" w:lineRule="exact"/>
        <w:rPr>
          <w:sz w:val="24"/>
          <w:szCs w:val="24"/>
          <w:color w:val="auto"/>
        </w:rPr>
      </w:pPr>
    </w:p>
    <w:p>
      <w:pPr>
        <w:ind w:left="10" w:right="3359" w:firstLine="353"/>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w:t>
      </w:r>
    </w:p>
    <w:p>
      <w:pPr>
        <w:spacing w:after="0" w:line="176" w:lineRule="exact"/>
        <w:rPr>
          <w:sz w:val="24"/>
          <w:szCs w:val="24"/>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CALCULATION OF REGISTRATION FEE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4"/>
          <w:szCs w:val="24"/>
          <w:color w:val="auto"/>
        </w:rPr>
      </w:pPr>
    </w:p>
    <w:tbl>
      <w:tblPr>
        <w:tblLayout w:type="fixed"/>
        <w:tblInd w:w="27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00" w:type="dxa"/>
            <w:vAlign w:val="bottom"/>
          </w:tcPr>
          <w:p>
            <w:pPr>
              <w:ind w:left="340"/>
              <w:spacing w:after="0"/>
              <w:rPr>
                <w:sz w:val="20"/>
                <w:szCs w:val="20"/>
                <w:color w:val="auto"/>
              </w:rPr>
            </w:pPr>
            <w:r>
              <w:rPr>
                <w:rFonts w:ascii="Courier New" w:cs="Courier New" w:eastAsia="Courier New" w:hAnsi="Courier New"/>
                <w:sz w:val="15"/>
                <w:szCs w:val="15"/>
                <w:color w:val="auto"/>
              </w:rPr>
              <w:t>Proposed</w:t>
            </w:r>
          </w:p>
        </w:tc>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Proposed</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Title of</w:t>
            </w:r>
          </w:p>
        </w:tc>
        <w:tc>
          <w:tcPr>
            <w:tcW w:w="1940" w:type="dxa"/>
            <w:vAlign w:val="bottom"/>
          </w:tcPr>
          <w:p>
            <w:pPr>
              <w:spacing w:after="0"/>
              <w:rPr>
                <w:sz w:val="14"/>
                <w:szCs w:val="14"/>
                <w:color w:val="auto"/>
              </w:rPr>
            </w:pP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maximum</w:t>
            </w:r>
          </w:p>
        </w:tc>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maximum</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securities</w:t>
            </w:r>
          </w:p>
        </w:tc>
        <w:tc>
          <w:tcPr>
            <w:tcW w:w="1940" w:type="dxa"/>
            <w:vAlign w:val="bottom"/>
          </w:tcPr>
          <w:p>
            <w:pPr>
              <w:ind w:left="700"/>
              <w:spacing w:after="0"/>
              <w:rPr>
                <w:sz w:val="20"/>
                <w:szCs w:val="20"/>
                <w:color w:val="auto"/>
              </w:rPr>
            </w:pPr>
            <w:r>
              <w:rPr>
                <w:rFonts w:ascii="Courier New" w:cs="Courier New" w:eastAsia="Courier New" w:hAnsi="Courier New"/>
                <w:sz w:val="15"/>
                <w:szCs w:val="15"/>
                <w:color w:val="auto"/>
              </w:rPr>
              <w:t>Amount</w:t>
            </w:r>
          </w:p>
        </w:tc>
        <w:tc>
          <w:tcPr>
            <w:tcW w:w="1500" w:type="dxa"/>
            <w:vAlign w:val="bottom"/>
          </w:tcPr>
          <w:p>
            <w:pPr>
              <w:ind w:left="340"/>
              <w:spacing w:after="0"/>
              <w:rPr>
                <w:sz w:val="20"/>
                <w:szCs w:val="20"/>
                <w:color w:val="auto"/>
              </w:rPr>
            </w:pPr>
            <w:r>
              <w:rPr>
                <w:rFonts w:ascii="Courier New" w:cs="Courier New" w:eastAsia="Courier New" w:hAnsi="Courier New"/>
                <w:sz w:val="15"/>
                <w:szCs w:val="15"/>
                <w:color w:val="auto"/>
              </w:rPr>
              <w:t>offering</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aggregate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0"/>
        </w:trPr>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to be</w:t>
            </w:r>
          </w:p>
        </w:tc>
        <w:tc>
          <w:tcPr>
            <w:tcW w:w="1940" w:type="dxa"/>
            <w:vAlign w:val="bottom"/>
          </w:tcPr>
          <w:p>
            <w:pPr>
              <w:ind w:left="700"/>
              <w:spacing w:after="0"/>
              <w:rPr>
                <w:sz w:val="20"/>
                <w:szCs w:val="20"/>
                <w:color w:val="auto"/>
              </w:rPr>
            </w:pPr>
            <w:r>
              <w:rPr>
                <w:rFonts w:ascii="Courier New" w:cs="Courier New" w:eastAsia="Courier New" w:hAnsi="Courier New"/>
                <w:sz w:val="15"/>
                <w:szCs w:val="15"/>
                <w:color w:val="auto"/>
              </w:rPr>
              <w:t>to be</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price</w:t>
            </w:r>
          </w:p>
        </w:tc>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registration</w:t>
            </w:r>
          </w:p>
        </w:tc>
      </w:tr>
      <w:tr>
        <w:trPr>
          <w:trHeight w:val="170"/>
        </w:trPr>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registered</w:t>
            </w:r>
          </w:p>
        </w:tc>
        <w:tc>
          <w:tcPr>
            <w:tcW w:w="1940" w:type="dxa"/>
            <w:vAlign w:val="bottom"/>
          </w:tcPr>
          <w:p>
            <w:pPr>
              <w:ind w:left="440"/>
              <w:spacing w:after="0"/>
              <w:rPr>
                <w:sz w:val="20"/>
                <w:szCs w:val="20"/>
                <w:color w:val="auto"/>
              </w:rPr>
            </w:pPr>
            <w:r>
              <w:rPr>
                <w:rFonts w:ascii="Courier New" w:cs="Courier New" w:eastAsia="Courier New" w:hAnsi="Courier New"/>
                <w:sz w:val="15"/>
                <w:szCs w:val="15"/>
                <w:color w:val="auto"/>
              </w:rPr>
              <w:t>registered(1)</w:t>
            </w:r>
          </w:p>
        </w:tc>
        <w:tc>
          <w:tcPr>
            <w:tcW w:w="1500" w:type="dxa"/>
            <w:vAlign w:val="bottom"/>
          </w:tcPr>
          <w:p>
            <w:pPr>
              <w:ind w:left="340"/>
              <w:spacing w:after="0"/>
              <w:rPr>
                <w:sz w:val="20"/>
                <w:szCs w:val="20"/>
                <w:color w:val="auto"/>
              </w:rPr>
            </w:pPr>
            <w:r>
              <w:rPr>
                <w:rFonts w:ascii="Courier New" w:cs="Courier New" w:eastAsia="Courier New" w:hAnsi="Courier New"/>
                <w:sz w:val="15"/>
                <w:szCs w:val="15"/>
                <w:color w:val="auto"/>
              </w:rPr>
              <w:t>per share</w:t>
            </w: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price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fee</w:t>
            </w:r>
          </w:p>
        </w:tc>
        <w:tc>
          <w:tcPr>
            <w:tcW w:w="300" w:type="dxa"/>
            <w:vAlign w:val="bottom"/>
          </w:tcPr>
          <w:p>
            <w:pPr>
              <w:spacing w:after="0"/>
              <w:rPr>
                <w:sz w:val="14"/>
                <w:szCs w:val="14"/>
                <w:color w:val="auto"/>
              </w:rPr>
            </w:pPr>
          </w:p>
        </w:tc>
      </w:tr>
    </w:tbl>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940" w:type="dxa"/>
            <w:vAlign w:val="bottom"/>
          </w:tcPr>
          <w:p>
            <w:pPr>
              <w:ind w:left="220"/>
              <w:spacing w:after="0"/>
              <w:rPr>
                <w:sz w:val="20"/>
                <w:szCs w:val="20"/>
                <w:color w:val="auto"/>
              </w:rPr>
            </w:pPr>
            <w:r>
              <w:rPr>
                <w:rFonts w:ascii="Courier New" w:cs="Courier New" w:eastAsia="Courier New" w:hAnsi="Courier New"/>
                <w:sz w:val="15"/>
                <w:szCs w:val="15"/>
                <w:color w:val="auto"/>
              </w:rPr>
              <w:t>12,000,000 shares</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$ 32.625(1)</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$ 391,500,000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$118,636.36(2)</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$.01 par value</w:t>
            </w: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19" w:lineRule="exact"/>
        <w:rPr>
          <w:sz w:val="24"/>
          <w:szCs w:val="24"/>
          <w:color w:val="auto"/>
        </w:rPr>
      </w:pPr>
    </w:p>
    <w:p>
      <w:pPr>
        <w:ind w:left="790" w:right="3359" w:hanging="790"/>
        <w:spacing w:after="0" w:line="237" w:lineRule="auto"/>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in accordance with Rule 457(c) on the basis of the average high and low prices for Common Stock on the New York Stock Exchange on November 13, 1996.</w:t>
      </w:r>
    </w:p>
    <w:p>
      <w:pPr>
        <w:spacing w:after="0" w:line="344" w:lineRule="exact"/>
        <w:rPr>
          <w:rFonts w:ascii="Courier New" w:cs="Courier New" w:eastAsia="Courier New" w:hAnsi="Courier New"/>
          <w:sz w:val="15"/>
          <w:szCs w:val="15"/>
          <w:color w:val="auto"/>
        </w:rPr>
      </w:pPr>
    </w:p>
    <w:p>
      <w:pPr>
        <w:ind w:left="790" w:right="3699" w:hanging="790"/>
        <w:spacing w:after="0" w:line="235" w:lineRule="auto"/>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$21,810.35 of this fee has been previously paid with the original filing on October 15, 1996.</w:t>
      </w:r>
    </w:p>
    <w:p>
      <w:pPr>
        <w:spacing w:after="0" w:line="170"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w:t>
      </w:r>
    </w:p>
    <w:p>
      <w:pPr>
        <w:ind w:left="10"/>
        <w:spacing w:after="0"/>
        <w:rPr>
          <w:sz w:val="20"/>
          <w:szCs w:val="20"/>
          <w:color w:val="auto"/>
        </w:rPr>
      </w:pPr>
      <w:r>
        <w:rPr>
          <w:rFonts w:ascii="Courier New" w:cs="Courier New" w:eastAsia="Courier New" w:hAnsi="Courier New"/>
          <w:sz w:val="15"/>
          <w:szCs w:val="15"/>
          <w:color w:val="auto"/>
        </w:rPr>
        <w:t>AS MAY BE NECESSARY TO DELAY ITS EFFECTIVE DATE UNTIL THE REGISTRANT SHALL FILE</w:t>
      </w:r>
    </w:p>
    <w:p>
      <w:pPr>
        <w:ind w:left="10"/>
        <w:spacing w:after="0"/>
        <w:rPr>
          <w:sz w:val="20"/>
          <w:szCs w:val="20"/>
          <w:color w:val="auto"/>
        </w:rPr>
      </w:pPr>
      <w:r>
        <w:rPr>
          <w:rFonts w:ascii="Courier New" w:cs="Courier New" w:eastAsia="Courier New" w:hAnsi="Courier New"/>
          <w:sz w:val="15"/>
          <w:szCs w:val="15"/>
          <w:color w:val="auto"/>
        </w:rPr>
        <w:t>A FURTHER AMENDMENT WHICH SPECIFICALLY STATES THAT THIS REGISTRATION STATEMENT</w:t>
      </w:r>
    </w:p>
    <w:p>
      <w:pPr>
        <w:ind w:left="10"/>
        <w:spacing w:after="0" w:line="238" w:lineRule="auto"/>
        <w:rPr>
          <w:sz w:val="20"/>
          <w:szCs w:val="20"/>
          <w:color w:val="auto"/>
        </w:rPr>
      </w:pPr>
      <w:r>
        <w:rPr>
          <w:rFonts w:ascii="Courier New" w:cs="Courier New" w:eastAsia="Courier New" w:hAnsi="Courier New"/>
          <w:sz w:val="15"/>
          <w:szCs w:val="15"/>
          <w:color w:val="auto"/>
        </w:rPr>
        <w:t>SHALL THEREAFTER BECOME EFFECTIVE IN ACCORDANCE WITH SECTION 8(A) OF THE</w:t>
      </w:r>
    </w:p>
    <w:p>
      <w:pPr>
        <w:ind w:left="10"/>
        <w:spacing w:after="0"/>
        <w:rPr>
          <w:sz w:val="20"/>
          <w:szCs w:val="20"/>
          <w:color w:val="auto"/>
        </w:rPr>
      </w:pPr>
      <w:r>
        <w:rPr>
          <w:rFonts w:ascii="Courier New" w:cs="Courier New" w:eastAsia="Courier New" w:hAnsi="Courier New"/>
          <w:sz w:val="15"/>
          <w:szCs w:val="15"/>
          <w:color w:val="auto"/>
        </w:rPr>
        <w:t>SECURITIES ACT OF 1933 OR UNTIL THE REGISTRATION STATEMENT SHALL BECOME</w:t>
      </w:r>
    </w:p>
    <w:p>
      <w:pPr>
        <w:ind w:left="10"/>
        <w:spacing w:after="0"/>
        <w:rPr>
          <w:sz w:val="20"/>
          <w:szCs w:val="20"/>
          <w:color w:val="auto"/>
        </w:rPr>
      </w:pPr>
      <w:r>
        <w:rPr>
          <w:rFonts w:ascii="Courier New" w:cs="Courier New" w:eastAsia="Courier New" w:hAnsi="Courier New"/>
          <w:sz w:val="15"/>
          <w:szCs w:val="15"/>
          <w:color w:val="auto"/>
        </w:rPr>
        <w:t>EFFECTIVE ON SUCH DATE AS THE COMMISSION ACTING PURSUANT TO SUCH SECTION 8(A)</w:t>
      </w:r>
    </w:p>
    <w:p>
      <w:pPr>
        <w:ind w:left="10"/>
        <w:spacing w:after="0" w:line="238" w:lineRule="auto"/>
        <w:rPr>
          <w:sz w:val="20"/>
          <w:szCs w:val="20"/>
          <w:color w:val="auto"/>
        </w:rPr>
      </w:pPr>
      <w:r>
        <w:rPr>
          <w:rFonts w:ascii="Courier New" w:cs="Courier New" w:eastAsia="Courier New" w:hAnsi="Courier New"/>
          <w:sz w:val="15"/>
          <w:szCs w:val="15"/>
          <w:color w:val="auto"/>
        </w:rPr>
        <w:t>MAY DETERMINE.</w:t>
      </w: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226" w:right="1440" w:bottom="283" w:gutter="0" w:footer="0" w:header="0"/>
          <w:type w:val="continuous"/>
        </w:sectPr>
      </w:pPr>
    </w:p>
    <w:bookmarkStart w:id="1" w:name="page2"/>
    <w:bookmarkEnd w:id="1"/>
    <w:p>
      <w:pPr>
        <w:ind w:left="270"/>
        <w:spacing w:after="0"/>
        <w:rPr>
          <w:sz w:val="20"/>
          <w:szCs w:val="20"/>
          <w:color w:val="auto"/>
        </w:rPr>
      </w:pPr>
      <w:r>
        <w:rPr>
          <w:rFonts w:ascii="Courier New" w:cs="Courier New" w:eastAsia="Courier New" w:hAnsi="Courier New"/>
          <w:sz w:val="15"/>
          <w:szCs w:val="15"/>
          <w:color w:val="auto"/>
        </w:rPr>
        <w:t>2</w:t>
      </w:r>
    </w:p>
    <w:p>
      <w:pPr>
        <w:jc w:val="center"/>
        <w:ind w:right="3270"/>
        <w:spacing w:after="0"/>
        <w:rPr>
          <w:sz w:val="20"/>
          <w:szCs w:val="20"/>
          <w:color w:val="auto"/>
        </w:rPr>
      </w:pPr>
      <w:r>
        <w:rPr>
          <w:rFonts w:ascii="Courier New" w:cs="Courier New" w:eastAsia="Courier New" w:hAnsi="Courier New"/>
          <w:sz w:val="15"/>
          <w:szCs w:val="15"/>
          <w:color w:val="auto"/>
        </w:rPr>
        <w:t>CROSS REFERENCE SHEET</w:t>
      </w:r>
    </w:p>
    <w:p>
      <w:pPr>
        <w:spacing w:after="0" w:line="169" w:lineRule="exact"/>
        <w:rPr>
          <w:sz w:val="20"/>
          <w:szCs w:val="20"/>
          <w:color w:val="auto"/>
        </w:rPr>
      </w:pPr>
    </w:p>
    <w:p>
      <w:pPr>
        <w:jc w:val="right"/>
        <w:ind w:right="4939"/>
        <w:spacing w:after="0"/>
        <w:rPr>
          <w:sz w:val="20"/>
          <w:szCs w:val="20"/>
          <w:color w:val="auto"/>
        </w:rPr>
      </w:pPr>
      <w:r>
        <w:rPr>
          <w:rFonts w:ascii="Courier New" w:cs="Courier New" w:eastAsia="Courier New" w:hAnsi="Courier New"/>
          <w:sz w:val="15"/>
          <w:szCs w:val="15"/>
          <w:color w:val="auto"/>
        </w:rPr>
        <w:t>Pursuant to Item 501(b) of Regulation S-K</w:t>
      </w:r>
    </w:p>
    <w:p>
      <w:pPr>
        <w:sectPr>
          <w:pgSz w:w="11900" w:h="16838" w:orient="portrait"/>
          <w:cols w:equalWidth="0" w:num="1">
            <w:col w:w="10229"/>
          </w:cols>
          <w:pgMar w:left="230" w:top="283" w:right="1440" w:bottom="1440" w:gutter="0" w:footer="0" w:header="0"/>
        </w:sectPr>
      </w:pPr>
    </w:p>
    <w:p>
      <w:pPr>
        <w:spacing w:after="0" w:line="33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Item</w:t>
      </w:r>
    </w:p>
    <w:p>
      <w:pPr>
        <w:ind w:left="10"/>
        <w:spacing w:after="0"/>
        <w:tabs>
          <w:tab w:leader="none" w:pos="2269"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Form S-4 Caption</w:t>
      </w:r>
    </w:p>
    <w:p>
      <w:pPr>
        <w:ind w:left="10"/>
        <w:spacing w:after="0"/>
        <w:tabs>
          <w:tab w:leader="none" w:pos="24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jc w:val="both"/>
        <w:ind w:left="1150" w:right="280" w:hanging="973"/>
        <w:spacing w:after="0" w:line="265" w:lineRule="auto"/>
        <w:tabs>
          <w:tab w:leader="none" w:pos="115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Forepart of Registration Statement and Outside Front Cover Page of Prospectus</w:t>
      </w:r>
    </w:p>
    <w:p>
      <w:pPr>
        <w:spacing w:after="0" w:line="158" w:lineRule="exact"/>
        <w:rPr>
          <w:rFonts w:ascii="Courier New" w:cs="Courier New" w:eastAsia="Courier New" w:hAnsi="Courier New"/>
          <w:sz w:val="14"/>
          <w:szCs w:val="14"/>
          <w:color w:val="auto"/>
        </w:rPr>
      </w:pPr>
    </w:p>
    <w:p>
      <w:pPr>
        <w:ind w:left="1150" w:hanging="973"/>
        <w:spacing w:after="0" w:line="235" w:lineRule="auto"/>
        <w:tabs>
          <w:tab w:leader="none" w:pos="11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Inside Front and Outside Back Cover Pages of Prospectus</w:t>
      </w:r>
    </w:p>
    <w:p>
      <w:pPr>
        <w:spacing w:after="0" w:line="175" w:lineRule="exact"/>
        <w:rPr>
          <w:rFonts w:ascii="Courier New" w:cs="Courier New" w:eastAsia="Courier New" w:hAnsi="Courier New"/>
          <w:sz w:val="15"/>
          <w:szCs w:val="15"/>
          <w:color w:val="auto"/>
        </w:rPr>
      </w:pPr>
    </w:p>
    <w:p>
      <w:pPr>
        <w:ind w:left="1150" w:right="100" w:hanging="973"/>
        <w:spacing w:after="0" w:line="235" w:lineRule="auto"/>
        <w:tabs>
          <w:tab w:leader="none" w:pos="11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 Factors, Ratio of Earnings to Fixed Charges and Other Information</w:t>
      </w:r>
    </w:p>
    <w:p>
      <w:pPr>
        <w:spacing w:after="0" w:line="339" w:lineRule="exact"/>
        <w:rPr>
          <w:rFonts w:ascii="Courier New" w:cs="Courier New" w:eastAsia="Courier New" w:hAnsi="Courier New"/>
          <w:sz w:val="15"/>
          <w:szCs w:val="15"/>
          <w:color w:val="auto"/>
        </w:rPr>
      </w:pPr>
    </w:p>
    <w:p>
      <w:pPr>
        <w:ind w:left="1150" w:hanging="973"/>
        <w:spacing w:after="0"/>
        <w:tabs>
          <w:tab w:leader="none" w:pos="11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the Transaction</w:t>
      </w:r>
    </w:p>
    <w:p>
      <w:pPr>
        <w:spacing w:after="0" w:line="169" w:lineRule="exact"/>
        <w:rPr>
          <w:rFonts w:ascii="Courier New" w:cs="Courier New" w:eastAsia="Courier New" w:hAnsi="Courier New"/>
          <w:sz w:val="15"/>
          <w:szCs w:val="15"/>
          <w:color w:val="auto"/>
        </w:rPr>
      </w:pPr>
    </w:p>
    <w:p>
      <w:pPr>
        <w:ind w:left="1150" w:hanging="973"/>
        <w:spacing w:after="0"/>
        <w:tabs>
          <w:tab w:leader="none" w:pos="11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74" w:lineRule="exact"/>
        <w:rPr>
          <w:rFonts w:ascii="Courier New" w:cs="Courier New" w:eastAsia="Courier New" w:hAnsi="Courier New"/>
          <w:sz w:val="15"/>
          <w:szCs w:val="15"/>
          <w:color w:val="auto"/>
        </w:rPr>
      </w:pPr>
    </w:p>
    <w:p>
      <w:pPr>
        <w:ind w:left="1150" w:right="540" w:hanging="973"/>
        <w:spacing w:after="0" w:line="235" w:lineRule="auto"/>
        <w:tabs>
          <w:tab w:leader="none" w:pos="11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with the Company Being Acquired</w:t>
      </w:r>
    </w:p>
    <w:p>
      <w:pPr>
        <w:spacing w:after="0" w:line="175" w:lineRule="exact"/>
        <w:rPr>
          <w:rFonts w:ascii="Courier New" w:cs="Courier New" w:eastAsia="Courier New" w:hAnsi="Courier New"/>
          <w:sz w:val="15"/>
          <w:szCs w:val="15"/>
          <w:color w:val="auto"/>
        </w:rPr>
      </w:pPr>
    </w:p>
    <w:p>
      <w:pPr>
        <w:ind w:left="1150" w:right="540" w:hanging="973"/>
        <w:spacing w:after="0" w:line="237" w:lineRule="auto"/>
        <w:tabs>
          <w:tab w:leader="none" w:pos="11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Information Required for Reoffering by Persons and Parties Deemed to be Underwriters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Prospectus Caption</w:t>
      </w:r>
    </w:p>
    <w:p>
      <w:pPr>
        <w:ind w:left="9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1419"/>
        <w:spacing w:after="0" w:line="235" w:lineRule="auto"/>
        <w:rPr>
          <w:sz w:val="20"/>
          <w:szCs w:val="20"/>
          <w:color w:val="auto"/>
        </w:rPr>
      </w:pPr>
      <w:r>
        <w:rPr>
          <w:rFonts w:ascii="Courier New" w:cs="Courier New" w:eastAsia="Courier New" w:hAnsi="Courier New"/>
          <w:sz w:val="15"/>
          <w:szCs w:val="15"/>
          <w:color w:val="auto"/>
        </w:rPr>
        <w:t>Cover of Registration Statement, Outside Front Cover Page of Prospectus</w:t>
      </w:r>
    </w:p>
    <w:p>
      <w:pPr>
        <w:spacing w:after="0" w:line="176" w:lineRule="exact"/>
        <w:rPr>
          <w:sz w:val="20"/>
          <w:szCs w:val="20"/>
          <w:color w:val="auto"/>
        </w:rPr>
      </w:pPr>
    </w:p>
    <w:p>
      <w:pPr>
        <w:ind w:right="799"/>
        <w:spacing w:after="0" w:line="265" w:lineRule="auto"/>
        <w:rPr>
          <w:sz w:val="20"/>
          <w:szCs w:val="20"/>
          <w:color w:val="auto"/>
        </w:rPr>
      </w:pPr>
      <w:r>
        <w:rPr>
          <w:rFonts w:ascii="Courier New" w:cs="Courier New" w:eastAsia="Courier New" w:hAnsi="Courier New"/>
          <w:sz w:val="14"/>
          <w:szCs w:val="14"/>
          <w:color w:val="auto"/>
        </w:rPr>
        <w:t>Available Information; Incorporation of Certain Information by Reference; Table of Contents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Cover Page; The Company; Risk Factors;</w:t>
      </w:r>
    </w:p>
    <w:p>
      <w:pPr>
        <w:spacing w:after="0" w:line="5" w:lineRule="exact"/>
        <w:rPr>
          <w:sz w:val="20"/>
          <w:szCs w:val="20"/>
          <w:color w:val="auto"/>
        </w:rPr>
      </w:pPr>
    </w:p>
    <w:p>
      <w:pPr>
        <w:ind w:right="539"/>
        <w:spacing w:after="0" w:line="265" w:lineRule="auto"/>
        <w:rPr>
          <w:sz w:val="20"/>
          <w:szCs w:val="20"/>
          <w:color w:val="auto"/>
        </w:rPr>
      </w:pPr>
      <w:r>
        <w:rPr>
          <w:rFonts w:ascii="Courier New" w:cs="Courier New" w:eastAsia="Courier New" w:hAnsi="Courier New"/>
          <w:sz w:val="14"/>
          <w:szCs w:val="14"/>
          <w:color w:val="auto"/>
        </w:rPr>
        <w:t>Summary Consolidated Financial Data; Incorporation of Certain Information by Reference*</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1319"/>
        <w:spacing w:after="0" w:line="237" w:lineRule="auto"/>
        <w:rPr>
          <w:sz w:val="20"/>
          <w:szCs w:val="20"/>
          <w:color w:val="auto"/>
        </w:rPr>
      </w:pPr>
      <w:r>
        <w:rPr>
          <w:rFonts w:ascii="Courier New" w:cs="Courier New" w:eastAsia="Courier New" w:hAnsi="Courier New"/>
          <w:sz w:val="15"/>
          <w:szCs w:val="15"/>
          <w:color w:val="auto"/>
        </w:rPr>
        <w:t>Outstanding Securities Covered by this Prospectus; Manner of Offering by Selling Shareholders</w:t>
      </w:r>
    </w:p>
    <w:p>
      <w:pPr>
        <w:spacing w:after="0" w:line="169" w:lineRule="exact"/>
        <w:rPr>
          <w:sz w:val="20"/>
          <w:szCs w:val="20"/>
          <w:color w:val="auto"/>
        </w:rPr>
      </w:pPr>
    </w:p>
    <w:p>
      <w:pPr>
        <w:sectPr>
          <w:pgSz w:w="11900" w:h="16838" w:orient="portrait"/>
          <w:cols w:equalWidth="0" w:num="2">
            <w:col w:w="4770" w:space="520"/>
            <w:col w:w="4939"/>
          </w:cols>
          <w:pgMar w:left="230" w:top="283" w:right="1440" w:bottom="1440" w:gutter="0" w:footer="0" w:header="0"/>
          <w:type w:val="continuous"/>
        </w:sectPr>
      </w:pPr>
    </w:p>
    <w:tbl>
      <w:tblPr>
        <w:tblLayout w:type="fixed"/>
        <w:tblInd w:w="90" w:type="dxa"/>
        <w:tblCellMar>
          <w:top w:w="0" w:type="dxa"/>
          <w:left w:w="0" w:type="dxa"/>
          <w:bottom w:w="0" w:type="dxa"/>
          <w:right w:w="0" w:type="dxa"/>
        </w:tblCellMar>
      </w:tblPr>
      <w:tr>
        <w:trPr>
          <w:trHeight w:val="170"/>
        </w:trPr>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w:t>
            </w:r>
          </w:p>
        </w:tc>
        <w:tc>
          <w:tcPr>
            <w:tcW w:w="45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Interests of Named Experts and Counsel</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Legal Matters; Experts</w:t>
            </w:r>
          </w:p>
        </w:tc>
      </w:tr>
      <w:tr>
        <w:trPr>
          <w:trHeight w:val="339"/>
        </w:trPr>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w:t>
            </w: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w w:val="99"/>
              </w:rPr>
              <w:t>Disclosure of Commission</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Position on</w:t>
            </w:r>
          </w:p>
        </w:tc>
        <w:tc>
          <w:tcPr>
            <w:tcW w:w="34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14"/>
                <w:szCs w:val="14"/>
                <w:color w:val="auto"/>
              </w:rPr>
            </w:pPr>
          </w:p>
        </w:tc>
        <w:tc>
          <w:tcPr>
            <w:tcW w:w="4500" w:type="dxa"/>
            <w:vAlign w:val="bottom"/>
            <w:gridSpan w:val="3"/>
          </w:tcPr>
          <w:p>
            <w:pPr>
              <w:ind w:left="400"/>
              <w:spacing w:after="0"/>
              <w:rPr>
                <w:sz w:val="20"/>
                <w:szCs w:val="20"/>
                <w:color w:val="auto"/>
              </w:rPr>
            </w:pPr>
            <w:r>
              <w:rPr>
                <w:rFonts w:ascii="Courier New" w:cs="Courier New" w:eastAsia="Courier New" w:hAnsi="Courier New"/>
                <w:sz w:val="15"/>
                <w:szCs w:val="15"/>
                <w:color w:val="auto"/>
                <w:w w:val="98"/>
              </w:rPr>
              <w:t>Indemnification for Securities Act Liabilities</w:t>
            </w:r>
          </w:p>
        </w:tc>
        <w:tc>
          <w:tcPr>
            <w:tcW w:w="3480" w:type="dxa"/>
            <w:vAlign w:val="bottom"/>
          </w:tcPr>
          <w:p>
            <w:pPr>
              <w:spacing w:after="0"/>
              <w:rPr>
                <w:sz w:val="14"/>
                <w:szCs w:val="14"/>
                <w:color w:val="auto"/>
              </w:rPr>
            </w:pPr>
          </w:p>
        </w:tc>
      </w:tr>
      <w:tr>
        <w:trPr>
          <w:trHeight w:val="339"/>
        </w:trPr>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10.</w:t>
            </w: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w w:val="99"/>
              </w:rPr>
              <w:t>Information with Respect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to S-3</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Registrants</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The Company; Incorporation of Certain</w:t>
            </w:r>
          </w:p>
        </w:tc>
      </w:tr>
      <w:tr>
        <w:trPr>
          <w:trHeight w:val="170"/>
        </w:trPr>
        <w:tc>
          <w:tcPr>
            <w:tcW w:w="6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Information By Reference</w:t>
            </w:r>
          </w:p>
        </w:tc>
      </w:tr>
      <w:tr>
        <w:trPr>
          <w:trHeight w:val="339"/>
        </w:trPr>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11.</w:t>
            </w: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w w:val="99"/>
              </w:rPr>
              <w:t>Incorporation of Certain</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Information by</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w w:val="97"/>
              </w:rPr>
              <w:t>Incorporation of Certain Information by</w:t>
            </w:r>
          </w:p>
        </w:tc>
      </w:tr>
      <w:tr>
        <w:trPr>
          <w:trHeight w:val="170"/>
        </w:trPr>
        <w:tc>
          <w:tcPr>
            <w:tcW w:w="660" w:type="dxa"/>
            <w:vAlign w:val="bottom"/>
          </w:tcPr>
          <w:p>
            <w:pPr>
              <w:spacing w:after="0"/>
              <w:rPr>
                <w:sz w:val="14"/>
                <w:szCs w:val="14"/>
                <w:color w:val="auto"/>
              </w:rPr>
            </w:pP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rPr>
              <w:t>Reference</w:t>
            </w: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Reference</w:t>
            </w:r>
          </w:p>
        </w:tc>
      </w:tr>
      <w:tr>
        <w:trPr>
          <w:trHeight w:val="339"/>
        </w:trPr>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12.</w:t>
            </w: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w w:val="99"/>
              </w:rPr>
              <w:t>Information with Respect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to S-2</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or S-3</w:t>
            </w:r>
          </w:p>
        </w:tc>
        <w:tc>
          <w:tcPr>
            <w:tcW w:w="34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13.</w:t>
            </w: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w w:val="99"/>
              </w:rPr>
              <w:t>Incorporation of Certain</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Information by</w:t>
            </w:r>
          </w:p>
        </w:tc>
        <w:tc>
          <w:tcPr>
            <w:tcW w:w="34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14"/>
                <w:szCs w:val="14"/>
                <w:color w:val="auto"/>
              </w:rPr>
            </w:pP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rPr>
              <w:t>Reference</w:t>
            </w: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339"/>
        </w:trPr>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14.</w:t>
            </w: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w w:val="99"/>
              </w:rPr>
              <w:t>Information with Respect</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Registrants</w:t>
            </w:r>
          </w:p>
        </w:tc>
        <w:tc>
          <w:tcPr>
            <w:tcW w:w="34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14"/>
                <w:szCs w:val="14"/>
                <w:color w:val="auto"/>
              </w:rPr>
            </w:pPr>
          </w:p>
        </w:tc>
        <w:tc>
          <w:tcPr>
            <w:tcW w:w="45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Other Than S-2 or S-3 Registrants</w:t>
            </w:r>
          </w:p>
        </w:tc>
        <w:tc>
          <w:tcPr>
            <w:tcW w:w="3480" w:type="dxa"/>
            <w:vAlign w:val="bottom"/>
          </w:tcPr>
          <w:p>
            <w:pPr>
              <w:spacing w:after="0"/>
              <w:rPr>
                <w:sz w:val="14"/>
                <w:szCs w:val="14"/>
                <w:color w:val="auto"/>
              </w:rPr>
            </w:pPr>
          </w:p>
        </w:tc>
      </w:tr>
      <w:tr>
        <w:trPr>
          <w:trHeight w:val="339"/>
        </w:trPr>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15.</w:t>
            </w: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w w:val="99"/>
              </w:rPr>
              <w:t>Information with Respect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to S-3</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Companies</w:t>
            </w:r>
          </w:p>
        </w:tc>
        <w:tc>
          <w:tcPr>
            <w:tcW w:w="34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16.</w:t>
            </w: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w w:val="99"/>
              </w:rPr>
              <w:t>Information with Respect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to S-2</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or S-3</w:t>
            </w:r>
          </w:p>
        </w:tc>
        <w:tc>
          <w:tcPr>
            <w:tcW w:w="34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14"/>
                <w:szCs w:val="14"/>
                <w:color w:val="auto"/>
              </w:rPr>
            </w:pP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rPr>
              <w:t>Companies</w:t>
            </w: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339"/>
        </w:trPr>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17.</w:t>
            </w: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w w:val="99"/>
              </w:rPr>
              <w:t>Information with Respect</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Companies</w:t>
            </w:r>
          </w:p>
        </w:tc>
        <w:tc>
          <w:tcPr>
            <w:tcW w:w="34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14"/>
                <w:szCs w:val="14"/>
                <w:color w:val="auto"/>
              </w:rPr>
            </w:pPr>
          </w:p>
        </w:tc>
        <w:tc>
          <w:tcPr>
            <w:tcW w:w="318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Other Than S-2 or S-3 Companies</w:t>
            </w:r>
          </w:p>
        </w:tc>
        <w:tc>
          <w:tcPr>
            <w:tcW w:w="132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339"/>
        </w:trPr>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18.</w:t>
            </w:r>
          </w:p>
        </w:tc>
        <w:tc>
          <w:tcPr>
            <w:tcW w:w="45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Information if Proxies, Consents or</w:t>
            </w:r>
          </w:p>
        </w:tc>
        <w:tc>
          <w:tcPr>
            <w:tcW w:w="34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14"/>
                <w:szCs w:val="14"/>
                <w:color w:val="auto"/>
              </w:rPr>
            </w:pP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w w:val="99"/>
              </w:rPr>
              <w:t>Authorizations are to be</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Solicited</w:t>
            </w:r>
          </w:p>
        </w:tc>
        <w:tc>
          <w:tcPr>
            <w:tcW w:w="3480" w:type="dxa"/>
            <w:vAlign w:val="bottom"/>
          </w:tcPr>
          <w:p>
            <w:pPr>
              <w:spacing w:after="0"/>
              <w:rPr>
                <w:sz w:val="14"/>
                <w:szCs w:val="14"/>
                <w:color w:val="auto"/>
              </w:rPr>
            </w:pPr>
          </w:p>
        </w:tc>
      </w:tr>
      <w:tr>
        <w:trPr>
          <w:trHeight w:val="339"/>
        </w:trPr>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w:t>
            </w:r>
          </w:p>
        </w:tc>
        <w:tc>
          <w:tcPr>
            <w:tcW w:w="45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Information if Proxies, Consents or</w:t>
            </w:r>
          </w:p>
        </w:tc>
        <w:tc>
          <w:tcPr>
            <w:tcW w:w="34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14"/>
                <w:szCs w:val="14"/>
                <w:color w:val="auto"/>
              </w:rPr>
            </w:pPr>
          </w:p>
        </w:tc>
        <w:tc>
          <w:tcPr>
            <w:tcW w:w="45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Authorizations are not to be Solicited</w:t>
            </w:r>
          </w:p>
        </w:tc>
        <w:tc>
          <w:tcPr>
            <w:tcW w:w="348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560" w:type="dxa"/>
            <w:vAlign w:val="bottom"/>
          </w:tcPr>
          <w:p>
            <w:pPr>
              <w:ind w:left="400"/>
              <w:spacing w:after="0"/>
              <w:rPr>
                <w:sz w:val="20"/>
                <w:szCs w:val="20"/>
                <w:color w:val="auto"/>
              </w:rPr>
            </w:pPr>
            <w:r>
              <w:rPr>
                <w:rFonts w:ascii="Courier New" w:cs="Courier New" w:eastAsia="Courier New" w:hAnsi="Courier New"/>
                <w:sz w:val="15"/>
                <w:szCs w:val="15"/>
                <w:color w:val="auto"/>
              </w:rPr>
              <w:t>in an Exchange Offer</w:t>
            </w: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80" w:type="dxa"/>
            <w:vAlign w:val="bottom"/>
          </w:tcPr>
          <w:p>
            <w:pPr>
              <w:spacing w:after="0"/>
              <w:rPr>
                <w:sz w:val="14"/>
                <w:szCs w:val="14"/>
                <w:color w:val="auto"/>
              </w:rPr>
            </w:pP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50" w:right="3539" w:hanging="350"/>
        <w:spacing w:after="0" w:line="237"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Inapplicable (or partially inapplicable as indicted) upon filing of this Registration Statement - may be included in subsequent post-effective amendments under certain circumstances.</w:t>
      </w:r>
    </w:p>
    <w:p>
      <w:pPr>
        <w:spacing w:after="0" w:line="169" w:lineRule="exact"/>
        <w:rPr>
          <w:sz w:val="20"/>
          <w:szCs w:val="20"/>
          <w:color w:val="auto"/>
        </w:rPr>
      </w:pPr>
    </w:p>
    <w:p>
      <w:pPr>
        <w:ind w:left="10"/>
        <w:spacing w:after="0"/>
        <w:tabs>
          <w:tab w:leader="none" w:pos="329" w:val="left"/>
        </w:tabs>
        <w:rPr>
          <w:sz w:val="20"/>
          <w:szCs w:val="20"/>
          <w:color w:val="auto"/>
        </w:rPr>
      </w:pPr>
      <w:r>
        <w:rPr>
          <w:rFonts w:ascii="Courier New" w:cs="Courier New" w:eastAsia="Courier New" w:hAnsi="Courier New"/>
          <w:sz w:val="15"/>
          <w:szCs w:val="15"/>
          <w:color w:val="auto"/>
        </w:rPr>
        <w:t>**</w:t>
        <w:tab/>
        <w:t>Not applicable or answer is negative.</w:t>
      </w:r>
    </w:p>
    <w:p>
      <w:pPr>
        <w:sectPr>
          <w:pgSz w:w="11900" w:h="16838" w:orient="portrait"/>
          <w:cols w:equalWidth="0" w:num="1">
            <w:col w:w="10229"/>
          </w:cols>
          <w:pgMar w:left="230" w:top="283"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ind w:left="1760"/>
        <w:spacing w:after="0"/>
        <w:rPr>
          <w:sz w:val="20"/>
          <w:szCs w:val="20"/>
          <w:color w:val="auto"/>
        </w:rPr>
      </w:pPr>
      <w:r>
        <w:rPr>
          <w:rFonts w:ascii="Courier New" w:cs="Courier New" w:eastAsia="Courier New" w:hAnsi="Courier New"/>
          <w:sz w:val="15"/>
          <w:szCs w:val="15"/>
          <w:color w:val="auto"/>
        </w:rPr>
        <w:t>SUBJECT TO COMPLETION, NOVEMBER 19, 1996</w:t>
      </w:r>
    </w:p>
    <w:p>
      <w:pPr>
        <w:spacing w:after="0"/>
        <w:rPr>
          <w:sz w:val="20"/>
          <w:szCs w:val="20"/>
          <w:color w:val="auto"/>
        </w:rPr>
      </w:pPr>
      <w:r>
        <w:rPr>
          <w:rFonts w:ascii="Courier New" w:cs="Courier New" w:eastAsia="Courier New" w:hAnsi="Courier New"/>
          <w:sz w:val="15"/>
          <w:szCs w:val="15"/>
          <w:color w:val="auto"/>
        </w:rPr>
        <w:t>PROSPECTUS</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12,000,000 SHARES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COMMON STOCK</w:t>
      </w:r>
    </w:p>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This Prospectus covers 12,000,000 shares (the "Shares") of the Common Stock, $.01 par value ("Common Stock"), of USA Waste Services, Inc., a Delaware corporation (the "Company") that may be offered and issued by the Company from time to time in connection with the acquisition directly or indirectly by the Company of other businesses or properties or interests therein, and which may be reserved for issuance pursuant to, or offered and issued upon exercise or conversion of, warrants, options, convertible notes, or other similar instruments issued by the Company from time to time in connection with any such acquisitions.</w:t>
      </w:r>
    </w:p>
    <w:p>
      <w:pPr>
        <w:spacing w:after="0" w:line="200" w:lineRule="exact"/>
        <w:rPr>
          <w:sz w:val="20"/>
          <w:szCs w:val="20"/>
          <w:color w:val="auto"/>
        </w:rPr>
      </w:pPr>
    </w:p>
    <w:p>
      <w:pPr>
        <w:spacing w:after="0" w:line="318"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It is expected that the specific terms of any acquisition involving the issuance of securities covered by this Prospectus will be determined by direct negotiations with the owners or controlling persons of the businesses or properties or interests therein to be acquired by the Company, and that the shares of Common Stock issued will be valued at prices reasonably related to market prices current either at the time the terms of the acquisition are agreed upon or at or about the time of delivery of shares. No underwriting discounts or commissions will be paid, although finder's fees may be paid from time to time with respect to specific acquisitions. Any person receiving any such fees may be deemed to be an underwriter within the meaning of the Securities Act of 1933, as amended (the "Securities Act").</w:t>
      </w:r>
    </w:p>
    <w:p>
      <w:pPr>
        <w:spacing w:after="0" w:line="33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With the consent of the Company, this Prospectus may also be used by persons who have received or will receive shares of Common Stock covered by this Prospectus and who may wish to sell such shares under circumstances requiring or making desirable its use. See "Outstanding Securities Covered by this Prospectus" for information relating to resales pursuant to this Prospectus of shares of Common Stock issued under this Registration Statement.</w:t>
      </w:r>
    </w:p>
    <w:p>
      <w:pPr>
        <w:spacing w:after="0" w:line="33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At September 30, 1996, the Company had 138,343,184 shares of Common Stock outstanding. These shares are listed on the New York Stock Exchange, Inc. ("NYSE"). Application will be made to list the Shares offered hereby on the NYSE to the extent that they have not been previously listed. On November __, 1996, the closing price of the Common Stock on the NYSE was $__.___ per share as published in The Wall Street Journal.</w:t>
      </w:r>
    </w:p>
    <w:p>
      <w:pPr>
        <w:spacing w:after="0" w:line="34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All expenses of this offering will be paid by the Company. The Company is a Delaware corporation and all references herein to the "Company" or "USA Waste" refer to the Company and its subsidiaries, affiliates and predecessors, unless the context requires otherwise. The executive offices of the Company are located at 5400 LBJ Freeway, Suite 300 - Tower One, Dallas, Texas 75240. The telephone number is 972-383-7900.</w:t>
      </w:r>
    </w:p>
    <w:p>
      <w:pPr>
        <w:spacing w:after="0" w:line="176"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SEE "RISK FACTORS" ON PAGE 5 FOR A DISCUSSION OF CERTAIN FACTORS THAT SHOULD BE CONSIDERED BY PROSPECTIVE PURCHASERS OF THE COMMON STOCK.</w:t>
      </w:r>
    </w:p>
    <w:p>
      <w:pPr>
        <w:spacing w:after="0" w:line="170"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THESE SECURITIES HAVE NOT BEEN APPROVED OR DISAPPROVED BY</w:t>
      </w:r>
    </w:p>
    <w:p>
      <w:pPr>
        <w:ind w:left="1220"/>
        <w:spacing w:after="0"/>
        <w:rPr>
          <w:sz w:val="20"/>
          <w:szCs w:val="20"/>
          <w:color w:val="auto"/>
        </w:rPr>
      </w:pPr>
      <w:r>
        <w:rPr>
          <w:rFonts w:ascii="Courier New" w:cs="Courier New" w:eastAsia="Courier New" w:hAnsi="Courier New"/>
          <w:sz w:val="15"/>
          <w:szCs w:val="15"/>
          <w:color w:val="auto"/>
        </w:rPr>
        <w:t>THE SECURITIES AND EXCHANGE COMMISSION OR ANY STATE</w:t>
      </w:r>
    </w:p>
    <w:p>
      <w:pPr>
        <w:ind w:left="1400"/>
        <w:spacing w:after="0"/>
        <w:rPr>
          <w:sz w:val="20"/>
          <w:szCs w:val="20"/>
          <w:color w:val="auto"/>
        </w:rPr>
      </w:pPr>
      <w:r>
        <w:rPr>
          <w:rFonts w:ascii="Courier New" w:cs="Courier New" w:eastAsia="Courier New" w:hAnsi="Courier New"/>
          <w:sz w:val="15"/>
          <w:szCs w:val="15"/>
          <w:color w:val="auto"/>
        </w:rPr>
        <w:t>SECURITIES COMMISSION NOR HAS THE COMMISSION OR</w:t>
      </w:r>
    </w:p>
    <w:p>
      <w:pPr>
        <w:ind w:left="1400"/>
        <w:spacing w:after="0" w:line="238" w:lineRule="auto"/>
        <w:rPr>
          <w:sz w:val="20"/>
          <w:szCs w:val="20"/>
          <w:color w:val="auto"/>
        </w:rPr>
      </w:pPr>
      <w:r>
        <w:rPr>
          <w:rFonts w:ascii="Courier New" w:cs="Courier New" w:eastAsia="Courier New" w:hAnsi="Courier New"/>
          <w:sz w:val="15"/>
          <w:szCs w:val="15"/>
          <w:color w:val="auto"/>
        </w:rPr>
        <w:t>ANY STATE SECURITIES COMMISSION PASSED UPON THE</w:t>
      </w:r>
    </w:p>
    <w:p>
      <w:pPr>
        <w:ind w:left="1580"/>
        <w:spacing w:after="0"/>
        <w:rPr>
          <w:sz w:val="20"/>
          <w:szCs w:val="20"/>
          <w:color w:val="auto"/>
        </w:rPr>
      </w:pPr>
      <w:r>
        <w:rPr>
          <w:rFonts w:ascii="Courier New" w:cs="Courier New" w:eastAsia="Courier New" w:hAnsi="Courier New"/>
          <w:sz w:val="15"/>
          <w:szCs w:val="15"/>
          <w:color w:val="auto"/>
        </w:rPr>
        <w:t>ACCURACY OR ADEQUACY OF THIS PROSPECTUS. ANY</w:t>
      </w:r>
    </w:p>
    <w:p>
      <w:pPr>
        <w:ind w:left="1920"/>
        <w:spacing w:after="0"/>
        <w:rPr>
          <w:sz w:val="20"/>
          <w:szCs w:val="20"/>
          <w:color w:val="auto"/>
        </w:rPr>
      </w:pPr>
      <w:r>
        <w:rPr>
          <w:rFonts w:ascii="Courier New" w:cs="Courier New" w:eastAsia="Courier New" w:hAnsi="Courier New"/>
          <w:sz w:val="15"/>
          <w:szCs w:val="15"/>
          <w:color w:val="auto"/>
        </w:rPr>
        <w:t>REPRESENTATION TO THE CONTRARY IS A</w:t>
      </w:r>
    </w:p>
    <w:p>
      <w:pPr>
        <w:ind w:left="2720"/>
        <w:spacing w:after="0" w:line="238" w:lineRule="auto"/>
        <w:rPr>
          <w:sz w:val="20"/>
          <w:szCs w:val="20"/>
          <w:color w:val="auto"/>
        </w:rPr>
      </w:pPr>
      <w:r>
        <w:rPr>
          <w:rFonts w:ascii="Courier New" w:cs="Courier New" w:eastAsia="Courier New" w:hAnsi="Courier New"/>
          <w:sz w:val="15"/>
          <w:szCs w:val="15"/>
          <w:color w:val="auto"/>
        </w:rPr>
        <w:t>CRIMINAL OFFENSE.</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date of this Prospectus is November __, 1996</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No dealer, salesman, or any other person has been authorized to give any information or to make any representations other than those contained in this Prospectus in connection with the offering contained herein, and, if given or made, such information or representations must not be relied upon as having been authorized by the Company or the Selling Shareholder. This Prospectus does not constitute an offer to sell or a solicitation of an offer to buy any of the securities offered hereby to any person to whom it is unlawful to make such offer or solicitation. Neither the delivery of this Prospectus nor any sale hereunder shall, under any circumstances, create any implication that there has been no change in the affairs of the Company since the date hereof.</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ind w:left="2720"/>
              <w:spacing w:after="0"/>
              <w:rPr>
                <w:sz w:val="20"/>
                <w:szCs w:val="20"/>
                <w:color w:val="auto"/>
              </w:rPr>
            </w:pPr>
            <w:r>
              <w:rPr>
                <w:rFonts w:ascii="Courier New" w:cs="Courier New" w:eastAsia="Courier New" w:hAnsi="Courier New"/>
                <w:sz w:val="15"/>
                <w:szCs w:val="15"/>
                <w:color w:val="auto"/>
              </w:rPr>
              <w:t>TABLE OF CONTENTS</w:t>
            </w:r>
          </w:p>
        </w:tc>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848"/>
        </w:trPr>
        <w:tc>
          <w:tcPr>
            <w:tcW w:w="4300" w:type="dxa"/>
            <w:vAlign w:val="bottom"/>
          </w:tcPr>
          <w:p>
            <w:pPr>
              <w:spacing w:after="0"/>
              <w:rPr>
                <w:sz w:val="20"/>
                <w:szCs w:val="20"/>
                <w:color w:val="auto"/>
              </w:rPr>
            </w:pPr>
            <w:r>
              <w:rPr>
                <w:rFonts w:ascii="Courier New" w:cs="Courier New" w:eastAsia="Courier New" w:hAnsi="Courier New"/>
                <w:sz w:val="15"/>
                <w:szCs w:val="15"/>
                <w:color w:val="auto"/>
              </w:rPr>
              <w:t>Available Information   . . . . . . . . . . . .</w:t>
            </w:r>
          </w:p>
        </w:tc>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4240" w:type="dxa"/>
            <w:vAlign w:val="bottom"/>
          </w:tcPr>
          <w:p>
            <w:pPr>
              <w:ind w:left="400"/>
              <w:spacing w:after="0"/>
              <w:rPr>
                <w:sz w:val="20"/>
                <w:szCs w:val="20"/>
                <w:color w:val="auto"/>
              </w:rPr>
            </w:pPr>
            <w:r>
              <w:rPr>
                <w:rFonts w:ascii="Courier New" w:cs="Courier New" w:eastAsia="Courier New" w:hAnsi="Courier New"/>
                <w:sz w:val="15"/>
                <w:szCs w:val="15"/>
                <w:color w:val="auto"/>
                <w:w w:val="98"/>
              </w:rPr>
              <w:t>Risk Factors  . . . . . . . . . . . . . . .</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 .  5</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Incorporation of Certain Information</w:t>
            </w:r>
          </w:p>
        </w:tc>
        <w:tc>
          <w:tcPr>
            <w:tcW w:w="580" w:type="dxa"/>
            <w:vAlign w:val="bottom"/>
          </w:tcPr>
          <w:p>
            <w:pPr>
              <w:spacing w:after="0"/>
              <w:rPr>
                <w:sz w:val="14"/>
                <w:szCs w:val="14"/>
                <w:color w:val="auto"/>
              </w:rPr>
            </w:pPr>
          </w:p>
        </w:tc>
        <w:tc>
          <w:tcPr>
            <w:tcW w:w="4240" w:type="dxa"/>
            <w:vAlign w:val="bottom"/>
          </w:tcPr>
          <w:p>
            <w:pPr>
              <w:ind w:left="400"/>
              <w:spacing w:after="0"/>
              <w:rPr>
                <w:sz w:val="20"/>
                <w:szCs w:val="20"/>
                <w:color w:val="auto"/>
              </w:rPr>
            </w:pPr>
            <w:r>
              <w:rPr>
                <w:rFonts w:ascii="Courier New" w:cs="Courier New" w:eastAsia="Courier New" w:hAnsi="Courier New"/>
                <w:sz w:val="15"/>
                <w:szCs w:val="15"/>
                <w:color w:val="auto"/>
                <w:w w:val="98"/>
              </w:rPr>
              <w:t>Use of Proceeds . . . . . . . . . . . . . .</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 .  7</w:t>
            </w:r>
          </w:p>
        </w:tc>
      </w:tr>
      <w:tr>
        <w:trPr>
          <w:trHeight w:val="170"/>
        </w:trPr>
        <w:tc>
          <w:tcPr>
            <w:tcW w:w="4300" w:type="dxa"/>
            <w:vAlign w:val="bottom"/>
          </w:tcPr>
          <w:p>
            <w:pPr>
              <w:ind w:left="80"/>
              <w:spacing w:after="0"/>
              <w:rPr>
                <w:sz w:val="20"/>
                <w:szCs w:val="20"/>
                <w:color w:val="auto"/>
              </w:rPr>
            </w:pPr>
            <w:r>
              <w:rPr>
                <w:rFonts w:ascii="Courier New" w:cs="Courier New" w:eastAsia="Courier New" w:hAnsi="Courier New"/>
                <w:sz w:val="15"/>
                <w:szCs w:val="15"/>
                <w:color w:val="auto"/>
              </w:rPr>
              <w:t>by Reference   . . . . . . . . . . . . . . . .</w:t>
            </w:r>
          </w:p>
        </w:tc>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4240" w:type="dxa"/>
            <w:vAlign w:val="bottom"/>
          </w:tcPr>
          <w:p>
            <w:pPr>
              <w:ind w:left="400"/>
              <w:spacing w:after="0"/>
              <w:rPr>
                <w:sz w:val="20"/>
                <w:szCs w:val="20"/>
                <w:color w:val="auto"/>
              </w:rPr>
            </w:pPr>
            <w:r>
              <w:rPr>
                <w:rFonts w:ascii="Courier New" w:cs="Courier New" w:eastAsia="Courier New" w:hAnsi="Courier New"/>
                <w:sz w:val="15"/>
                <w:szCs w:val="15"/>
                <w:color w:val="auto"/>
                <w:w w:val="98"/>
              </w:rPr>
              <w:t>Description of Capital Stock  . . . . . . .</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 .  8</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Outstanding Securities Covered by this</w:t>
            </w:r>
          </w:p>
        </w:tc>
        <w:tc>
          <w:tcPr>
            <w:tcW w:w="580" w:type="dxa"/>
            <w:vAlign w:val="bottom"/>
          </w:tcPr>
          <w:p>
            <w:pPr>
              <w:spacing w:after="0"/>
              <w:rPr>
                <w:sz w:val="14"/>
                <w:szCs w:val="14"/>
                <w:color w:val="auto"/>
              </w:rPr>
            </w:pPr>
          </w:p>
        </w:tc>
        <w:tc>
          <w:tcPr>
            <w:tcW w:w="4240" w:type="dxa"/>
            <w:vAlign w:val="bottom"/>
          </w:tcPr>
          <w:p>
            <w:pPr>
              <w:ind w:left="400"/>
              <w:spacing w:after="0"/>
              <w:rPr>
                <w:sz w:val="20"/>
                <w:szCs w:val="20"/>
                <w:color w:val="auto"/>
              </w:rPr>
            </w:pPr>
            <w:r>
              <w:rPr>
                <w:rFonts w:ascii="Courier New" w:cs="Courier New" w:eastAsia="Courier New" w:hAnsi="Courier New"/>
                <w:sz w:val="15"/>
                <w:szCs w:val="15"/>
                <w:color w:val="auto"/>
                <w:w w:val="98"/>
              </w:rPr>
              <w:t>Price Range of Common Stock and Dividends .</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 . 10</w:t>
            </w:r>
          </w:p>
        </w:tc>
      </w:tr>
      <w:tr>
        <w:trPr>
          <w:trHeight w:val="170"/>
        </w:trPr>
        <w:tc>
          <w:tcPr>
            <w:tcW w:w="4300" w:type="dxa"/>
            <w:vAlign w:val="bottom"/>
          </w:tcPr>
          <w:p>
            <w:pPr>
              <w:ind w:left="80"/>
              <w:spacing w:after="0"/>
              <w:rPr>
                <w:sz w:val="20"/>
                <w:szCs w:val="20"/>
                <w:color w:val="auto"/>
              </w:rPr>
            </w:pPr>
            <w:r>
              <w:rPr>
                <w:rFonts w:ascii="Courier New" w:cs="Courier New" w:eastAsia="Courier New" w:hAnsi="Courier New"/>
                <w:sz w:val="15"/>
                <w:szCs w:val="15"/>
                <w:color w:val="auto"/>
              </w:rPr>
              <w:t>Prospectus   . . . . . . . . . . . . . . . . .</w:t>
            </w:r>
          </w:p>
        </w:tc>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4240" w:type="dxa"/>
            <w:vAlign w:val="bottom"/>
          </w:tcPr>
          <w:p>
            <w:pPr>
              <w:ind w:left="400"/>
              <w:spacing w:after="0"/>
              <w:rPr>
                <w:sz w:val="20"/>
                <w:szCs w:val="20"/>
                <w:color w:val="auto"/>
              </w:rPr>
            </w:pPr>
            <w:r>
              <w:rPr>
                <w:rFonts w:ascii="Courier New" w:cs="Courier New" w:eastAsia="Courier New" w:hAnsi="Courier New"/>
                <w:sz w:val="15"/>
                <w:szCs w:val="15"/>
                <w:color w:val="auto"/>
              </w:rPr>
              <w:t>Manner of Offering by Selling Shareholders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 . 10</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The Company . . . . . . . . . . . . . . . . . .</w:t>
            </w:r>
          </w:p>
        </w:tc>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w:t>
            </w:r>
          </w:p>
        </w:tc>
        <w:tc>
          <w:tcPr>
            <w:tcW w:w="4240" w:type="dxa"/>
            <w:vAlign w:val="bottom"/>
          </w:tcPr>
          <w:p>
            <w:pPr>
              <w:ind w:left="400"/>
              <w:spacing w:after="0"/>
              <w:rPr>
                <w:sz w:val="20"/>
                <w:szCs w:val="20"/>
                <w:color w:val="auto"/>
              </w:rPr>
            </w:pPr>
            <w:r>
              <w:rPr>
                <w:rFonts w:ascii="Courier New" w:cs="Courier New" w:eastAsia="Courier New" w:hAnsi="Courier New"/>
                <w:sz w:val="15"/>
                <w:szCs w:val="15"/>
                <w:color w:val="auto"/>
                <w:w w:val="98"/>
              </w:rPr>
              <w:t>Legal Matters   . . . . . . . . . . . . . .</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 . 12</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Recent Developments . . . . . . . . . . . . . .</w:t>
            </w:r>
          </w:p>
        </w:tc>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w:t>
            </w:r>
          </w:p>
        </w:tc>
        <w:tc>
          <w:tcPr>
            <w:tcW w:w="4240" w:type="dxa"/>
            <w:vAlign w:val="bottom"/>
          </w:tcPr>
          <w:p>
            <w:pPr>
              <w:ind w:left="400"/>
              <w:spacing w:after="0"/>
              <w:rPr>
                <w:sz w:val="20"/>
                <w:szCs w:val="20"/>
                <w:color w:val="auto"/>
              </w:rPr>
            </w:pPr>
            <w:r>
              <w:rPr>
                <w:rFonts w:ascii="Courier New" w:cs="Courier New" w:eastAsia="Courier New" w:hAnsi="Courier New"/>
                <w:sz w:val="15"/>
                <w:szCs w:val="15"/>
                <w:color w:val="auto"/>
                <w:w w:val="98"/>
              </w:rPr>
              <w:t>Experts   . . . . . . . . . . . . . . . . .</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AVAILABLE INFORMATION</w:t>
      </w:r>
    </w:p>
    <w:p>
      <w:pPr>
        <w:spacing w:after="0" w:line="344" w:lineRule="exact"/>
        <w:rPr>
          <w:sz w:val="20"/>
          <w:szCs w:val="20"/>
          <w:color w:val="auto"/>
        </w:rPr>
      </w:pPr>
    </w:p>
    <w:p>
      <w:pPr>
        <w:ind w:right="3259" w:firstLine="441"/>
        <w:spacing w:after="0" w:line="239"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and information statements, and other information filed by the Company may be inspected and copied at the public reference facilities maintained by the Commission at Room 1024, Judiciary Plaza Building, 450 Fifth Street, N.W., Washington, D.C. 20549 and at the regional offices of the Commission located at 7 World Trade Center, Suite 1300, New York, New York 10048 and 500 West Madison, Suite 1400, Chicago, Illinois 60661-2511. Copies of such material may be obtained from the Public Reference Section of the Commission at 450 Fifth Street, N.W., Room 1024, Washington, D.C. 20549, at prescribed rates. The Commission maintains an Internet web site that contains reports, proxy and information statements, and other information regarding registrants that file electronically with the Commission (http://www.sec.gov). In addition, the Company's securities are listed on the New York Stock Exchange (the "NYSE") and reports, proxy and information statements, and other information concerning the Company described above may be inspected at the offices of the NYSE at 20 Broad Street, New York, New York 10005.</w:t>
      </w:r>
    </w:p>
    <w:p>
      <w:pPr>
        <w:spacing w:after="0" w:line="34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This Prospectus constitutes part of a Registration Statement on Form S-4 (together with all amendments and exhibits thereto, the "Registration Statement") filed by the Company with the Commission under the Securities Act. This Prospectus omits certain of the information contained in the Registration Statement, and reference is hereby made to the Registration Statement for further information with respect to the Company and the Common Stock offered hereby. Any statements contained herein concerning the provisions of any document filed as an exhibit to the Registration Statement or otherwise filed with the Commission are not necessarily complete, and in each instance reference is made to the copy of such document as filed. Each such statement is qualified in its entirety by such reference. The Registration Statement, including exhibits and schedules thereto, may be inspected without charge at the offices of the Commission, and copies of such materials may be obtained therefrom at prescribed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4" w:name="page5"/>
    <w:bookmarkEnd w:id="4"/>
    <w:p>
      <w:pPr>
        <w:ind w:left="270"/>
        <w:spacing w:after="0"/>
        <w:rPr>
          <w:sz w:val="20"/>
          <w:szCs w:val="20"/>
          <w:color w:val="auto"/>
        </w:rPr>
      </w:pPr>
      <w:r>
        <w:rPr>
          <w:rFonts w:ascii="Courier New" w:cs="Courier New" w:eastAsia="Courier New" w:hAnsi="Courier New"/>
          <w:sz w:val="15"/>
          <w:szCs w:val="15"/>
          <w:color w:val="auto"/>
        </w:rPr>
        <w:t>5</w:t>
      </w:r>
    </w:p>
    <w:p>
      <w:pPr>
        <w:ind w:left="1330"/>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174"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THIS PROSPECTUS INCORPORATES DOCUMENTS BY REFERENCE THAT ARE NOT PRESENTED HEREIN OR DELIVERED HEREWITH. THESE DOCUMENTS WILL BE AVAILABLE UPON REQUEST FROM CORPORATE SECRETARY, USA WASTE SERVICES, INC., 5400 LBJ FREEWAY, SUITE 300</w:t>
      </w:r>
    </w:p>
    <w:p>
      <w:pPr>
        <w:spacing w:after="0" w:line="1" w:lineRule="exact"/>
        <w:rPr>
          <w:sz w:val="20"/>
          <w:szCs w:val="20"/>
          <w:color w:val="auto"/>
        </w:rPr>
      </w:pPr>
    </w:p>
    <w:p>
      <w:pPr>
        <w:ind w:left="10" w:right="3359" w:hanging="10"/>
        <w:spacing w:after="0" w:line="237" w:lineRule="auto"/>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TOWER ONE, DALLAS, TEXAS 75240, TELEPHONE NUMBER 972-383-7900. IN ORDER TO ENSURE TIMELY DELIVER OF THE DOCUMENTS, ANY REQUEST SHOULD BE MADE BY A DATE THAT IS AT LEAST FIVE DAYS PRIOR TO THE DATE ON WHICH THE FINAL INVESTMENT DECISION MUST BE MADE.</w:t>
      </w:r>
    </w:p>
    <w:p>
      <w:pPr>
        <w:spacing w:after="0" w:line="346" w:lineRule="exact"/>
        <w:rPr>
          <w:sz w:val="20"/>
          <w:szCs w:val="20"/>
          <w:color w:val="auto"/>
        </w:rPr>
      </w:pPr>
    </w:p>
    <w:p>
      <w:pPr>
        <w:ind w:left="10" w:right="3259" w:firstLine="441"/>
        <w:spacing w:after="0" w:line="239" w:lineRule="auto"/>
        <w:rPr>
          <w:sz w:val="20"/>
          <w:szCs w:val="20"/>
          <w:color w:val="auto"/>
        </w:rPr>
      </w:pPr>
      <w:r>
        <w:rPr>
          <w:rFonts w:ascii="Courier New" w:cs="Courier New" w:eastAsia="Courier New" w:hAnsi="Courier New"/>
          <w:sz w:val="15"/>
          <w:szCs w:val="15"/>
          <w:color w:val="auto"/>
        </w:rPr>
        <w:t>The following documents filed by the Company with the Commission under the Exchange Act (File No. 1-12154) are incorporated by reference in this Prospectus: (1) its Annual Report on Form 10-K for the fiscal year ended December 31, 1995, (2) its Current Report on Form 8-K dated January 9, 1996, its Current Report on Form 8-K dated May 7, 1996, as amended by its Form 8-K/A (Amendment No. 1) filed May 29, 1996, its Form 8-K/A (Amendment No. 2) filed June 28, 1996, and its Form 8-K/A (Amendment No. 3) filed July 1, 1996, its Current Report on Form 8-K dated June 22, 1996, its Current Report on Form 8-K dated September 3, 1996, its Current Report on Form 8-K dated September 12, 1996, as amended by its Form 8-K/A (Amendment No. 1) filed November 15, 1996, and its Current Report on Form 8-K dated November 12, 1996, (3) its Quarterly Reports on Form 10-Q for the quarters ended March 31, 1996, June 30, 1996, and September 30, 1996, (4) its Joint Proxy Statement and Prospectus for the its Annual Meeting of Shareholders dated April 2, 1996, (5) its Joint Proxy Statement and Prospectus for the Special Meeting of Shareholders dated July 19, 1996, and (6) the description of Common Stock of the Company contained in the Company's Registration Statement on Form 8-A dated July 1, 1993, as amended by Form 8-B dated July 13, 1995.</w:t>
      </w:r>
    </w:p>
    <w:p>
      <w:pPr>
        <w:spacing w:after="0" w:line="344" w:lineRule="exact"/>
        <w:rPr>
          <w:sz w:val="20"/>
          <w:szCs w:val="20"/>
          <w:color w:val="auto"/>
        </w:rPr>
      </w:pPr>
    </w:p>
    <w:p>
      <w:pPr>
        <w:ind w:left="10" w:right="3359" w:firstLine="441"/>
        <w:spacing w:after="0" w:line="257" w:lineRule="auto"/>
        <w:rPr>
          <w:sz w:val="20"/>
          <w:szCs w:val="20"/>
          <w:color w:val="auto"/>
        </w:rPr>
      </w:pPr>
      <w:r>
        <w:rPr>
          <w:rFonts w:ascii="Courier New" w:cs="Courier New" w:eastAsia="Courier New" w:hAnsi="Courier New"/>
          <w:sz w:val="14"/>
          <w:szCs w:val="14"/>
          <w:color w:val="auto"/>
        </w:rPr>
        <w:t>All documents filed by the Company pursuant to Sections 13(a), 13(c), 14, or 15(d) of the Exchange Act subsequent to the date of filing of the Company's Annual Report on Form 10-K referred to above and prior to the termination of the offering described herein shall be deemed to be incorporated by reference and to be a part of this Prospectus from the date of filing of such documents. All information appearing in this prospectus is qualified in its entirety by the information and financial statements (including the notes thereto) appearing in the documents incorporated by reference.</w:t>
      </w:r>
    </w:p>
    <w:p>
      <w:pPr>
        <w:spacing w:after="0" w:line="167" w:lineRule="exact"/>
        <w:rPr>
          <w:sz w:val="20"/>
          <w:szCs w:val="20"/>
          <w:color w:val="auto"/>
        </w:rPr>
      </w:pPr>
    </w:p>
    <w:p>
      <w:pPr>
        <w:ind w:left="10" w:right="3619" w:firstLine="441"/>
        <w:spacing w:after="0" w:line="238" w:lineRule="auto"/>
        <w:rPr>
          <w:sz w:val="20"/>
          <w:szCs w:val="20"/>
          <w:color w:val="auto"/>
        </w:rPr>
      </w:pPr>
      <w:r>
        <w:rPr>
          <w:rFonts w:ascii="Courier New" w:cs="Courier New" w:eastAsia="Courier New" w:hAnsi="Courier New"/>
          <w:sz w:val="15"/>
          <w:szCs w:val="15"/>
          <w:color w:val="auto"/>
        </w:rPr>
        <w:t>Any statement contained in a document incorporated by reference herein shall be deemed to be modified or superseded for all purposes to the extent that a statement contained in this Prospectus, or in any other subsequently filed document that is also incorporated by reference, modifies or replaces such statement. Any such statement so modified or superseded shall not be deemed, except as so modified or superseded, to constitute a part of this Prospectus.</w:t>
      </w:r>
    </w:p>
    <w:p>
      <w:pPr>
        <w:spacing w:after="0" w:line="177"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The Company will provide without charge to each person to whom this Prospectus is delivered, on written or oral request of such person, a copy (without exhibits) of any and all information incorporated by reference in this Prospectus. Requests for such copies should be directed to Corporate Secretary, USA Waste Services, Inc., (i) if by telephone to (972) 383-7900 and</w:t>
      </w:r>
    </w:p>
    <w:p>
      <w:pPr>
        <w:spacing w:after="0" w:line="2" w:lineRule="exact"/>
        <w:rPr>
          <w:sz w:val="20"/>
          <w:szCs w:val="20"/>
          <w:color w:val="auto"/>
        </w:rPr>
      </w:pPr>
    </w:p>
    <w:p>
      <w:pPr>
        <w:ind w:left="10" w:right="3799" w:hanging="10"/>
        <w:spacing w:after="0" w:line="235"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by mail to 5400 LBJ Freeway, Suite 300 - Tower One, Dallas, Texas 75240.</w:t>
      </w:r>
    </w:p>
    <w:p>
      <w:pPr>
        <w:spacing w:after="0" w:line="340"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OUTSTANDING SECURITIES COVERED BY THIS PROSPECTUS</w:t>
      </w:r>
    </w:p>
    <w:p>
      <w:pPr>
        <w:spacing w:after="0" w:line="175"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This Prospectus, as appropriately amended or supplemented, may, with the prior consent of the Company, be used from time to time by persons who have received Shares covered by the Registration Statement in acquisitions of businesses or properties or interests therein by the Company, or their transferees, and who wish to offer and sell such Shares (such persons are herein referred to as the "Selling Shareholders" or a "Selling Shareholder") in transactions in which they and any broker dealer through whom such Shares are sold may be deemed to be underwriters within the meaning of the Securities Act, as more fully described herein. The Company may consent to the use of this Prospectus for a limited period of time by the Selling Shareholders, subject to limitations and conditions that may be varied by agreement between the Company and the Selling Shareholders. Resales of such shares may be made on the NYSE, in the over-the-counter market, in private transactions, or pursuant to underwriting agreements. See "Manner of Offering by Selling Shareholders."</w:t>
      </w:r>
    </w:p>
    <w:p>
      <w:pPr>
        <w:spacing w:after="0" w:line="16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Company will receive none of the proceeds from any such sales. Any commissions paid or concessions allowed to any broker-dealer, and, if any broker-dealer purchases such Shares as principal, any profits received on the resale of such Shares, may be deemed to be underwriting discounts and commissions under the Securities Act. Printing, certain legal, filing and other similar expenses of this offering will be paid by the Company. Selling Shareholders will bear all other expenses of this offering, including brokerage fees, any underwriting discounts or commissions.</w:t>
      </w:r>
    </w:p>
    <w:p>
      <w:pPr>
        <w:sectPr>
          <w:pgSz w:w="11900" w:h="16838" w:orient="portrait"/>
          <w:cols w:equalWidth="0" w:num="1">
            <w:col w:w="10229"/>
          </w:cols>
          <w:pgMar w:left="230" w:top="283" w:right="1440" w:bottom="9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904"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879" w:firstLine="529"/>
        <w:spacing w:after="0" w:line="260" w:lineRule="auto"/>
        <w:rPr>
          <w:sz w:val="20"/>
          <w:szCs w:val="20"/>
          <w:color w:val="auto"/>
        </w:rPr>
      </w:pPr>
      <w:r>
        <w:rPr>
          <w:rFonts w:ascii="Courier New" w:cs="Courier New" w:eastAsia="Courier New" w:hAnsi="Courier New"/>
          <w:sz w:val="14"/>
          <w:szCs w:val="14"/>
          <w:color w:val="auto"/>
        </w:rPr>
        <w:t>There presently are no arrangements or understandings, formal or informal, pertaining to the distribution of any of the Shares by Selling Shareholders. See "Manner of Offering by Selling Shareholders."</w:t>
      </w:r>
    </w:p>
    <w:p>
      <w:pPr>
        <w:spacing w:after="0" w:line="32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COMPANY</w:t>
      </w:r>
    </w:p>
    <w:p>
      <w:pPr>
        <w:spacing w:after="0" w:line="34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USA Waste is the third largest integrated solid waste management company in North America and serves municipal, commercial, industrial and residential customers in 30 states, Canada, Mexico, and Puerto Rico. The Company's solid waste management services include collection, transfer and disposal operations and, to a lesser extent, recycling and certain other waste management services. USA Waste owns or operates 99 landfills, 60 transfer stations and 125 collection operations and serves more than 2 million customers.</w:t>
      </w:r>
    </w:p>
    <w:p>
      <w:pPr>
        <w:spacing w:after="0" w:line="33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intends to continue to capitalize on the consolidation in the solid waste management industry. Key elements of the Company's strategy include (i) increasing productivity and operating efficiencies in existing and acquired operations, (ii) increasing revenues and enhancing profitability through tuck-in acquisitions and (iii) expanding into new markets through acquisitions. The Company seeks to become the low 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186" w:lineRule="exact"/>
        <w:rPr>
          <w:sz w:val="20"/>
          <w:szCs w:val="20"/>
          <w:color w:val="auto"/>
        </w:rPr>
      </w:pPr>
    </w:p>
    <w:p>
      <w:pPr>
        <w:ind w:right="3619" w:firstLine="441"/>
        <w:spacing w:after="0" w:line="256" w:lineRule="auto"/>
        <w:rPr>
          <w:sz w:val="20"/>
          <w:szCs w:val="20"/>
          <w:color w:val="auto"/>
        </w:rPr>
      </w:pPr>
      <w:r>
        <w:rPr>
          <w:rFonts w:ascii="Courier New" w:cs="Courier New" w:eastAsia="Courier New" w:hAnsi="Courier New"/>
          <w:sz w:val="14"/>
          <w:szCs w:val="14"/>
          <w:color w:val="auto"/>
        </w:rPr>
        <w:t>Additional information concerning the Company's business, assets, management, results of operations, and other matters is included in the Company's reports filed under the Exchange Act that are incorporated by reference in this Prospectus, including the Company's Annual Report on Form</w:t>
      </w:r>
    </w:p>
    <w:p>
      <w:pPr>
        <w:spacing w:after="0" w:line="1"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10-K for the year ended December 31, 1995, and the Joint Proxy Statement and Prospectus dated July 19, 1996. See "Incorporation of Certain Information by Reference."</w:t>
      </w:r>
    </w:p>
    <w:p>
      <w:pPr>
        <w:spacing w:after="0" w:line="175" w:lineRule="exact"/>
        <w:rPr>
          <w:sz w:val="20"/>
          <w:szCs w:val="20"/>
          <w:color w:val="auto"/>
        </w:rPr>
      </w:pPr>
    </w:p>
    <w:p>
      <w:pPr>
        <w:ind w:right="3359" w:firstLine="441"/>
        <w:spacing w:after="0" w:line="256" w:lineRule="auto"/>
        <w:rPr>
          <w:sz w:val="20"/>
          <w:szCs w:val="20"/>
          <w:color w:val="auto"/>
        </w:rPr>
      </w:pPr>
      <w:r>
        <w:rPr>
          <w:rFonts w:ascii="Courier New" w:cs="Courier New" w:eastAsia="Courier New" w:hAnsi="Courier New"/>
          <w:sz w:val="14"/>
          <w:szCs w:val="14"/>
          <w:color w:val="auto"/>
        </w:rPr>
        <w:t>The term "Company" and "USA Waste" refer to USA Waste Services Inc., a Delaware corporation, and its subsidiaries and predecessors unless the context requires otherwise. The Company's executive offices are located at 5400 LBJ Freeway, Suite 300, Dallas, Texas 75240, and its telephone number is (972)</w:t>
      </w:r>
    </w:p>
    <w:p>
      <w:pPr>
        <w:spacing w:after="0" w:line="234" w:lineRule="auto"/>
        <w:rPr>
          <w:sz w:val="20"/>
          <w:szCs w:val="20"/>
          <w:color w:val="auto"/>
        </w:rPr>
      </w:pPr>
      <w:r>
        <w:rPr>
          <w:rFonts w:ascii="Courier New" w:cs="Courier New" w:eastAsia="Courier New" w:hAnsi="Courier New"/>
          <w:sz w:val="15"/>
          <w:szCs w:val="15"/>
          <w:color w:val="auto"/>
        </w:rPr>
        <w:t>383-7900.</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RECENT DEVELOPMENTS</w:t>
      </w:r>
    </w:p>
    <w:p>
      <w:pPr>
        <w:spacing w:after="0" w:line="344" w:lineRule="exact"/>
        <w:rPr>
          <w:sz w:val="20"/>
          <w:szCs w:val="20"/>
          <w:color w:val="auto"/>
        </w:rPr>
      </w:pPr>
    </w:p>
    <w:p>
      <w:pPr>
        <w:ind w:right="3259" w:firstLine="441"/>
        <w:spacing w:after="0" w:line="239" w:lineRule="auto"/>
        <w:rPr>
          <w:sz w:val="20"/>
          <w:szCs w:val="20"/>
          <w:color w:val="auto"/>
        </w:rPr>
      </w:pPr>
      <w:r>
        <w:rPr>
          <w:rFonts w:ascii="Courier New" w:cs="Courier New" w:eastAsia="Courier New" w:hAnsi="Courier New"/>
          <w:sz w:val="15"/>
          <w:szCs w:val="15"/>
          <w:color w:val="auto"/>
        </w:rPr>
        <w:t>On June 22, 1996, the Company entered into an Agreement and Plan of Merger with Sanifill, Inc., a Delaware corporation ("Sanifill"), providing for, among other things, the merger (the "Sanifill Merger") of Quatro Acquisition Corp., a Delaware corporation and wholly-owned subsidiary of the Company with and into Sanifill and the conversion of each outstanding share of Sanifill common stock into 1.7 shares of the Company's Common Stock. The Sanifill Merger was closed on August 30, 1996. Upon consummation of the Sanifill Merger, the Company issued approximately 54.66 million shares of Common Stock. Sanifill owns and operates nonhazardous waste disposal, treatment, collection, transfer and recycling businesses and complementary operations. Since it was founded in 1989, Sanifill acquired 142 disposal, collection and related businesses. As of June 30, 1996, Sanifill operated 50 disposal and treatment facilities, 26 transfer stations, and 36 collection operations. In addition, Sanifill provides sludge treatment and organic recycling services. Additional information concerning Sanifill is included in Sanifill's reports filed under the Exchange Act that are incorporated by reference in the Joint Proxy Statement and Prospectus dated July 19, 1996. See "Available Information" and "Incorporation of Certain Information by Reference." The Sanifill Merger was approved by the Company's stockholders on August 27, 1996, and was completed on September 3, 1996.</w:t>
      </w:r>
    </w:p>
    <w:p>
      <w:pPr>
        <w:spacing w:after="0" w:line="200" w:lineRule="exact"/>
        <w:rPr>
          <w:sz w:val="20"/>
          <w:szCs w:val="20"/>
          <w:color w:val="auto"/>
        </w:rPr>
      </w:pPr>
    </w:p>
    <w:p>
      <w:pPr>
        <w:spacing w:after="0" w:line="31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Company expanded its operations and markets with its acquisition of Western Waste Industries ("Western") on May 7, 1996 (the "Western Merger"). With the addition of the Western operations, which include significant collection operations, the Company significantly increased its presence in California and added additional operations in Texas, Louisiana, Florida, Colorado, and Arkansas. Western had 91 municipal and regional authority contracts and served over 785,000 customers. As part of its business, Western operated six landfills, three transfer stations, and five recycling facilities.</w:t>
      </w:r>
    </w:p>
    <w:p>
      <w:pPr>
        <w:sectPr>
          <w:pgSz w:w="11900" w:h="16838" w:orient="portrait"/>
          <w:cols w:equalWidth="0" w:num="1">
            <w:col w:w="10219"/>
          </w:cols>
          <w:pgMar w:left="240" w:top="283" w:right="1440" w:bottom="5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565"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jc w:val="center"/>
        <w:ind w:right="317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addition to the other information set forth in this Prospectus, the following factors should be considered by prospective investors when evaluating an investment in the Common Stock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 MAY NOT PROVE ACCURATE</w:t>
      </w:r>
    </w:p>
    <w:p>
      <w:pPr>
        <w:spacing w:after="0" w:line="175"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When used or incorporated by reference in this Prospectus, the words "anticipate," "estimate," "project" and similar expressions are intended to identify forward-looking statements. Such statements are subject to certain risks, uncertainties and assumptions. Should one or more of these risks or uncertainties materialize, or should underlying assumptions prove incorrect, actual results may vary materially from those anticipated, estimated or projected.</w:t>
      </w:r>
    </w:p>
    <w:p>
      <w:pPr>
        <w:spacing w:after="0" w:line="17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Among the key factors that have a direct bearing on the Company's ability to attain its goals are the level and nature of competition from other waste companies, evaluation of the current regulatory environment and the costs associated with such regulations, the availability of attractive acquisition opportunities, successful integration of acquired businesses, improvement of operating efficiencies, availability of working capital, ability to maintain margins and the management of costs in a changing regulatory environment. The Company has also made certain assumptions relating to the outcome of various commercial, legal and regulatory proceedings relating to the Company's operations and the industry generally. These and other risk factors are discussed below.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BENEFITS OF SANIFILL MERGER MAY NOT BE ACHIEVED</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There can be no assurance that the expected benefits of the Sanifill Merger relative to the combined business as described in the Joint Proxy Statement and Prospectus dated July 19, 1996 under "The Merger and Related Transactions -- USA Waste's Reasons for the Merger" and "The Merger and Related Transactions -- Sanifill's Reasons for the Merger" will be achieved. Whether the anticipated benefits of the Merger are ultimately achieved will depend on a number of factors, including the ability of the combined companies to achieve administrative cost savings, rationalization of collection routes, insurance and bonding cost reductions, general economies of scale and, generally, to capitalize on the combined asset base and strategic position of the combined entity.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ASSURANCE OF SUCCESSFUL MANAGEMENT AND MAINTENANCE OF GROWTH</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there can be no assurance that the Company will be able to successfully integrate the operations of Sanifill and Western, the Company's most recent large acquisitions. Moreover, the ability of the Company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The Company is continually seeking acquisition opportunities and believes that there exist a substantial number of potentially attractive consolidation opportunities in the solid waste management industry. The Company may pursue significant acquisitions if they can be achieved on acceptable terms. There can be no assurance that the Company will be able to continue to expand and successfully integrate operations.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NEED FOR CAPITAL; DEBT FINANCING</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long-term debt of the Company (including Western and Sanifill),</w:t>
      </w:r>
    </w:p>
    <w:p>
      <w:pPr>
        <w:spacing w:after="0"/>
        <w:rPr>
          <w:sz w:val="20"/>
          <w:szCs w:val="20"/>
          <w:color w:val="auto"/>
        </w:rPr>
      </w:pPr>
      <w:r>
        <w:rPr>
          <w:rFonts w:ascii="Courier New" w:cs="Courier New" w:eastAsia="Courier New" w:hAnsi="Courier New"/>
          <w:sz w:val="15"/>
          <w:szCs w:val="15"/>
          <w:color w:val="auto"/>
        </w:rPr>
        <w:t>including current maturities, as of September 30, 1996, was approximately</w:t>
      </w:r>
    </w:p>
    <w:p>
      <w:pPr>
        <w:spacing w:after="0"/>
        <w:tabs>
          <w:tab w:leader="none" w:pos="1460" w:val="left"/>
        </w:tabs>
        <w:rPr>
          <w:sz w:val="20"/>
          <w:szCs w:val="20"/>
          <w:color w:val="auto"/>
        </w:rPr>
      </w:pPr>
      <w:r>
        <w:rPr>
          <w:rFonts w:ascii="Courier New" w:cs="Courier New" w:eastAsia="Courier New" w:hAnsi="Courier New"/>
          <w:sz w:val="15"/>
          <w:szCs w:val="15"/>
          <w:color w:val="auto"/>
        </w:rPr>
        <w:t>$1,026 million.</w:t>
      </w:r>
      <w:r>
        <w:rPr>
          <w:sz w:val="20"/>
          <w:szCs w:val="20"/>
          <w:color w:val="auto"/>
        </w:rPr>
        <w:tab/>
      </w:r>
      <w:r>
        <w:rPr>
          <w:rFonts w:ascii="Courier New" w:cs="Courier New" w:eastAsia="Courier New" w:hAnsi="Courier New"/>
          <w:sz w:val="14"/>
          <w:szCs w:val="14"/>
          <w:color w:val="auto"/>
        </w:rPr>
        <w:t>The Company expects to require additional capital from time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to pursue its acquisition strategy and to fund internal growth. A portion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Company's future capital requirements may be provided through future</w:t>
      </w:r>
    </w:p>
    <w:p>
      <w:pPr>
        <w:spacing w:after="0"/>
        <w:tabs>
          <w:tab w:leader="none" w:pos="4640" w:val="left"/>
        </w:tabs>
        <w:rPr>
          <w:sz w:val="20"/>
          <w:szCs w:val="20"/>
          <w:color w:val="auto"/>
        </w:rPr>
      </w:pPr>
      <w:r>
        <w:rPr>
          <w:rFonts w:ascii="Courier New" w:cs="Courier New" w:eastAsia="Courier New" w:hAnsi="Courier New"/>
          <w:sz w:val="15"/>
          <w:szCs w:val="15"/>
          <w:color w:val="auto"/>
        </w:rPr>
        <w:t>debt incurrences or issuances of equity securities.</w:t>
      </w:r>
      <w:r>
        <w:rPr>
          <w:sz w:val="20"/>
          <w:szCs w:val="20"/>
          <w:color w:val="auto"/>
        </w:rPr>
        <w:tab/>
      </w:r>
      <w:r>
        <w:rPr>
          <w:rFonts w:ascii="Courier New" w:cs="Courier New" w:eastAsia="Courier New" w:hAnsi="Courier New"/>
          <w:sz w:val="14"/>
          <w:szCs w:val="14"/>
          <w:color w:val="auto"/>
        </w:rPr>
        <w:t>Future events or</w:t>
      </w:r>
    </w:p>
    <w:p>
      <w:pPr>
        <w:spacing w:after="0"/>
        <w:rPr>
          <w:sz w:val="20"/>
          <w:szCs w:val="20"/>
          <w:color w:val="auto"/>
        </w:rPr>
      </w:pPr>
      <w:r>
        <w:rPr>
          <w:rFonts w:ascii="Courier New" w:cs="Courier New" w:eastAsia="Courier New" w:hAnsi="Courier New"/>
          <w:sz w:val="15"/>
          <w:szCs w:val="15"/>
          <w:color w:val="auto"/>
        </w:rPr>
        <w:t>conditions that could adversely affect the Company's operations or financial</w:t>
      </w:r>
    </w:p>
    <w:p>
      <w:pPr>
        <w:spacing w:after="0" w:line="238" w:lineRule="auto"/>
        <w:rPr>
          <w:sz w:val="20"/>
          <w:szCs w:val="20"/>
          <w:color w:val="auto"/>
        </w:rPr>
      </w:pPr>
      <w:r>
        <w:rPr>
          <w:rFonts w:ascii="Courier New" w:cs="Courier New" w:eastAsia="Courier New" w:hAnsi="Courier New"/>
          <w:sz w:val="15"/>
          <w:szCs w:val="15"/>
          <w:color w:val="auto"/>
        </w:rPr>
        <w:t>condition may prevent the Company from fulfilling its obligations under its</w:t>
      </w:r>
    </w:p>
    <w:p>
      <w:pPr>
        <w:spacing w:after="0"/>
        <w:rPr>
          <w:sz w:val="20"/>
          <w:szCs w:val="20"/>
          <w:color w:val="auto"/>
        </w:rPr>
      </w:pPr>
      <w:r>
        <w:rPr>
          <w:rFonts w:ascii="Courier New" w:cs="Courier New" w:eastAsia="Courier New" w:hAnsi="Courier New"/>
          <w:sz w:val="15"/>
          <w:szCs w:val="15"/>
          <w:color w:val="auto"/>
        </w:rPr>
        <w:t>debt agreements or may limit the Company's ability to incur additional</w:t>
      </w:r>
    </w:p>
    <w:p>
      <w:pPr>
        <w:spacing w:after="0"/>
        <w:rPr>
          <w:sz w:val="20"/>
          <w:szCs w:val="20"/>
          <w:color w:val="auto"/>
        </w:rPr>
      </w:pPr>
      <w:r>
        <w:rPr>
          <w:rFonts w:ascii="Courier New" w:cs="Courier New" w:eastAsia="Courier New" w:hAnsi="Courier New"/>
          <w:sz w:val="15"/>
          <w:szCs w:val="15"/>
          <w:color w:val="auto"/>
        </w:rPr>
        <w:t>indebtedness or issue equity securities.</w:t>
      </w:r>
    </w:p>
    <w:p>
      <w:pPr>
        <w:spacing w:after="0" w:line="200" w:lineRule="exact"/>
        <w:rPr>
          <w:sz w:val="20"/>
          <w:szCs w:val="20"/>
          <w:color w:val="auto"/>
        </w:rPr>
      </w:pPr>
    </w:p>
    <w:p>
      <w:pPr>
        <w:spacing w:after="0" w:line="313"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 addition, approximately $506 million of the Company's existing indebtedness at September 30, 1996, is priced at variable interest rates that fluctuate as general interest rates change. As a result, an increase in interest rates could adversely impact the Company's future earnings.</w:t>
      </w:r>
    </w:p>
    <w:p>
      <w:pPr>
        <w:sectPr>
          <w:pgSz w:w="11900" w:h="16838" w:orient="portrait"/>
          <w:cols w:equalWidth="0" w:num="1">
            <w:col w:w="10219"/>
          </w:cols>
          <w:pgMar w:left="240" w:top="283" w:right="1440" w:bottom="7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735"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rPr>
          <w:sz w:val="20"/>
          <w:szCs w:val="20"/>
          <w:color w:val="auto"/>
        </w:rPr>
      </w:pPr>
      <w:r>
        <w:rPr>
          <w:rFonts w:ascii="Courier New" w:cs="Courier New" w:eastAsia="Courier New" w:hAnsi="Courier New"/>
          <w:sz w:val="15"/>
          <w:szCs w:val="15"/>
          <w:color w:val="auto"/>
        </w:rPr>
        <w:t>PROFITABILITY MAY BE AFFECTED BY COMPETITION</w:t>
      </w:r>
    </w:p>
    <w:p>
      <w:pPr>
        <w:spacing w:after="0" w:line="174"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largest national waste management companies have significantly greater financial resources than the Company. Competition may also be affected by the increasing national emphasis on recycling, composting, incineration, and other waste reduction programs that could reduce the volume of solid waste collected or deposited in landfills.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ADVERSE EFFECT OF GOVERNMENT REGULATIONS</w:t>
      </w:r>
    </w:p>
    <w:p>
      <w:pPr>
        <w:spacing w:after="0" w:line="175"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The Company's operations are subject to, and substantially affected by, extensive federal, state and local laws, regulations, orders and permits, which govern environmental protection, health and safety, zoning and other matters. These regulations may impose restrictions on the Company's operations that could adversely affect the Company's results, such as limitations on the expansion of disposal facilities, limitations on or banning disposal of out-of-state waste or certain categories of waste, or mandates regarding the disposal of solid waste. Because of heightened public concern, companies in the waste management business, including the Company, may become subject to judicial and administrative proceedings involving federal, state or local agencies. These governmental agencies may seek to (i) impose fines on the Company, (ii) revoke or deny renewal of the Company's operating permits or licenses for violations of environmental laws or regulations, or (iii) require remediation of environmental problems at its sites or nearby properties, or resulting from transportation or predecessors' transportation and collection operations, all of which could have a material adverse effect on the Company. Liability may also arise from actions brought by individuals or community groups in connection with the permitting or licensing of its operations, any alleged violations of such permits and licenses, or other matters.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ENVIRONMENTAL LIABILITY</w:t>
      </w:r>
    </w:p>
    <w:p>
      <w:pPr>
        <w:spacing w:after="0" w:line="175"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The Company is subject to liability for environmental damage that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by the Company.</w:t>
      </w:r>
    </w:p>
    <w:p>
      <w:pPr>
        <w:spacing w:after="0" w:line="2"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Liability may also arise from any off-site environmental contamination caused by pollutants or hazardous substances the transportation, treatment or disposal of which was arranged for by the Company or the predecessor owner of operations or assets acquired by the Company. Any substantial liability for environmental damage could materially adversely affect the Company's operating results and financial condition.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ELIGIBLE FOR FUTURE SALE MAY ADVERSELY AFFECT MARKET PRICE STOCK</w:t>
      </w:r>
    </w:p>
    <w:p>
      <w:pPr>
        <w:spacing w:after="0" w:line="344" w:lineRule="exact"/>
        <w:rPr>
          <w:sz w:val="20"/>
          <w:szCs w:val="20"/>
          <w:color w:val="auto"/>
        </w:rPr>
      </w:pPr>
    </w:p>
    <w:p>
      <w:pPr>
        <w:ind w:right="3259" w:firstLine="441"/>
        <w:spacing w:after="0" w:line="239" w:lineRule="auto"/>
        <w:rPr>
          <w:sz w:val="20"/>
          <w:szCs w:val="20"/>
          <w:color w:val="auto"/>
        </w:rPr>
      </w:pPr>
      <w:r>
        <w:rPr>
          <w:rFonts w:ascii="Courier New" w:cs="Courier New" w:eastAsia="Courier New" w:hAnsi="Courier New"/>
          <w:sz w:val="15"/>
          <w:szCs w:val="15"/>
          <w:color w:val="auto"/>
        </w:rPr>
        <w:t>Sales of substantial amounts of Common Stock in the public market could adversely affect the market price of such stock. The Company previously has filed a shelf registration statement for the benefit of certain stockholders relating to 4 million shares of the Company's Common Stock. In connection with the Sanifill Merger, the Company entered into an agreement with these stockholders that provides that if the number of shares of Common Stock so registered falls below 2 million shares, such stockholders shall be entitled at their request to have the Company register additional shares of Common Stock; provided that at no time shall more than 4 million shares of Common Stock be registered. All of the initial 4 million shares of Common Stock remain available to be sold pursuant to such registration statement. Such shares are immediately saleable in the open market. In addition, the Company has a shelf registration statement covering approximately 2.5 million shares of Common Stock that may be used for acquisitions. In the event that the market price of Common Stock were adversely affected by such sales, the Company's access to equity capital markets could be adversely affected, and issuances of stock by the Company in connection with acquisitions, or otherwise, could dilute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ind w:left="2820"/>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This Prospectus relates to shares of Common Stock of the Company that may be offered and issued by the Company from time to time in connection with the acquisition of other businesses and properties and interests therein, and upon exercise or conversion of, warrants, options, convertible debentures, or other similar instruments issued by the Company from time to time in connection with any such acquisition. Other than the businesses or properties acquired, there usually will be no proceeds to the Company from these offerings. However, in situations where the Company issues warrants or options to purchase Common Stock in connection with an acquisition, any proceeds received by the Company upon the exercise of such warrants or options will be used for general corporate purposes. When this Prospectus is used by a Selling Shareholder in a public reoffering or resale of Common Stock acquired pursuant to this Prospectus, the Company will not receive any proceeds from such sale by the Selling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34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is authorized to issue 300,000,000 shares of Common Stock, par value $0.01 per share, of which 138,343,184 shares were outstanding at September 30, 1996. The Company is also authorized to issue 10,000,000 shares of Preferred Stock, $.01 par value (the "Preferred Stock"), none of which are outstanding.</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Each holder of Common Stock is entitled to one vote per share held of record on each matter submitted to shareholders. Cumulative voting for the election of directors is not permitted, and the holders of a majority of shares voting for the election of directors can elect all members of the Board of Directors.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Subject to the rights of any holders of Preferred Stock, holders of record of shares of Common Stock are entitled to receive ratably dividends when and if declared by the Board of Directors out of funds of the Company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78"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Holders of Common Stock have no conversion, redemption, or preemptive rights. All outstanding shares of Common Stock are, and the Shares offered hereby will be, upon issuance and sale, validly issued, fully paid, and nonassessable.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Board of Directors is authorized, without further approval of the shareholders,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the Company, without shareholder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Authorized but unissued shares of Common Stock or Preferred Stock can be reserved for issuance by the Board of Directors from time to time without further shareholder action for proper corporate purposes, including stock dividends or stock splits, raising equity capital, and structuring future corporate transactions, including acquisitions.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transfer agent and registrar for the Common Stock is Boston Equiserv, Boston, Massachusetts.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AND INDEMNIFICATION OF OFFICERS AND DIRECTORS</w:t>
      </w:r>
    </w:p>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Certificate of Incorporation of the Company provides that the directors of the Company shall not be liable to the Company or its shareholders for monetary damages for breach of fiduciary duty as a director to the fullest extent permitted by the Delaware General Corporation Law (the "DGCL"). The foregoing limitation does not eliminate or limit the liability of a director for any breach of a director's duty of loyalty to the Company or its shareholders,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Certificate of Incorporation of the Company also provides that the Company shall indemnify, and advance litigation expenses to, its officers, directors, employees, and agents to the fullest extent permitted by the DGCL and all other laws of the State of Delaware.</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DGCL provides that the Company has the power to indemnify any person who is sued or threatened to be made a named party in a proceeding, other than an action by or in the right of the Company, because such person is or was a director, officer, employee, or agent of the Company or is or was serving at the request of the Company as a director, officer, employee, or agent of another corporation, partnership, joint venture, trust, or other enterprise, against expenses actually and reasonably incurred by him in connection with such proceeding. In order to be indemnified, the person must have (1) acted in good faith; (2) acted in a manner he reasonably believed to be in or not opposed to the best interests of the Company; and (3) with respect to any criminal action or proceeding, had no reasonable cause to believe his conduct was unlawful. The indemnification includes attorneys' fees, judgments, fines, and amounts paid in settlement.</w:t>
      </w:r>
    </w:p>
    <w:p>
      <w:pPr>
        <w:spacing w:after="0" w:line="183"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DGCL also provides that the Company may indemnify any person who is sued or threatened to be made a named party in a proceeding by or in the right of the Company to procure a judgment in its favor because such person is or was a director, officer, employee, or agent of the Company, or is or was serving at the request of the Company as a director, officer, employee, or agent of another corporation, partnership, joint venture, trust, or other enterprise. In order to be indemnified, the person must have conducted himself in good faith and in a manner he reasonably believed to be in or not opposed to the best interests of the Company. No indemnification may be made, however, with respect to any claim, issue, or matter as to which such person shall have been judged to be liable to the Company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6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Indemnification by the Company is subject to a determination that the director, officer, employee, or agent has met the applicable standard of conduct. The determination must be made (1) by a majority vote of a quorum of the Board of Directors, consisting only of directors who were not parties to such action, suit or proceeding; (2) if such a quorum cannot be obtained, or even if obtainable, if a quorum of disinterested directors so directs, by independent legal counsel in a written opinion; or (3) by the shareholders of the Company.</w:t>
      </w:r>
    </w:p>
    <w:p>
      <w:pPr>
        <w:spacing w:after="0" w:line="34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Company has entered into an Indemnification Agreement with each of its directors and executive officers (the "Indemnitees") pursuant to which the Company has agreed to indemnify and hold each of the Indemnitees harmless from and against all expenses, including reasonable fees and expenses of counsel, and all liabilities, including the amounts of any judgments, fines, penalties, excise taxes, and amounts paid in settlement actually incurred by an Indemnitee in connection with any threatened, pending or completed claim, action (including any action by or in the right of the Company), suit, or proceeding (whether formal or informal, or civil, criminal, administrative, legislative, arbitrative, or investigative) in respect of which the Indemnitee is, was, or at any time becomes, or is threatened to be made, a party, witness, subject, or target, by reason of the fact that the Indemnitee is or was an authorized representative of the Company; provided, however, no indemnity shall be paid on account of the Indemnitee's conduct that is finally adjudged to constitute willful misconduct or to have been knowingly fraudulent, deliberately dishonest, or from which the Indemnitee derives an improper personal benefit.</w:t>
      </w:r>
    </w:p>
    <w:p>
      <w:pPr>
        <w:spacing w:after="0" w:line="33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maintains an officers and directors liability insurance policy insuring officers and directors of the Company and its subsidiaries against certain liabilities, including liabilities under the Securities Act. The effect of such policy is to indemnify the officers and directors of the Company against losses incurred by them while acting in such capacities.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or person controlling the Company pursuant to the foregoing provisions, the Company has been informed that in the opinion of the Securities and Exchange Commission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ind w:left="1660"/>
        <w:spacing w:after="0"/>
        <w:rPr>
          <w:sz w:val="20"/>
          <w:szCs w:val="20"/>
          <w:color w:val="auto"/>
        </w:rPr>
      </w:pPr>
      <w:r>
        <w:rPr>
          <w:rFonts w:ascii="Courier New" w:cs="Courier New" w:eastAsia="Courier New" w:hAnsi="Courier New"/>
          <w:sz w:val="15"/>
          <w:szCs w:val="15"/>
          <w:color w:val="auto"/>
        </w:rPr>
        <w:t>PRICE RANGE OF COMMON STOCK AND DIVIDENDS</w:t>
      </w:r>
    </w:p>
    <w:p>
      <w:pPr>
        <w:spacing w:after="0" w:line="174" w:lineRule="exact"/>
        <w:rPr>
          <w:sz w:val="20"/>
          <w:szCs w:val="20"/>
          <w:color w:val="auto"/>
        </w:rPr>
      </w:pPr>
    </w:p>
    <w:p>
      <w:pPr>
        <w:ind w:right="3539" w:firstLine="441"/>
        <w:spacing w:after="0" w:line="260" w:lineRule="auto"/>
        <w:rPr>
          <w:sz w:val="20"/>
          <w:szCs w:val="20"/>
          <w:color w:val="auto"/>
        </w:rPr>
      </w:pPr>
      <w:r>
        <w:rPr>
          <w:rFonts w:ascii="Courier New" w:cs="Courier New" w:eastAsia="Courier New" w:hAnsi="Courier New"/>
          <w:sz w:val="14"/>
          <w:szCs w:val="14"/>
          <w:color w:val="auto"/>
        </w:rPr>
        <w:t>The Common Stock is traded on the NYSE under the symbol "UW." The following table sets forth the high and low per share closing prices for the Common Stock for the calendar quarters indicated as reported on the NYSE.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HIGH</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448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First Quarter  .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$11.38</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Second Quarter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10.58</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w w:val="97"/>
              </w:rPr>
              <w:t>Third Quarter.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Fourth Quarter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r>
      <w:tr>
        <w:trPr>
          <w:trHeight w:val="509"/>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First Quarter  .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$12.38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Second Quarter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w w:val="97"/>
              </w:rPr>
              <w:t>Third Quarter.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14.68</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Fourth Quarter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r>
      <w:tr>
        <w:trPr>
          <w:trHeight w:val="509"/>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First Quarter  .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$17.25</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Second Quarter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Third Quarter  . . . . . . . . . . . . . . .</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23.00</w:t>
            </w:r>
          </w:p>
        </w:tc>
      </w:tr>
      <w:tr>
        <w:trPr>
          <w:trHeight w:val="339"/>
        </w:trPr>
        <w:tc>
          <w:tcPr>
            <w:tcW w:w="4480" w:type="dxa"/>
            <w:vAlign w:val="bottom"/>
          </w:tcPr>
          <w:p>
            <w:pPr>
              <w:ind w:left="440"/>
              <w:spacing w:after="0"/>
              <w:rPr>
                <w:sz w:val="20"/>
                <w:szCs w:val="20"/>
                <w:color w:val="auto"/>
              </w:rPr>
            </w:pPr>
            <w:r>
              <w:rPr>
                <w:rFonts w:ascii="Courier New" w:cs="Courier New" w:eastAsia="Courier New" w:hAnsi="Courier New"/>
                <w:sz w:val="15"/>
                <w:szCs w:val="15"/>
                <w:color w:val="auto"/>
              </w:rPr>
              <w:t>Fourth Quarter (through November 15, 1996)</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33.88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31.00</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According to the Company's transfer agent, on July 18, 1996, there were 3,789 holders of record of the Company's Common Stock.</w:t>
      </w:r>
    </w:p>
    <w:p>
      <w:pPr>
        <w:spacing w:after="0" w:line="34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has never paid cash dividends on its Common Stock. Envirofil, Inc. paid stock dividends on its preferred stock prior to its acquisition by the Company, the holders of such preferred stock received Common Stock in such acquisition, and no dividends have been paid by the Company. In addition, Chambers Development Company, Inc. paid dividends on its Class A common stock prior to its merger with the Company; the holders of Chambers' Class A common stock Common Stock in the merger with the Company, and no dividends have been paid by the Company. The Board of Directors of the Company presently intends to retain any earnings in the foreseeable future for the Company's business. In addition, payment of dividends on the Common Stock is restricted by the terms of the Company's bank credit agreement.</w:t>
      </w:r>
    </w:p>
    <w:p>
      <w:pPr>
        <w:spacing w:after="0" w:line="34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MANNER OF OFFERING BY SELLING SHAREHOLDERS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This Prospectus, as appropriately amended or supplemented, may, with the consent of the Company, be used from time to time by a Selling Shareholder, or its transferees, to offer and sell the Shares in transactions in which the Selling Shareholder and any broker-dealer through whom any of the Shares are sold may be deemed to be underwriters within the meaning of the Securities Act. The Company will receive none of the proceeds from any such sales. There presently are no arrangements or understandings, formal or informal, pertaining to the distribution of the Shares.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Agreements with Selling Shareholders permitting use of this Prospectus may provide that any such offering be effected in an orderly manner through securities dealers, acting as broker or dealer, selected by the Company; that Selling Shareholders enter into custody agreements with one or more banks with respect to such shares; and that sales be made only by one or more of the methods described in this Prospectus, as appropriately supplemented or amended when required.</w:t>
      </w:r>
    </w:p>
    <w:p>
      <w:pPr>
        <w:spacing w:after="0" w:line="177"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The Company anticipates that resales of the Shares by a Selling Shareholder may be effected from time to time on the open market in ordinary brokerage transactions on the NYSE, or such other security exchange on which the Common Stock may be listed, in the over-the-counter market, or in private transactions (which may involve crosses and block transactions). The Shares will be offered for sale at market prices prevailing</w:t>
      </w:r>
    </w:p>
    <w:p>
      <w:pPr>
        <w:sectPr>
          <w:pgSz w:w="11900" w:h="16838" w:orient="portrait"/>
          <w:cols w:equalWidth="0" w:num="1">
            <w:col w:w="10219"/>
          </w:cols>
          <w:pgMar w:left="240" w:top="283" w:right="1440" w:bottom="2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226" w:gutter="0" w:footer="0" w:header="0"/>
          <w:type w:val="continuous"/>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at the time of sale or at negotiated prices and on terms to be determined when the agreement to sell is made or at the time of sale, as the case may be. The Shares may be offered directly, through agents designated from time to time, or through brokers or dealers. A member firm of the NYSE may be engaged to act as the Selling Shareholder's agent in the sale of the Shares by the Selling Shareholder and/or may acquire Shares as principal. Broker-dealers participating in such transactions as agent may receive commissions from the Selling Shareholder (and, if they act as agent for the purchaser of such Shares, from such purchaser), such commissions computed in appropriate cases in accordance with the applicable rules of the NYSE, which commissions may be at negotiated rates where permissible.</w:t>
      </w:r>
    </w:p>
    <w:p>
      <w:pPr>
        <w:spacing w:after="0" w:line="181"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Participating broker-dealers may agree with the Selling Shareholder to sell a specified number of shares at a stipulated price per share and, to the extent such broker-dealer is unable to do so acting as agent for the Selling Shareholder to purchase as principal any unsold shares at the price required to fulfill the broker-dealer's commitment to the Selling Shareholder. In addition or alternatively, shares may be sold by the Selling Shareholder, and/or by or through other broker-dealers in special offerings, exchange distributions, or secondary distributions pursuant to and in compliance with the governing rules of the NYSE, and in connection therewith commissions in excess of the customary commission prescribed by the rules of the NYSE may be paid to participating broker-dealers, or, in the case of certain secondary distributions, a discount or concession from the offering price may be allowed to participating broker-dealers in excess of such customary commission. Broker-dealers who acquire shares as principal may thereafter resell such Shares from time to time in transactions (which may involve cross and block transactions and which may involve sales to and through other broker-dealers, including transactions of the nature described in the preceding two sentences) on the NYSE or such other security exchange on which the Common Stock may be listed, in negotiated transactions, or otherwise, at market prices prevailing at the time of sale or at negotiated prices, and in connection with such resales may pay to or receive commissions from the purchasers of such shares.</w:t>
      </w:r>
    </w:p>
    <w:p>
      <w:pPr>
        <w:spacing w:after="0" w:line="346"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Upon the Company's being notified by the Selling Shareholder that a particular offer to sell the Shares is made, a material arrangement has been entered into with a broker-dealer for the sale of shares through a block trade, special offering, exchange distribution, or secondary distribution, or any block trade has taken place, to the extent required, a supplement to this Prospectus will be delivered together with this Prospectus and filed pursuant to Rule 424(b) under the Securities Act setting forth with respect to such offer or trade the terms of the offer or trade; including (i) the name of each Selling Shareholder, (ii) the number of Shares involved, (iii) the price at which the Shares were sold , (iv) any participating brokers, dealers, agents or member firm involved, (v) any discounts, commissions and other items paid as compensation from, and the resulting net proceeds to, the Selling Shareholder,</w:t>
      </w:r>
    </w:p>
    <w:p>
      <w:pPr>
        <w:spacing w:after="0" w:line="4" w:lineRule="exact"/>
        <w:rPr>
          <w:sz w:val="20"/>
          <w:szCs w:val="20"/>
          <w:color w:val="auto"/>
        </w:rPr>
      </w:pPr>
    </w:p>
    <w:p>
      <w:pPr>
        <w:jc w:val="both"/>
        <w:ind w:left="10" w:right="3439" w:hanging="10"/>
        <w:spacing w:after="0" w:line="237"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broker-dealers did not conduct any investigation to verify the information set out in this Prospectus, and (vii) other facts material to the transaction.</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Shares may be sold directly by the Selling Shareholder or through agents designated by the Selling Shareholder from time to time. Unless otherwise indicated in the a supplement to this Prospectus, any such agent will be acting on a best efforts basis for the period of its appointment.</w:t>
      </w:r>
    </w:p>
    <w:p>
      <w:pPr>
        <w:spacing w:after="0" w:line="176"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Selling Shareholder and any brokers, dealers, agents, member firm or others that participate with the Selling Shareholder in the distribution of the Shares may be deemed to be "underwriters" within the meaning of the Securities Act, and any commissions or fees received by such persons and any profit on the resale of the Shares purchased by such person may be deemed to be underwriting commissions or discounts under the Securities Act.</w:t>
      </w:r>
    </w:p>
    <w:p>
      <w:pPr>
        <w:spacing w:after="0" w:line="176" w:lineRule="exact"/>
        <w:rPr>
          <w:sz w:val="20"/>
          <w:szCs w:val="20"/>
          <w:color w:val="auto"/>
        </w:rPr>
      </w:pPr>
    </w:p>
    <w:p>
      <w:pPr>
        <w:ind w:left="10" w:right="3259" w:firstLine="441"/>
        <w:spacing w:after="0" w:line="258" w:lineRule="auto"/>
        <w:rPr>
          <w:sz w:val="20"/>
          <w:szCs w:val="20"/>
          <w:color w:val="auto"/>
        </w:rPr>
      </w:pPr>
      <w:r>
        <w:rPr>
          <w:rFonts w:ascii="Courier New" w:cs="Courier New" w:eastAsia="Courier New" w:hAnsi="Courier New"/>
          <w:sz w:val="14"/>
          <w:szCs w:val="14"/>
          <w:color w:val="auto"/>
        </w:rPr>
        <w:t>The Company may agree to indemnify the Selling Shareholder as an underwriter under the Securities Act against certain liabilities, including liabilities arising under the Securities Act. Agents may be entitled under agreements entered into with the Selling Shareholder to indemnification against certain civil liabilities, including liabilities under the Securities Act.</w:t>
      </w:r>
    </w:p>
    <w:p>
      <w:pPr>
        <w:spacing w:after="0" w:line="165" w:lineRule="exact"/>
        <w:rPr>
          <w:sz w:val="20"/>
          <w:szCs w:val="20"/>
          <w:color w:val="auto"/>
        </w:rPr>
      </w:pPr>
    </w:p>
    <w:p>
      <w:pPr>
        <w:ind w:left="10" w:right="3259" w:firstLine="441"/>
        <w:spacing w:after="0" w:line="258" w:lineRule="auto"/>
        <w:rPr>
          <w:sz w:val="20"/>
          <w:szCs w:val="20"/>
          <w:color w:val="auto"/>
        </w:rPr>
      </w:pPr>
      <w:r>
        <w:rPr>
          <w:rFonts w:ascii="Courier New" w:cs="Courier New" w:eastAsia="Courier New" w:hAnsi="Courier New"/>
          <w:sz w:val="14"/>
          <w:szCs w:val="14"/>
          <w:color w:val="auto"/>
        </w:rPr>
        <w:t>The Selling Shareholder will be subject to the applicable provisions of the Exchange Act, and the rules and regulations thereunder, including without limitation Rules 10b-2, 10b-6, and 10b-7, which provisions may limit the timing of purchases and sales of any of the Common Stock by the Selling Shareholder. All of the foregoing may affect the marketability of the Common Stock.</w:t>
      </w:r>
    </w:p>
    <w:p>
      <w:pPr>
        <w:spacing w:after="0" w:line="165" w:lineRule="exact"/>
        <w:rPr>
          <w:sz w:val="20"/>
          <w:szCs w:val="20"/>
          <w:color w:val="auto"/>
        </w:rPr>
      </w:pPr>
    </w:p>
    <w:p>
      <w:pPr>
        <w:ind w:left="10" w:right="3619" w:firstLine="441"/>
        <w:spacing w:after="0" w:line="237" w:lineRule="auto"/>
        <w:rPr>
          <w:sz w:val="20"/>
          <w:szCs w:val="20"/>
          <w:color w:val="auto"/>
        </w:rPr>
      </w:pPr>
      <w:r>
        <w:rPr>
          <w:rFonts w:ascii="Courier New" w:cs="Courier New" w:eastAsia="Courier New" w:hAnsi="Courier New"/>
          <w:sz w:val="15"/>
          <w:szCs w:val="15"/>
          <w:color w:val="auto"/>
        </w:rPr>
        <w:t>The Company will pay substantially all the expenses incident to this offering of the Common Stock by the Selling Shareholder to the public other than brokerage fees, commissions and discounts of underwriters, dealers or agents.</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283"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In order to comply with certain states' securities laws, if applicable, the Common Stock will be sold in such jurisdictions only through registered or licensed brokers or dealers. In addition, in certain states the Common Stock may not be sold unless the Common Stock has been registered or qualified for sale in such state or an exemption from registration or qualification is available and is complied with.</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right="3359" w:firstLine="441"/>
        <w:spacing w:after="0" w:line="265" w:lineRule="auto"/>
        <w:rPr>
          <w:sz w:val="20"/>
          <w:szCs w:val="20"/>
          <w:color w:val="auto"/>
        </w:rPr>
      </w:pPr>
      <w:r>
        <w:rPr>
          <w:rFonts w:ascii="Courier New" w:cs="Courier New" w:eastAsia="Courier New" w:hAnsi="Courier New"/>
          <w:sz w:val="14"/>
          <w:szCs w:val="14"/>
          <w:color w:val="auto"/>
        </w:rPr>
        <w:t>Certain legal matters in connection with the Shares have been passed upon for the Company by Snell &amp; Smith, a Professional Corporation, Houston, Texas.</w:t>
      </w:r>
    </w:p>
    <w:p>
      <w:pPr>
        <w:spacing w:after="0" w:line="15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The consolidated financial statements of the Company and subsidiaries as of December 31, 1994 and 1995, and for each of the three years in the period ended December 31, 1995, which are included in the Company's Annual Report on Form 10-K for the year ended December 31, 1995, and the supplemental consolidated balance sheets of the Company as of December 31, 1994 and 1995, and the supplemental consolidated statements of operations, stockholders' equity, and cash flows for each of the years in the three-year period ended December 31, 1995, appearing in the Company's Current Report on Form 8-K/A filed July 1, 1996, and Current Report on Form 8-K filed November 12, 1996, incorporated by reference in this Prospectus, have been incorporated herein in reliance on the reports of Coopers &amp; Lybrand L.L.P., independent accountants, given on the authority of that firm as experts in accounting and auditing.</w:t>
      </w:r>
    </w:p>
    <w:p>
      <w:pPr>
        <w:spacing w:after="0" w:line="33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consolidated financial statements of Western at June 30, 1995 and 1994, and for each of the three years in the period ended June 30, 1995, included in the Company's Current Report on Form 8-K dated January 9, 1996, have been audited by Ernst &amp; Young LLP, independent auditors, as set forth in their report thereon and included therein and incorporated herein by reference. Such consolidated financial statements are incorporated herein by reference in reliance upon such report given upon the authority of such firm as experts in accounting and auditing.</w:t>
      </w:r>
    </w:p>
    <w:p>
      <w:pPr>
        <w:spacing w:after="0" w:line="34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consolidated financial statements of Sanifill appearing in Sanifill's Annual Report on Form 10-K for the year ended December 31, 1995 and the financial statements of Metropolitan Disposal and Recycling Corporation, Energy Reclamation, Inc. and EE Equipment, Inc., Falcon Disposal Services, Inc., Garnet of Virginia, Inc. and Garnet of Maryland, Inc., the Combined Companies (as defined, Taylor Land Resources, PST Reclamation, Inc., City Disposal, Inc., Alpine Disposal and Recycling, Inc. and L.G. Industries, Inc.), acquired by Sanifill and appearing in Sanifill's Current Reports on Form 8-K dated February 5, 1996, February 11, 1996 and March 20, 1996, and in USA Waste's Current Report on Form 8-K/A dated November 15, 1996, incorporated by reference in the Registration Statement of the Company on Form S-4 and the related Prospectus, have been audited by Arthur Andersen LLP, independent public accountants, as indicated in their reports with respect thereto, and are incorporated herein by reference in reliance upon the authority of said firm as experts in accounting and auditing in giving said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12,000,000 SHARES</w:t>
      </w:r>
    </w:p>
    <w:p>
      <w:pPr>
        <w:spacing w:after="0" w:line="200" w:lineRule="exact"/>
        <w:rPr>
          <w:sz w:val="20"/>
          <w:szCs w:val="20"/>
          <w:color w:val="auto"/>
        </w:rPr>
      </w:pPr>
    </w:p>
    <w:p>
      <w:pPr>
        <w:spacing w:after="0" w:line="308"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USA WASTE</w:t>
      </w:r>
    </w:p>
    <w:p>
      <w:pPr>
        <w:ind w:left="4660"/>
        <w:spacing w:after="0"/>
        <w:rPr>
          <w:sz w:val="20"/>
          <w:szCs w:val="20"/>
          <w:color w:val="auto"/>
        </w:rPr>
      </w:pPr>
      <w:r>
        <w:rPr>
          <w:rFonts w:ascii="Courier New" w:cs="Courier New" w:eastAsia="Courier New" w:hAnsi="Courier New"/>
          <w:sz w:val="15"/>
          <w:szCs w:val="15"/>
          <w:color w:val="auto"/>
        </w:rPr>
        <w:t>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w:t>
      </w:r>
    </w:p>
    <w:p>
      <w:pPr>
        <w:jc w:val="center"/>
        <w:ind w:right="-340"/>
        <w:spacing w:after="0"/>
        <w:rPr>
          <w:sz w:val="20"/>
          <w:szCs w:val="20"/>
          <w:color w:val="auto"/>
        </w:rPr>
      </w:pPr>
      <w:r>
        <w:rPr>
          <w:rFonts w:ascii="Courier New" w:cs="Courier New" w:eastAsia="Courier New" w:hAnsi="Courier New"/>
          <w:sz w:val="15"/>
          <w:szCs w:val="15"/>
          <w:color w:val="auto"/>
        </w:rPr>
        <w:t>PROSPECTUS</w:t>
      </w:r>
    </w:p>
    <w:p>
      <w:pPr>
        <w:ind w:left="48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80"/>
        <w:spacing w:after="0"/>
        <w:tabs>
          <w:tab w:leader="none" w:pos="5440" w:val="left"/>
        </w:tabs>
        <w:rPr>
          <w:sz w:val="20"/>
          <w:szCs w:val="20"/>
          <w:color w:val="auto"/>
        </w:rPr>
      </w:pPr>
      <w:r>
        <w:rPr>
          <w:rFonts w:ascii="Courier New" w:cs="Courier New" w:eastAsia="Courier New" w:hAnsi="Courier New"/>
          <w:sz w:val="15"/>
          <w:szCs w:val="15"/>
          <w:color w:val="auto"/>
        </w:rPr>
        <w:t>NOVEMBER</w:t>
      </w:r>
      <w:r>
        <w:rPr>
          <w:sz w:val="20"/>
          <w:szCs w:val="20"/>
          <w:color w:val="auto"/>
        </w:rPr>
        <w:tab/>
      </w:r>
      <w:r>
        <w:rPr>
          <w:rFonts w:ascii="Courier New" w:cs="Courier New" w:eastAsia="Courier New" w:hAnsi="Courier New"/>
          <w:sz w:val="14"/>
          <w:szCs w:val="14"/>
          <w:color w:val="auto"/>
        </w:rPr>
        <w:t>__, 1996</w:t>
      </w:r>
    </w:p>
    <w:p>
      <w:pPr>
        <w:spacing w:after="0" w:line="200" w:lineRule="exact"/>
        <w:rPr>
          <w:sz w:val="20"/>
          <w:szCs w:val="20"/>
          <w:color w:val="auto"/>
        </w:rPr>
      </w:pPr>
    </w:p>
    <w:p>
      <w:pPr>
        <w:spacing w:after="0" w:line="314"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jc w:val="center"/>
        <w:ind w:right="325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66"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 Restated Certificate of Incorporation of the registrant includes the following provisions:</w:t>
      </w:r>
    </w:p>
    <w:p>
      <w:pPr>
        <w:spacing w:after="0" w:line="345" w:lineRule="exact"/>
        <w:rPr>
          <w:sz w:val="20"/>
          <w:szCs w:val="20"/>
          <w:color w:val="auto"/>
        </w:rPr>
      </w:pPr>
    </w:p>
    <w:p>
      <w:pPr>
        <w:ind w:left="440" w:right="3259" w:firstLine="352"/>
        <w:spacing w:after="0" w:line="256" w:lineRule="auto"/>
        <w:rPr>
          <w:sz w:val="20"/>
          <w:szCs w:val="20"/>
          <w:color w:val="auto"/>
        </w:rPr>
      </w:pPr>
      <w:r>
        <w:rPr>
          <w:rFonts w:ascii="Courier New" w:cs="Courier New" w:eastAsia="Courier New" w:hAnsi="Courier New"/>
          <w:sz w:val="14"/>
          <w:szCs w:val="14"/>
          <w:color w:val="auto"/>
        </w:rPr>
        <w:t>Seventh: No director of the Corporation shall not be personally liable to the Corporation or its stockholders for monetary damages for breach of fiduciary duty as a director, provided that this provision shall not eliminate or limit the liability of a director for liability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w:t>
      </w:r>
    </w:p>
    <w:p>
      <w:pPr>
        <w:spacing w:after="0" w:line="10" w:lineRule="exact"/>
        <w:rPr>
          <w:sz w:val="20"/>
          <w:szCs w:val="20"/>
          <w:color w:val="auto"/>
        </w:rPr>
      </w:pPr>
    </w:p>
    <w:p>
      <w:pPr>
        <w:jc w:val="both"/>
        <w:ind w:left="440" w:right="3539" w:hanging="9"/>
        <w:spacing w:after="0" w:line="237" w:lineRule="auto"/>
        <w:tabs>
          <w:tab w:leader="none" w:pos="79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141 of the Delaware General Corporation Law, exercise or perform any of the powers or duties otherwise conferred or imposed upon the board of directors by the Delaware General Corporation Law.</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145 of the Delaware General Corporation Law provides as follows:</w:t>
      </w:r>
    </w:p>
    <w:p>
      <w:pPr>
        <w:spacing w:after="0" w:line="175" w:lineRule="exact"/>
        <w:rPr>
          <w:sz w:val="20"/>
          <w:szCs w:val="20"/>
          <w:color w:val="auto"/>
        </w:rPr>
      </w:pPr>
    </w:p>
    <w:p>
      <w:pPr>
        <w:ind w:right="3259" w:firstLine="431"/>
        <w:spacing w:after="0" w:line="238" w:lineRule="auto"/>
        <w:tabs>
          <w:tab w:leader="none" w:pos="9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3" w:right="1440" w:bottom="1440" w:gutter="0" w:footer="0" w:header="0"/>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84" w:lineRule="exact"/>
        <w:rPr>
          <w:sz w:val="20"/>
          <w:szCs w:val="20"/>
          <w:color w:val="auto"/>
        </w:rPr>
      </w:pPr>
    </w:p>
    <w:p>
      <w:pPr>
        <w:ind w:left="10" w:right="3259" w:firstLine="431"/>
        <w:spacing w:after="0" w:line="239" w:lineRule="auto"/>
        <w:tabs>
          <w:tab w:leader="none" w:pos="1508"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4" w:lineRule="exact"/>
        <w:rPr>
          <w:rFonts w:ascii="Courier New" w:cs="Courier New" w:eastAsia="Courier New" w:hAnsi="Courier New"/>
          <w:sz w:val="15"/>
          <w:szCs w:val="15"/>
          <w:color w:val="auto"/>
        </w:rPr>
      </w:pPr>
    </w:p>
    <w:p>
      <w:pPr>
        <w:ind w:left="10" w:right="3259" w:firstLine="431"/>
        <w:spacing w:after="0" w:line="238" w:lineRule="auto"/>
        <w:tabs>
          <w:tab w:leader="none" w:pos="1508"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75" w:lineRule="exact"/>
        <w:rPr>
          <w:rFonts w:ascii="Courier New" w:cs="Courier New" w:eastAsia="Courier New" w:hAnsi="Courier New"/>
          <w:sz w:val="15"/>
          <w:szCs w:val="15"/>
          <w:color w:val="auto"/>
        </w:rPr>
      </w:pPr>
    </w:p>
    <w:p>
      <w:pPr>
        <w:ind w:left="1490" w:hanging="1049"/>
        <w:spacing w:after="0"/>
        <w:tabs>
          <w:tab w:leader="none" w:pos="149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indemnification under the provisions of subsection (a) or</w:t>
      </w:r>
    </w:p>
    <w:p>
      <w:pPr>
        <w:spacing w:after="0" w:line="10" w:lineRule="exact"/>
        <w:rPr>
          <w:rFonts w:ascii="Courier New" w:cs="Courier New" w:eastAsia="Courier New" w:hAnsi="Courier New"/>
          <w:sz w:val="14"/>
          <w:szCs w:val="14"/>
          <w:color w:val="auto"/>
        </w:rPr>
      </w:pPr>
    </w:p>
    <w:p>
      <w:pPr>
        <w:ind w:left="10" w:right="3259" w:hanging="10"/>
        <w:spacing w:after="0" w:line="238" w:lineRule="auto"/>
        <w:tabs>
          <w:tab w:leader="none" w:pos="36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78" w:lineRule="exact"/>
        <w:rPr>
          <w:rFonts w:ascii="Courier New" w:cs="Courier New" w:eastAsia="Courier New" w:hAnsi="Courier New"/>
          <w:sz w:val="15"/>
          <w:szCs w:val="15"/>
          <w:color w:val="auto"/>
        </w:rPr>
      </w:pPr>
    </w:p>
    <w:p>
      <w:pPr>
        <w:ind w:left="10" w:right="3259" w:firstLine="431"/>
        <w:spacing w:after="0" w:line="238" w:lineRule="auto"/>
        <w:tabs>
          <w:tab w:leader="none" w:pos="1508"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fees)incurred by other employees and agents may be so paid upon such terms and conditions, if any, as the board of directors deems appropriate.</w:t>
      </w:r>
    </w:p>
    <w:p>
      <w:pPr>
        <w:spacing w:after="0" w:line="179" w:lineRule="exact"/>
        <w:rPr>
          <w:rFonts w:ascii="Courier New" w:cs="Courier New" w:eastAsia="Courier New" w:hAnsi="Courier New"/>
          <w:sz w:val="15"/>
          <w:szCs w:val="15"/>
          <w:color w:val="auto"/>
        </w:rPr>
      </w:pPr>
    </w:p>
    <w:p>
      <w:pPr>
        <w:ind w:left="10" w:right="3439" w:firstLine="431"/>
        <w:spacing w:after="0" w:line="238" w:lineRule="auto"/>
        <w:tabs>
          <w:tab w:leader="none" w:pos="2213"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9"/>
          </w:cols>
          <w:pgMar w:left="23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439" w:firstLine="431"/>
        <w:spacing w:after="0" w:line="257" w:lineRule="auto"/>
        <w:tabs>
          <w:tab w:leader="none" w:pos="149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66" w:lineRule="exact"/>
        <w:rPr>
          <w:rFonts w:ascii="Courier New" w:cs="Courier New" w:eastAsia="Courier New" w:hAnsi="Courier New"/>
          <w:sz w:val="14"/>
          <w:szCs w:val="14"/>
          <w:color w:val="auto"/>
        </w:rPr>
      </w:pPr>
    </w:p>
    <w:p>
      <w:pPr>
        <w:ind w:right="3259" w:firstLine="431"/>
        <w:spacing w:after="0" w:line="238" w:lineRule="auto"/>
        <w:tabs>
          <w:tab w:leader="none" w:pos="149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82" w:lineRule="exact"/>
        <w:rPr>
          <w:rFonts w:ascii="Courier New" w:cs="Courier New" w:eastAsia="Courier New" w:hAnsi="Courier New"/>
          <w:sz w:val="15"/>
          <w:szCs w:val="15"/>
          <w:color w:val="auto"/>
        </w:rPr>
      </w:pPr>
    </w:p>
    <w:p>
      <w:pPr>
        <w:ind w:right="3259" w:firstLine="431"/>
        <w:spacing w:after="0" w:line="238" w:lineRule="auto"/>
        <w:tabs>
          <w:tab w:leader="none" w:pos="220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81" w:lineRule="exact"/>
        <w:rPr>
          <w:rFonts w:ascii="Courier New" w:cs="Courier New" w:eastAsia="Courier New" w:hAnsi="Courier New"/>
          <w:sz w:val="15"/>
          <w:szCs w:val="15"/>
          <w:color w:val="auto"/>
        </w:rPr>
      </w:pPr>
    </w:p>
    <w:p>
      <w:pPr>
        <w:ind w:right="3259" w:firstLine="431"/>
        <w:spacing w:after="0" w:line="237" w:lineRule="auto"/>
        <w:tabs>
          <w:tab w:leader="none" w:pos="220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78" w:lineRule="exact"/>
        <w:rPr>
          <w:rFonts w:ascii="Courier New" w:cs="Courier New" w:eastAsia="Courier New" w:hAnsi="Courier New"/>
          <w:sz w:val="15"/>
          <w:szCs w:val="15"/>
          <w:color w:val="auto"/>
        </w:rPr>
      </w:pPr>
    </w:p>
    <w:p>
      <w:pPr>
        <w:ind w:right="3259" w:firstLine="431"/>
        <w:spacing w:after="0" w:line="238" w:lineRule="auto"/>
        <w:tabs>
          <w:tab w:leader="none" w:pos="149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76"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 Restated Certificate of Incorporation of the Registrant includes the following provision:</w:t>
      </w:r>
    </w:p>
    <w:p>
      <w:pPr>
        <w:spacing w:after="0" w:line="176" w:lineRule="exact"/>
        <w:rPr>
          <w:sz w:val="20"/>
          <w:szCs w:val="20"/>
          <w:color w:val="auto"/>
        </w:rPr>
      </w:pPr>
    </w:p>
    <w:p>
      <w:pPr>
        <w:ind w:left="440" w:right="3259" w:firstLine="352"/>
        <w:spacing w:after="0" w:line="256" w:lineRule="auto"/>
        <w:rPr>
          <w:sz w:val="20"/>
          <w:szCs w:val="20"/>
          <w:color w:val="auto"/>
        </w:rPr>
      </w:pPr>
      <w:r>
        <w:rPr>
          <w:rFonts w:ascii="Courier New" w:cs="Courier New" w:eastAsia="Courier New" w:hAnsi="Courier New"/>
          <w:sz w:val="14"/>
          <w:szCs w:val="14"/>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19"/>
          </w:cols>
          <w:pgMar w:left="240" w:top="283"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jc w:val="both"/>
        <w:ind w:left="440" w:right="3359"/>
        <w:spacing w:after="0" w:line="237" w:lineRule="auto"/>
        <w:rPr>
          <w:sz w:val="20"/>
          <w:szCs w:val="20"/>
          <w:color w:val="auto"/>
        </w:rPr>
      </w:pPr>
      <w:r>
        <w:rPr>
          <w:rFonts w:ascii="Courier New" w:cs="Courier New" w:eastAsia="Courier New" w:hAnsi="Courier New"/>
          <w:sz w:val="15"/>
          <w:szCs w:val="15"/>
          <w:color w:val="auto"/>
        </w:rPr>
        <w:t>person seeking indemnification under this Article shall be deemed to have met the standard of conduct required for such indemnification unless the contrary shall be established.</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348"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344" w:lineRule="exact"/>
        <w:rPr>
          <w:sz w:val="20"/>
          <w:szCs w:val="20"/>
          <w:color w:val="auto"/>
        </w:rPr>
      </w:pPr>
    </w:p>
    <w:p>
      <w:pPr>
        <w:ind w:left="1480" w:right="3439" w:hanging="1145"/>
        <w:spacing w:after="0" w:line="237" w:lineRule="auto"/>
        <w:tabs>
          <w:tab w:leader="none" w:pos="1460" w:val="left"/>
        </w:tabs>
        <w:rPr>
          <w:sz w:val="20"/>
          <w:szCs w:val="20"/>
          <w:color w:val="auto"/>
        </w:rPr>
      </w:pPr>
      <w:r>
        <w:rPr>
          <w:rFonts w:ascii="Courier New" w:cs="Courier New" w:eastAsia="Courier New" w:hAnsi="Courier New"/>
          <w:sz w:val="15"/>
          <w:szCs w:val="15"/>
          <w:color w:val="auto"/>
        </w:rPr>
        <w:t>3 .1</w:t>
      </w:r>
      <w:r>
        <w:rPr>
          <w:sz w:val="20"/>
          <w:szCs w:val="20"/>
          <w:color w:val="auto"/>
        </w:rPr>
        <w:tab/>
      </w:r>
      <w:r>
        <w:rPr>
          <w:rFonts w:ascii="Courier New" w:cs="Courier New" w:eastAsia="Courier New" w:hAnsi="Courier New"/>
          <w:sz w:val="15"/>
          <w:szCs w:val="15"/>
          <w:color w:val="auto"/>
        </w:rPr>
        <w:t>- Restated Certificate of Incorporation [Incorporated by reference to Exhibit 3.1 to the Post- Effective Amendment No. 1 to the Registrant's Registration Statement on Form S-4 (File No. 33- 60103)].</w:t>
      </w:r>
    </w:p>
    <w:p>
      <w:pPr>
        <w:spacing w:after="0" w:line="176" w:lineRule="exact"/>
        <w:rPr>
          <w:sz w:val="20"/>
          <w:szCs w:val="20"/>
          <w:color w:val="auto"/>
        </w:rPr>
      </w:pPr>
    </w:p>
    <w:p>
      <w:pPr>
        <w:ind w:left="1480" w:right="3359" w:hanging="1145"/>
        <w:spacing w:after="0" w:line="237" w:lineRule="auto"/>
        <w:tabs>
          <w:tab w:leader="none" w:pos="1460" w:val="left"/>
        </w:tabs>
        <w:rPr>
          <w:sz w:val="20"/>
          <w:szCs w:val="20"/>
          <w:color w:val="auto"/>
        </w:rPr>
      </w:pPr>
      <w:r>
        <w:rPr>
          <w:rFonts w:ascii="Courier New" w:cs="Courier New" w:eastAsia="Courier New" w:hAnsi="Courier New"/>
          <w:sz w:val="15"/>
          <w:szCs w:val="15"/>
          <w:color w:val="auto"/>
        </w:rPr>
        <w:t>3 .1(a)</w:t>
        <w:tab/>
        <w:t>- Amendment to Registrant's Restated Certificate of Incorporation [Incorporated by reference to Exhibit 3.1(a) to the Registrant's Quarterly Report on Form 10-Q for the three months ended March 31, 1996].</w:t>
      </w:r>
    </w:p>
    <w:p>
      <w:pPr>
        <w:spacing w:after="0" w:line="176" w:lineRule="exact"/>
        <w:rPr>
          <w:sz w:val="20"/>
          <w:szCs w:val="20"/>
          <w:color w:val="auto"/>
        </w:rPr>
      </w:pPr>
    </w:p>
    <w:p>
      <w:pPr>
        <w:ind w:left="1480" w:right="3359" w:hanging="1145"/>
        <w:spacing w:after="0" w:line="237" w:lineRule="auto"/>
        <w:tabs>
          <w:tab w:leader="none" w:pos="1460" w:val="left"/>
        </w:tabs>
        <w:rPr>
          <w:sz w:val="20"/>
          <w:szCs w:val="20"/>
          <w:color w:val="auto"/>
        </w:rPr>
      </w:pPr>
      <w:r>
        <w:rPr>
          <w:rFonts w:ascii="Courier New" w:cs="Courier New" w:eastAsia="Courier New" w:hAnsi="Courier New"/>
          <w:sz w:val="15"/>
          <w:szCs w:val="15"/>
          <w:color w:val="auto"/>
        </w:rPr>
        <w:t>3 .1(b)</w:t>
        <w:tab/>
        <w:t>- Conformed Copy of Registrant's Restated Certificate of Incorporation [Incorporated by reference to Exhibit 3.1(b) to the Registrant's Quarterly Report on Form 10-Q for the three months ended March 31, 1996].</w:t>
      </w:r>
    </w:p>
    <w:p>
      <w:pPr>
        <w:spacing w:after="0" w:line="176" w:lineRule="exact"/>
        <w:rPr>
          <w:sz w:val="20"/>
          <w:szCs w:val="20"/>
          <w:color w:val="auto"/>
        </w:rPr>
      </w:pPr>
    </w:p>
    <w:p>
      <w:pPr>
        <w:ind w:left="1480" w:right="3539" w:hanging="1145"/>
        <w:spacing w:after="0" w:line="237" w:lineRule="auto"/>
        <w:tabs>
          <w:tab w:leader="none" w:pos="1460" w:val="left"/>
        </w:tabs>
        <w:rPr>
          <w:sz w:val="20"/>
          <w:szCs w:val="20"/>
          <w:color w:val="auto"/>
        </w:rPr>
      </w:pPr>
      <w:r>
        <w:rPr>
          <w:rFonts w:ascii="Courier New" w:cs="Courier New" w:eastAsia="Courier New" w:hAnsi="Courier New"/>
          <w:sz w:val="15"/>
          <w:szCs w:val="15"/>
          <w:color w:val="auto"/>
        </w:rPr>
        <w:t>3 .2</w:t>
      </w:r>
      <w:r>
        <w:rPr>
          <w:sz w:val="20"/>
          <w:szCs w:val="20"/>
          <w:color w:val="auto"/>
        </w:rPr>
        <w:tab/>
      </w:r>
      <w:r>
        <w:rPr>
          <w:rFonts w:ascii="Courier New" w:cs="Courier New" w:eastAsia="Courier New" w:hAnsi="Courier New"/>
          <w:sz w:val="15"/>
          <w:szCs w:val="15"/>
          <w:color w:val="auto"/>
        </w:rPr>
        <w:t>- Bylaws [Incorporated by reference to Exhibit 3.2 to the Post-Effective Amendment No. 1 to the Registrant's Registration Statement on Form S-4 (File No. 33-60103)].</w:t>
      </w:r>
    </w:p>
    <w:p>
      <w:pPr>
        <w:spacing w:after="0" w:line="175" w:lineRule="exact"/>
        <w:rPr>
          <w:sz w:val="20"/>
          <w:szCs w:val="20"/>
          <w:color w:val="auto"/>
        </w:rPr>
      </w:pPr>
    </w:p>
    <w:p>
      <w:pPr>
        <w:ind w:left="1480" w:right="3439" w:hanging="1145"/>
        <w:spacing w:after="0" w:line="237" w:lineRule="auto"/>
        <w:tabs>
          <w:tab w:leader="none" w:pos="1460" w:val="left"/>
        </w:tabs>
        <w:rPr>
          <w:sz w:val="20"/>
          <w:szCs w:val="20"/>
          <w:color w:val="auto"/>
        </w:rPr>
      </w:pPr>
      <w:r>
        <w:rPr>
          <w:rFonts w:ascii="Courier New" w:cs="Courier New" w:eastAsia="Courier New" w:hAnsi="Courier New"/>
          <w:sz w:val="15"/>
          <w:szCs w:val="15"/>
          <w:color w:val="auto"/>
        </w:rPr>
        <w:t>4 .2</w:t>
      </w:r>
      <w:r>
        <w:rPr>
          <w:sz w:val="20"/>
          <w:szCs w:val="20"/>
          <w:color w:val="auto"/>
        </w:rPr>
        <w:tab/>
      </w:r>
      <w:r>
        <w:rPr>
          <w:rFonts w:ascii="Courier New" w:cs="Courier New" w:eastAsia="Courier New" w:hAnsi="Courier New"/>
          <w:sz w:val="15"/>
          <w:szCs w:val="15"/>
          <w:color w:val="auto"/>
        </w:rPr>
        <w:t>- Specimen Stock Certificate [Incorporated by reference to Exhibit 4.3 of the Registrant's Registration Statement on Form S-3 (File No. 33-76224)].</w:t>
      </w:r>
    </w:p>
    <w:p>
      <w:pPr>
        <w:spacing w:after="0" w:line="169" w:lineRule="exact"/>
        <w:rPr>
          <w:sz w:val="20"/>
          <w:szCs w:val="20"/>
          <w:color w:val="auto"/>
        </w:rPr>
      </w:pPr>
    </w:p>
    <w:p>
      <w:pPr>
        <w:ind w:left="600"/>
        <w:spacing w:after="0"/>
        <w:tabs>
          <w:tab w:leader="none" w:pos="1460" w:val="left"/>
          <w:tab w:leader="none" w:pos="1740" w:val="left"/>
        </w:tabs>
        <w:rPr>
          <w:sz w:val="20"/>
          <w:szCs w:val="20"/>
          <w:color w:val="auto"/>
        </w:rPr>
      </w:pPr>
      <w:r>
        <w:rPr>
          <w:rFonts w:ascii="Courier New" w:cs="Courier New" w:eastAsia="Courier New" w:hAnsi="Courier New"/>
          <w:sz w:val="15"/>
          <w:szCs w:val="15"/>
          <w:color w:val="auto"/>
        </w:rPr>
        <w:t>5 .1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Opinion of Snell &amp; Smith, A Professional Corporation.</w:t>
      </w:r>
    </w:p>
    <w:p>
      <w:pPr>
        <w:spacing w:after="0" w:line="175" w:lineRule="exact"/>
        <w:rPr>
          <w:sz w:val="20"/>
          <w:szCs w:val="20"/>
          <w:color w:val="auto"/>
        </w:rPr>
      </w:pPr>
    </w:p>
    <w:p>
      <w:pPr>
        <w:ind w:left="1480" w:right="3259" w:hanging="1145"/>
        <w:spacing w:after="0" w:line="237" w:lineRule="auto"/>
        <w:tabs>
          <w:tab w:leader="none" w:pos="14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- 1990 Stock Option Plan [Incorporated by reference to Exhibit 10.1 of the Registrant's Annual Report on Form 10-K for the year ended December 31, 1990].</w:t>
      </w:r>
    </w:p>
    <w:p>
      <w:pPr>
        <w:spacing w:after="0" w:line="175" w:lineRule="exact"/>
        <w:rPr>
          <w:sz w:val="20"/>
          <w:szCs w:val="20"/>
          <w:color w:val="auto"/>
        </w:rPr>
      </w:pPr>
    </w:p>
    <w:p>
      <w:pPr>
        <w:ind w:left="1480" w:right="3439" w:hanging="1145"/>
        <w:spacing w:after="0" w:line="237" w:lineRule="auto"/>
        <w:tabs>
          <w:tab w:leader="none" w:pos="14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- 1993 Stock Incentive Plan [Incorporated by reference to Exhibit 4.4 of the Registrant's Registration Statement on Form S-8 (File No. 33-72436)].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28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left="1220" w:right="3259" w:hanging="1145"/>
        <w:spacing w:after="0" w:line="237" w:lineRule="auto"/>
        <w:tabs>
          <w:tab w:leader="none" w:pos="120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 Envirofil, Inc. 1993 Stock Incentive Plan [Incorporated by reference to Exhibit 10.3 of the Registrant's Annual Report on Form 10-K for the year ended December 31, 1994].</w:t>
      </w:r>
    </w:p>
    <w:p>
      <w:pPr>
        <w:spacing w:after="0" w:line="175" w:lineRule="exact"/>
        <w:rPr>
          <w:sz w:val="20"/>
          <w:szCs w:val="20"/>
          <w:color w:val="auto"/>
        </w:rPr>
      </w:pPr>
    </w:p>
    <w:p>
      <w:pPr>
        <w:ind w:left="1220" w:right="3359" w:hanging="1145"/>
        <w:spacing w:after="0" w:line="237" w:lineRule="auto"/>
        <w:tabs>
          <w:tab w:leader="none" w:pos="120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 Form of Employment Agreement between the Registrant and each of John E. Drury, Donald F. Moorehead, Jr., David Sutherland-Yoest, and Charles A. Wilcox [Incorporated by reference to Exhibit 10.18 of the Registrant's Annual Report on Form 10-K for the year ended December 31, 1994].</w:t>
      </w:r>
    </w:p>
    <w:p>
      <w:pPr>
        <w:spacing w:after="0" w:line="178" w:lineRule="exact"/>
        <w:rPr>
          <w:sz w:val="20"/>
          <w:szCs w:val="20"/>
          <w:color w:val="auto"/>
        </w:rPr>
      </w:pPr>
    </w:p>
    <w:p>
      <w:pPr>
        <w:ind w:left="1220" w:right="3259" w:hanging="1145"/>
        <w:spacing w:after="0" w:line="237" w:lineRule="auto"/>
        <w:tabs>
          <w:tab w:leader="none" w:pos="120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 Employment Agreement between the Registrant and Earl E. DeFrates [Incorporated by reference to Exhibit 10.19 of the Registrant's Annual Report on Form 10-K for the year ended December 31, 1994].</w:t>
      </w:r>
    </w:p>
    <w:p>
      <w:pPr>
        <w:spacing w:after="0" w:line="176" w:lineRule="exact"/>
        <w:rPr>
          <w:sz w:val="20"/>
          <w:szCs w:val="20"/>
          <w:color w:val="auto"/>
        </w:rPr>
      </w:pPr>
    </w:p>
    <w:p>
      <w:pPr>
        <w:ind w:left="1220" w:right="3259" w:hanging="1145"/>
        <w:spacing w:after="0" w:line="237" w:lineRule="auto"/>
        <w:tabs>
          <w:tab w:leader="none" w:pos="120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 Employment Agreement between the Registrant and Gregory T. Sangalis [Incorporated by reference to Exhibit 10.17 to the Registrant's Registration Statement on Form S-4 (File No. 33-59259)].</w:t>
      </w:r>
    </w:p>
    <w:p>
      <w:pPr>
        <w:spacing w:after="0" w:line="176" w:lineRule="exact"/>
        <w:rPr>
          <w:sz w:val="20"/>
          <w:szCs w:val="20"/>
          <w:color w:val="auto"/>
        </w:rPr>
      </w:pPr>
    </w:p>
    <w:p>
      <w:pPr>
        <w:ind w:left="1220" w:right="3259" w:hanging="1145"/>
        <w:spacing w:after="0" w:line="238" w:lineRule="auto"/>
        <w:tabs>
          <w:tab w:leader="none" w:pos="120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 Amended and Restated Revolving Credit Agreement dated as of August 30, 1996, among the Registrant, The First National Bank of Boston, Bank of America Illinois, Morgan Guaranty Trust Company of New York, J.P. Morgan Canada, and other financial institutions [Incorporated by reference to Exhibit 10.1 of the Registrant's Current Report on Form 8-K dated September 3, 1996].</w:t>
      </w:r>
    </w:p>
    <w:p>
      <w:pPr>
        <w:spacing w:after="0" w:line="177" w:lineRule="exact"/>
        <w:rPr>
          <w:sz w:val="20"/>
          <w:szCs w:val="20"/>
          <w:color w:val="auto"/>
        </w:rPr>
      </w:pPr>
    </w:p>
    <w:p>
      <w:pPr>
        <w:ind w:left="1220" w:right="3359" w:hanging="1145"/>
        <w:spacing w:after="0" w:line="238" w:lineRule="auto"/>
        <w:tabs>
          <w:tab w:leader="none" w:pos="120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 Shareholders Agreement dated December 18, 1995, among USA Waste Services, Inc., Donald F. Moorehead, Jr., John E. Drury, John G. Rangos, Sr., John G. Rangos, Jr., Alexander W. Rangos, and John Rangos Development Corporation, Inc. [Incorporated by reference to Exhibit 1 to Schedule 13D dated December 17, 1995 relating to the Registrant].</w:t>
      </w:r>
    </w:p>
    <w:p>
      <w:pPr>
        <w:spacing w:after="0" w:line="176" w:lineRule="exact"/>
        <w:rPr>
          <w:sz w:val="20"/>
          <w:szCs w:val="20"/>
          <w:color w:val="auto"/>
        </w:rPr>
      </w:pPr>
    </w:p>
    <w:p>
      <w:pPr>
        <w:ind w:left="1220" w:right="3359" w:hanging="1145"/>
        <w:spacing w:after="0" w:line="237" w:lineRule="auto"/>
        <w:tabs>
          <w:tab w:leader="none" w:pos="12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 Consulting and Non-Compete Agreement dated June 25, 1995, between the Registrant and John G. Rangos, Sr. [Incorporated by reference to Exhibit 10.21 to the Registrant's Quarterly Report on Form 10-Q/A for the three months ended June 30, 1995].</w:t>
      </w:r>
    </w:p>
    <w:p>
      <w:pPr>
        <w:spacing w:after="0" w:line="178" w:lineRule="exact"/>
        <w:rPr>
          <w:sz w:val="20"/>
          <w:szCs w:val="20"/>
          <w:color w:val="auto"/>
        </w:rPr>
      </w:pPr>
    </w:p>
    <w:p>
      <w:pPr>
        <w:ind w:left="1220" w:right="3439" w:hanging="1145"/>
        <w:spacing w:after="0" w:line="237" w:lineRule="auto"/>
        <w:tabs>
          <w:tab w:leader="none" w:pos="120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 Employment Agreement dated June 25, 1995, between the Registrant and Alexander W. Rangos [Incorporated by reference to Exhibit 10.22 to the Registrant's Quarterly Report on Form 10-Q/A for the three months ended June 30, 1995].</w:t>
      </w:r>
    </w:p>
    <w:p>
      <w:pPr>
        <w:spacing w:after="0" w:line="178" w:lineRule="exact"/>
        <w:rPr>
          <w:sz w:val="20"/>
          <w:szCs w:val="20"/>
          <w:color w:val="auto"/>
        </w:rPr>
      </w:pPr>
    </w:p>
    <w:p>
      <w:pPr>
        <w:jc w:val="both"/>
        <w:ind w:left="1220" w:right="3359" w:hanging="1145"/>
        <w:spacing w:after="0" w:line="237" w:lineRule="auto"/>
        <w:tabs>
          <w:tab w:leader="none" w:pos="120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 Employment Agreement dated December 19, 1995, between the Registrant and Kosti Shirvanian [Incorporated by reference to Exhibit 10.18 to the Registrant's Annual Report on Form 10-K for the year ended December 31, 1995].</w:t>
      </w:r>
    </w:p>
    <w:p>
      <w:pPr>
        <w:spacing w:after="0" w:line="176" w:lineRule="exact"/>
        <w:rPr>
          <w:sz w:val="20"/>
          <w:szCs w:val="20"/>
          <w:color w:val="auto"/>
        </w:rPr>
      </w:pPr>
    </w:p>
    <w:p>
      <w:pPr>
        <w:ind w:left="1220" w:right="3359" w:hanging="1145"/>
        <w:spacing w:after="0" w:line="238" w:lineRule="auto"/>
        <w:tabs>
          <w:tab w:leader="none" w:pos="120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 Amended and Restated Plan and Agreement of Reorganization dated March 29, 1994, among the Registrant, Envirofil Acquisition Corporation, a Delaware corporation and wholly owned subsidiary of the Registrant, and Envirofil, Inc., a Delaware corporation [Incorporated by reference to Exhibit 2.1 to the Registrant's Registration Statement on Form S-4 (File No. 33-77110)].</w:t>
      </w:r>
    </w:p>
    <w:p>
      <w:pPr>
        <w:spacing w:after="0" w:line="177" w:lineRule="exact"/>
        <w:rPr>
          <w:sz w:val="20"/>
          <w:szCs w:val="20"/>
          <w:color w:val="auto"/>
        </w:rPr>
      </w:pPr>
    </w:p>
    <w:p>
      <w:pPr>
        <w:ind w:left="1220" w:right="3359" w:hanging="1145"/>
        <w:spacing w:after="0" w:line="238" w:lineRule="auto"/>
        <w:tabs>
          <w:tab w:leader="none" w:pos="120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 Amended and Restated Agreement and Plan of Merger dated as of November 28, 1994, among the Registrant, Chambers Acquisition Corporation, a Delaware corporation and wholly owned subsidiary of the Registrant, and Chambers Development Company, Inc., a Delaware corporation [Incorporated by reference to Exhibit 2.1 of the Registrant's Registration Statement on Form S-4 (File No. 33- 59259)].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959"/>
          </w:cols>
          <w:pgMar w:left="500" w:top="28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21</w:t>
      </w:r>
    </w:p>
    <w:tbl>
      <w:tblPr>
        <w:tblLayout w:type="fixed"/>
        <w:tblInd w:w="340" w:type="dxa"/>
        <w:tblCellMar>
          <w:top w:w="0" w:type="dxa"/>
          <w:left w:w="0" w:type="dxa"/>
          <w:bottom w:w="0" w:type="dxa"/>
          <w:right w:w="0" w:type="dxa"/>
        </w:tblCellMar>
      </w:tblP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10.14</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Amendment to Amended and Restated Agreement and Plan of</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w w:val="99"/>
              </w:rPr>
              <w:t>Merger dated June 27, 1995, among the Registrant, Chambers</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w w:val="99"/>
              </w:rPr>
              <w:t>Acquisition Corporation, and Chambers Development Company,</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Inc. [Incorporated by reference to Exhibit 2.2 to the</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Registrant's Current Report on Form 8-K dated June 30,</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10.15</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w w:val="97"/>
              </w:rPr>
              <w:t>Agreement and Plan of Merger dated as of December 18, 1995,</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w w:val="99"/>
              </w:rPr>
              <w:t>among the Registrant, Riviera Acquisition Corporation, and</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Western Waste Industries [Incorporated by reference to</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Appendix A to the Registrant's Registration Statement on</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Form S-4 (Registration No. 333-02181)].</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10.16</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Amendment No. 1 to the Agreement and Plan of Merger dated</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May 1, 1996, among the Registrant, Riviera Acquisition</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w w:val="99"/>
              </w:rPr>
              <w:t>Corporation, and Western Waste Industries [Incorporated by</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w w:val="97"/>
              </w:rPr>
              <w:t>reference to Exhibit 2.2 to the Registrant's Current Report</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on Form 8-K dated May 7, 1996].</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10.17</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Agreement and Plan of Merger dated as of June 22, 1996,</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among the Registrant, Quatro Acquisition Corp., and</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w w:val="97"/>
              </w:rPr>
              <w:t>Sanifill, Inc. [Incorporated by reference to Exhibit 2.1 to</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the Registrant's Registration Statement on Form S-4 (File</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No. 333-08161)].</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10.18</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Agreement dated June 21, 1996, among the Registrant, D.</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Moorehead, Jr., J. Drury, J. Rangos, Sr., A.  Rangos, J.</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Rangos, Jr., and Rangos Development Corporation</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w w:val="99"/>
              </w:rPr>
              <w:t>[Incorporated by reference to Exhibit 10.1 to Registrant's</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S-4 (Registration No.</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333-08161)].</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10.19</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Employment and Noncompetition Agreement dated June 22,</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1996, among the Registrant, Sanifill, Inc., and Lorne D.</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Bain [Incorporated by reference to Exhibit 10.2 to</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Registrant's Registration Statement on Form S-4</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333-08161)].</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Letter Agreement dated December 18, 1996, between the</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w w:val="99"/>
              </w:rPr>
              <w:t>Registrant and Kosti Shirvanian [Incorporated by reference</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to Exhibit 10.3 to Registrant's Registration Statement on</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Form S-4 (Registration No. 33-08161)].</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10.21</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Letter Agreement dated June 21, 1996, between the</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w w:val="99"/>
              </w:rPr>
              <w:t>Registrant and Kosti Shirvanian [Incorporated by reference</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to Exhibit 10.4 to Registrant's Registration Statement on</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Form S-4 (Registration No. 333- 08161)].</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10.22</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Letter Agreement dated June 17, 1996,</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between the Registrant and Sanifill, Inc., regarding</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w w:val="99"/>
              </w:rPr>
              <w:t>indemnification provisions of certificate of incorporation</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w w:val="99"/>
              </w:rPr>
              <w:t>[Incorporated by reference to Exhibit 10.5 to Registrant's</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S-4 (Registration No.</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333-08161)].</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10.23</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Employment and Noncompetition Agreement dated July 19,</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1996, among the Registrant, Sanifill, Inc., and J. Chris</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Brewster [Incorporated by reference to Exhibit 10.8 to</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Registrant's Registration Statement on Form S-4</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333-08161)].</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10.24</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Sanifill 1994 Long-Term Incentive Plan [Incorporated by</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reference to Exhibit 99.1 to Registrant's Post-Effective</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Amendment on Form S-8 to Form S-4 (File No. 333-08161)].</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10.25</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Sanifill, Inc. 1989 Stock Option Plan [Incorporated by</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reference to Exhibit 99.2 to Registrant's Post-Effective</w:t>
            </w:r>
          </w:p>
        </w:tc>
      </w:t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ind w:left="100"/>
              <w:spacing w:after="0"/>
              <w:rPr>
                <w:sz w:val="20"/>
                <w:szCs w:val="20"/>
                <w:color w:val="auto"/>
              </w:rPr>
            </w:pPr>
            <w:r>
              <w:rPr>
                <w:rFonts w:ascii="Courier New" w:cs="Courier New" w:eastAsia="Courier New" w:hAnsi="Courier New"/>
                <w:sz w:val="15"/>
                <w:szCs w:val="15"/>
                <w:color w:val="auto"/>
              </w:rPr>
              <w:t>Amendment on Form S-8 to Form S-4 (File No. 333-08161)].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9959"/>
          </w:cols>
          <w:pgMar w:left="500" w:top="283" w:right="1440" w:bottom="1440" w:gutter="0" w:footer="0" w:header="0"/>
        </w:sectPr>
      </w:pPr>
    </w:p>
    <w:bookmarkStart w:id="21" w:name="page22"/>
    <w:bookmarkEnd w:id="21"/>
    <w:p>
      <w:pPr>
        <w:ind w:left="27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left="1490" w:right="3439" w:hanging="1145"/>
        <w:spacing w:after="0" w:line="237" w:lineRule="auto"/>
        <w:tabs>
          <w:tab w:leader="none" w:pos="1469" w:val="left"/>
        </w:tabs>
        <w:rPr>
          <w:sz w:val="20"/>
          <w:szCs w:val="20"/>
          <w:color w:val="auto"/>
        </w:rPr>
      </w:pPr>
      <w:r>
        <w:rPr>
          <w:rFonts w:ascii="Courier New" w:cs="Courier New" w:eastAsia="Courier New" w:hAnsi="Courier New"/>
          <w:sz w:val="15"/>
          <w:szCs w:val="15"/>
          <w:color w:val="auto"/>
        </w:rPr>
        <w:t>10.26</w:t>
      </w:r>
      <w:r>
        <w:rPr>
          <w:sz w:val="20"/>
          <w:szCs w:val="20"/>
          <w:color w:val="auto"/>
        </w:rPr>
        <w:tab/>
      </w:r>
      <w:r>
        <w:rPr>
          <w:rFonts w:ascii="Courier New" w:cs="Courier New" w:eastAsia="Courier New" w:hAnsi="Courier New"/>
          <w:sz w:val="15"/>
          <w:szCs w:val="15"/>
          <w:color w:val="auto"/>
        </w:rPr>
        <w:t>- Warrant to Purchase 100,000 shares of Common Stock of Sanifill, Inc. [Incorporated by reference to Exhibit 99.3 to Registrant's Post Effective Amendment on Form S-8 to Form S-4 (File No. 333-08161)].</w:t>
      </w:r>
    </w:p>
    <w:p>
      <w:pPr>
        <w:spacing w:after="0" w:line="176" w:lineRule="exact"/>
        <w:rPr>
          <w:sz w:val="20"/>
          <w:szCs w:val="20"/>
          <w:color w:val="auto"/>
        </w:rPr>
      </w:pPr>
    </w:p>
    <w:p>
      <w:pPr>
        <w:ind w:left="1770" w:right="3439" w:hanging="1153"/>
        <w:spacing w:after="0" w:line="260" w:lineRule="auto"/>
        <w:tabs>
          <w:tab w:leader="none" w:pos="150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Subsidiaries of the Registrant [Incorporated by reference to Exhibit 21.1 to the Registrant's Annual Report on Form 10-K for the year ended December 31, 1995].</w:t>
      </w:r>
    </w:p>
    <w:p>
      <w:pPr>
        <w:spacing w:after="0" w:line="163" w:lineRule="exact"/>
        <w:rPr>
          <w:sz w:val="20"/>
          <w:szCs w:val="20"/>
          <w:color w:val="auto"/>
        </w:rPr>
      </w:pPr>
    </w:p>
    <w:p>
      <w:pPr>
        <w:ind w:left="1490" w:right="3879" w:hanging="1145"/>
        <w:spacing w:after="0" w:line="235" w:lineRule="auto"/>
        <w:tabs>
          <w:tab w:leader="none" w:pos="146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 Consent of Snell &amp; Smith, A Professional Corporation [Contained in Exhibit 5.1].</w:t>
      </w:r>
    </w:p>
    <w:p>
      <w:pPr>
        <w:spacing w:after="0" w:line="170" w:lineRule="exact"/>
        <w:rPr>
          <w:sz w:val="20"/>
          <w:szCs w:val="20"/>
          <w:color w:val="auto"/>
        </w:rPr>
      </w:pPr>
    </w:p>
    <w:p>
      <w:pPr>
        <w:ind w:left="610" w:hanging="257"/>
        <w:spacing w:after="0"/>
        <w:tabs>
          <w:tab w:leader="none" w:pos="61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23.2</w:t>
      </w:r>
      <w:r>
        <w:rPr>
          <w:rFonts w:ascii="Courier New" w:cs="Courier New" w:eastAsia="Courier New" w:hAnsi="Courier New"/>
          <w:sz w:val="14"/>
          <w:szCs w:val="14"/>
          <w:color w:val="auto"/>
        </w:rPr>
        <w:t>-  Consent of Coopers &amp; Lybrand L.L.P.</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23.3</w:t>
      </w:r>
      <w:r>
        <w:rPr>
          <w:rFonts w:ascii="Courier New" w:cs="Courier New" w:eastAsia="Courier New" w:hAnsi="Courier New"/>
          <w:sz w:val="14"/>
          <w:szCs w:val="14"/>
          <w:color w:val="auto"/>
        </w:rPr>
        <w:t>-  Consent of Deloitte &amp; Touche LLP.</w:t>
      </w:r>
    </w:p>
    <w:p>
      <w:pPr>
        <w:spacing w:after="0" w:line="338"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23.4</w:t>
      </w:r>
      <w:r>
        <w:rPr>
          <w:rFonts w:ascii="Courier New" w:cs="Courier New" w:eastAsia="Courier New" w:hAnsi="Courier New"/>
          <w:sz w:val="14"/>
          <w:szCs w:val="14"/>
          <w:color w:val="auto"/>
        </w:rPr>
        <w:t>-  Consent of Arthur Andersen LLP.</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23.5</w:t>
      </w:r>
      <w:r>
        <w:rPr>
          <w:rFonts w:ascii="Courier New" w:cs="Courier New" w:eastAsia="Courier New" w:hAnsi="Courier New"/>
          <w:sz w:val="14"/>
          <w:szCs w:val="14"/>
          <w:color w:val="auto"/>
        </w:rPr>
        <w:t>-  Consent of Ernst &amp; Young LLP.</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23.6</w:t>
      </w:r>
      <w:r>
        <w:rPr>
          <w:rFonts w:ascii="Courier New" w:cs="Courier New" w:eastAsia="Courier New" w:hAnsi="Courier New"/>
          <w:sz w:val="14"/>
          <w:szCs w:val="14"/>
          <w:color w:val="auto"/>
        </w:rPr>
        <w:t>-  Consent of Deloitte &amp; Touche Chartered Accountants</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23.7</w:t>
      </w:r>
      <w:r>
        <w:rPr>
          <w:rFonts w:ascii="Courier New" w:cs="Courier New" w:eastAsia="Courier New" w:hAnsi="Courier New"/>
          <w:sz w:val="14"/>
          <w:szCs w:val="14"/>
          <w:color w:val="auto"/>
        </w:rPr>
        <w:t>-  Consent of Coopers &amp; Lybrand L.L.P.</w:t>
      </w:r>
    </w:p>
    <w:p>
      <w:pPr>
        <w:spacing w:after="0" w:line="174" w:lineRule="exact"/>
        <w:rPr>
          <w:rFonts w:ascii="Courier New" w:cs="Courier New" w:eastAsia="Courier New" w:hAnsi="Courier New"/>
          <w:sz w:val="15"/>
          <w:szCs w:val="15"/>
          <w:color w:val="auto"/>
        </w:rPr>
      </w:pPr>
    </w:p>
    <w:p>
      <w:pPr>
        <w:ind w:left="1490" w:right="3799" w:hanging="1137"/>
        <w:spacing w:after="0" w:line="235" w:lineRule="auto"/>
        <w:tabs>
          <w:tab w:leader="none" w:pos="344"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23.8- Consent of Kaplan Sipos &amp; Associates Certified Public Accountants</w:t>
      </w:r>
    </w:p>
    <w:p>
      <w:pPr>
        <w:spacing w:after="0" w:line="170"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23.9</w:t>
      </w:r>
      <w:r>
        <w:rPr>
          <w:rFonts w:ascii="Courier New" w:cs="Courier New" w:eastAsia="Courier New" w:hAnsi="Courier New"/>
          <w:sz w:val="14"/>
          <w:szCs w:val="14"/>
          <w:color w:val="auto"/>
        </w:rPr>
        <w:t>-  Consent of Blake, Kuehler, Babione &amp; Pool</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23.10</w:t>
      </w:r>
      <w:r>
        <w:rPr>
          <w:rFonts w:ascii="Courier New" w:cs="Courier New" w:eastAsia="Courier New" w:hAnsi="Courier New"/>
          <w:sz w:val="14"/>
          <w:szCs w:val="14"/>
          <w:color w:val="auto"/>
        </w:rPr>
        <w:t>-  Consent of Buckno Lisicky &amp; Company</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23.11</w:t>
      </w:r>
      <w:r>
        <w:rPr>
          <w:rFonts w:ascii="Courier New" w:cs="Courier New" w:eastAsia="Courier New" w:hAnsi="Courier New"/>
          <w:sz w:val="14"/>
          <w:szCs w:val="14"/>
          <w:color w:val="auto"/>
        </w:rPr>
        <w:t>-  Consent of Osburn, Henning and Company</w:t>
      </w:r>
    </w:p>
    <w:p>
      <w:pPr>
        <w:spacing w:after="0" w:line="16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w:t>
      </w:r>
      <w:r>
        <w:rPr>
          <w:rFonts w:ascii="Courier New" w:cs="Courier New" w:eastAsia="Courier New" w:hAnsi="Courier New"/>
          <w:sz w:val="14"/>
          <w:szCs w:val="14"/>
          <w:color w:val="auto"/>
        </w:rPr>
        <w:t>-  Power of Attorney [Included on Page II-10].</w:t>
      </w:r>
    </w:p>
    <w:p>
      <w:pPr>
        <w:ind w:left="170" w:hanging="170"/>
        <w:spacing w:after="0"/>
        <w:tabs>
          <w:tab w:leader="none" w:pos="1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90" w:hanging="790"/>
        <w:spacing w:after="0"/>
        <w:tabs>
          <w:tab w:leader="none" w:pos="79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338"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69" w:lineRule="exact"/>
        <w:rPr>
          <w:sz w:val="20"/>
          <w:szCs w:val="20"/>
          <w:color w:val="auto"/>
        </w:rPr>
      </w:pPr>
    </w:p>
    <w:p>
      <w:pPr>
        <w:ind w:left="1490" w:hanging="696"/>
        <w:spacing w:after="0"/>
        <w:tabs>
          <w:tab w:leader="none" w:pos="14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4" w:lineRule="exact"/>
        <w:rPr>
          <w:rFonts w:ascii="Courier New" w:cs="Courier New" w:eastAsia="Courier New" w:hAnsi="Courier New"/>
          <w:sz w:val="15"/>
          <w:szCs w:val="15"/>
          <w:color w:val="auto"/>
        </w:rPr>
      </w:pPr>
    </w:p>
    <w:p>
      <w:pPr>
        <w:ind w:left="790" w:right="3439" w:firstLine="709"/>
        <w:spacing w:after="0" w:line="237" w:lineRule="auto"/>
        <w:tabs>
          <w:tab w:leader="none" w:pos="228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490" w:right="3259" w:firstLine="802"/>
        <w:spacing w:after="0" w:line="235" w:lineRule="auto"/>
        <w:tabs>
          <w:tab w:leader="none" w:pos="2988"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5" w:lineRule="exact"/>
        <w:rPr>
          <w:rFonts w:ascii="Courier New" w:cs="Courier New" w:eastAsia="Courier New" w:hAnsi="Courier New"/>
          <w:sz w:val="15"/>
          <w:szCs w:val="15"/>
          <w:color w:val="auto"/>
        </w:rPr>
      </w:pPr>
    </w:p>
    <w:p>
      <w:pPr>
        <w:ind w:left="1490" w:right="3359" w:firstLine="802"/>
        <w:spacing w:after="0" w:line="238" w:lineRule="auto"/>
        <w:tabs>
          <w:tab w:leader="none" w:pos="2988"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5" w:lineRule="exact"/>
        <w:rPr>
          <w:rFonts w:ascii="Courier New" w:cs="Courier New" w:eastAsia="Courier New" w:hAnsi="Courier New"/>
          <w:sz w:val="15"/>
          <w:szCs w:val="15"/>
          <w:color w:val="auto"/>
        </w:rPr>
      </w:pPr>
    </w:p>
    <w:p>
      <w:pPr>
        <w:ind w:left="1490" w:right="3439" w:firstLine="802"/>
        <w:spacing w:after="0" w:line="237" w:lineRule="auto"/>
        <w:tabs>
          <w:tab w:leader="none" w:pos="2988"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9"/>
          </w:cols>
          <w:pgMar w:left="230" w:top="28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left="520" w:right="3359"/>
        <w:spacing w:after="0" w:line="238" w:lineRule="auto"/>
        <w:rPr>
          <w:sz w:val="20"/>
          <w:szCs w:val="20"/>
          <w:color w:val="auto"/>
        </w:rPr>
      </w:pPr>
      <w:r>
        <w:rPr>
          <w:rFonts w:ascii="Courier New" w:cs="Courier New" w:eastAsia="Courier New" w:hAnsi="Courier New"/>
          <w:sz w:val="15"/>
          <w:szCs w:val="15"/>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76" w:lineRule="exact"/>
        <w:rPr>
          <w:sz w:val="20"/>
          <w:szCs w:val="20"/>
          <w:color w:val="auto"/>
        </w:rPr>
      </w:pPr>
    </w:p>
    <w:p>
      <w:pPr>
        <w:ind w:left="520" w:right="3439" w:firstLine="709"/>
        <w:spacing w:after="0" w:line="238" w:lineRule="auto"/>
        <w:tabs>
          <w:tab w:leader="none" w:pos="201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9" w:lineRule="exact"/>
        <w:rPr>
          <w:rFonts w:ascii="Courier New" w:cs="Courier New" w:eastAsia="Courier New" w:hAnsi="Courier New"/>
          <w:sz w:val="15"/>
          <w:szCs w:val="15"/>
          <w:color w:val="auto"/>
        </w:rPr>
      </w:pPr>
    </w:p>
    <w:p>
      <w:pPr>
        <w:ind w:left="2020" w:hanging="791"/>
        <w:spacing w:after="0"/>
        <w:tabs>
          <w:tab w:leader="none" w:pos="20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w:t>
      </w:r>
    </w:p>
    <w:p>
      <w:pPr>
        <w:spacing w:after="0" w:line="5" w:lineRule="exact"/>
        <w:rPr>
          <w:sz w:val="20"/>
          <w:szCs w:val="20"/>
          <w:color w:val="auto"/>
        </w:rPr>
      </w:pPr>
    </w:p>
    <w:p>
      <w:pPr>
        <w:ind w:left="520" w:right="3359"/>
        <w:spacing w:after="0" w:line="235" w:lineRule="auto"/>
        <w:rPr>
          <w:sz w:val="20"/>
          <w:szCs w:val="20"/>
          <w:color w:val="auto"/>
        </w:rPr>
      </w:pPr>
      <w:r>
        <w:rPr>
          <w:rFonts w:ascii="Courier New" w:cs="Courier New" w:eastAsia="Courier New" w:hAnsi="Courier New"/>
          <w:sz w:val="15"/>
          <w:szCs w:val="15"/>
          <w:color w:val="auto"/>
        </w:rPr>
        <w:t>post-effective amendment any of the securities being registered which remain unsold at the termination of the offering.</w:t>
      </w:r>
    </w:p>
    <w:p>
      <w:pPr>
        <w:spacing w:after="0" w:line="176" w:lineRule="exact"/>
        <w:rPr>
          <w:sz w:val="20"/>
          <w:szCs w:val="20"/>
          <w:color w:val="auto"/>
        </w:rPr>
      </w:pPr>
    </w:p>
    <w:p>
      <w:pPr>
        <w:ind w:left="-260" w:right="3259" w:firstLine="784"/>
        <w:spacing w:after="0" w:line="257" w:lineRule="auto"/>
        <w:tabs>
          <w:tab w:leader="none" w:pos="123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336" w:lineRule="exact"/>
        <w:rPr>
          <w:rFonts w:ascii="Courier New" w:cs="Courier New" w:eastAsia="Courier New" w:hAnsi="Courier New"/>
          <w:sz w:val="14"/>
          <w:szCs w:val="14"/>
          <w:color w:val="auto"/>
        </w:rPr>
      </w:pPr>
    </w:p>
    <w:p>
      <w:pPr>
        <w:ind w:left="-260" w:right="3259" w:firstLine="784"/>
        <w:spacing w:after="0" w:line="238" w:lineRule="auto"/>
        <w:tabs>
          <w:tab w:leader="none" w:pos="123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55" w:lineRule="exact"/>
        <w:rPr>
          <w:rFonts w:ascii="Courier New" w:cs="Courier New" w:eastAsia="Courier New" w:hAnsi="Courier New"/>
          <w:sz w:val="15"/>
          <w:szCs w:val="15"/>
          <w:color w:val="auto"/>
        </w:rPr>
      </w:pPr>
    </w:p>
    <w:p>
      <w:pPr>
        <w:ind w:left="-260" w:right="3259" w:firstLine="784"/>
        <w:spacing w:after="0" w:line="238" w:lineRule="auto"/>
        <w:tabs>
          <w:tab w:leader="none" w:pos="123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registrations statement through the date of responding to the request.</w:t>
      </w:r>
    </w:p>
    <w:p>
      <w:pPr>
        <w:spacing w:after="0" w:line="176" w:lineRule="exact"/>
        <w:rPr>
          <w:rFonts w:ascii="Courier New" w:cs="Courier New" w:eastAsia="Courier New" w:hAnsi="Courier New"/>
          <w:sz w:val="15"/>
          <w:szCs w:val="15"/>
          <w:color w:val="auto"/>
        </w:rPr>
      </w:pPr>
    </w:p>
    <w:p>
      <w:pPr>
        <w:ind w:left="-260" w:right="3439" w:firstLine="784"/>
        <w:spacing w:after="0" w:line="259" w:lineRule="auto"/>
        <w:tabs>
          <w:tab w:leader="none" w:pos="123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9959"/>
          </w:cols>
          <w:pgMar w:left="50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duly caused this registration statement to be signed on its behalf by the undersigned, thereunto duly authorized, in the City of Dallas, State of Texas on November 18, 1996.</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08" w:lineRule="exact"/>
        <w:rPr>
          <w:sz w:val="20"/>
          <w:szCs w:val="20"/>
          <w:color w:val="auto"/>
        </w:rPr>
      </w:pPr>
    </w:p>
    <w:p>
      <w:pPr>
        <w:ind w:left="3340"/>
        <w:spacing w:after="0"/>
        <w:tabs>
          <w:tab w:leader="none" w:pos="3760" w:val="left"/>
        </w:tabs>
        <w:rPr>
          <w:sz w:val="20"/>
          <w:szCs w:val="20"/>
          <w:color w:val="auto"/>
        </w:rPr>
      </w:pPr>
      <w:r>
        <w:rPr>
          <w:rFonts w:ascii="Courier New" w:cs="Courier New" w:eastAsia="Courier New" w:hAnsi="Courier New"/>
          <w:sz w:val="15"/>
          <w:szCs w:val="15"/>
          <w:color w:val="auto"/>
        </w:rPr>
        <w:t>By:</w:t>
        <w:tab/>
        <w:t>JOHN E. DRURY*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John E. Drury,</w:t>
      </w:r>
    </w:p>
    <w:p>
      <w:pPr>
        <w:ind w:left="378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19"/>
          </w:cols>
          <w:pgMar w:left="240" w:top="283" w:right="1440" w:bottom="1440" w:gutter="0" w:footer="0" w:header="0"/>
        </w:sectPr>
      </w:pPr>
    </w:p>
    <w:bookmarkStart w:id="24" w:name="page25"/>
    <w:bookmarkEnd w:id="24"/>
    <w:p>
      <w:pPr>
        <w:ind w:left="270"/>
        <w:spacing w:after="0"/>
        <w:rPr>
          <w:sz w:val="20"/>
          <w:szCs w:val="20"/>
          <w:color w:val="auto"/>
        </w:rPr>
      </w:pPr>
      <w:r>
        <w:rPr>
          <w:rFonts w:ascii="Courier New" w:cs="Courier New" w:eastAsia="Courier New" w:hAnsi="Courier New"/>
          <w:sz w:val="15"/>
          <w:szCs w:val="15"/>
          <w:color w:val="auto"/>
        </w:rPr>
        <w:t>25</w:t>
      </w:r>
    </w:p>
    <w:p>
      <w:pPr>
        <w:ind w:left="2730"/>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S-4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76"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Witness our hands on the date set forth below.</w:t>
      </w:r>
    </w:p>
    <w:p>
      <w:pPr>
        <w:spacing w:after="0" w:line="344"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or amendment thereto has been signed by the following persons in the capacities and on November 18, 1996.</w:t>
      </w:r>
    </w:p>
    <w:p>
      <w:pPr>
        <w:sectPr>
          <w:pgSz w:w="11900" w:h="16838" w:orient="portrait"/>
          <w:cols w:equalWidth="0" w:num="1">
            <w:col w:w="10229"/>
          </w:cols>
          <w:pgMar w:left="230" w:top="283" w:right="1440" w:bottom="5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50"/>
        <w:spacing w:after="0"/>
        <w:rPr>
          <w:sz w:val="20"/>
          <w:szCs w:val="20"/>
          <w:color w:val="auto"/>
        </w:rPr>
      </w:pPr>
      <w:r>
        <w:rPr>
          <w:rFonts w:ascii="Courier New" w:cs="Courier New" w:eastAsia="Courier New" w:hAnsi="Courier New"/>
          <w:sz w:val="14"/>
          <w:szCs w:val="14"/>
          <w:color w:val="auto"/>
        </w:rPr>
        <w:t>Signature</w:t>
      </w:r>
    </w:p>
    <w:p>
      <w:pPr>
        <w:spacing w:after="0" w:line="11" w:lineRule="exact"/>
        <w:rPr>
          <w:sz w:val="20"/>
          <w:szCs w:val="20"/>
          <w:color w:val="auto"/>
        </w:rPr>
      </w:pPr>
    </w:p>
    <w:p>
      <w:pPr>
        <w:ind w:left="185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5970" w:space="720"/>
            <w:col w:w="3539"/>
          </w:cols>
          <w:pgMar w:left="230" w:top="283" w:right="1440" w:bottom="566"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JOHN E. DRURY*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and Chief Executive Officer</w:t>
      </w:r>
    </w:p>
    <w:p>
      <w:pPr>
        <w:spacing w:after="0" w:line="11" w:lineRule="exact"/>
        <w:rPr>
          <w:sz w:val="20"/>
          <w:szCs w:val="20"/>
          <w:color w:val="auto"/>
        </w:rPr>
      </w:pPr>
    </w:p>
    <w:p>
      <w:pPr>
        <w:sectPr>
          <w:pgSz w:w="11900" w:h="16838" w:orient="portrait"/>
          <w:cols w:equalWidth="0" w:num="2">
            <w:col w:w="2890" w:space="720"/>
            <w:col w:w="6619"/>
          </w:cols>
          <w:pgMar w:left="230" w:top="283" w:right="1440" w:bottom="566" w:gutter="0" w:footer="0" w:header="0"/>
          <w:type w:val="continuous"/>
        </w:sectPr>
      </w:pPr>
    </w:p>
    <w:p>
      <w:pPr>
        <w:ind w:left="170" w:hanging="170"/>
        <w:spacing w:after="0"/>
        <w:tabs>
          <w:tab w:leader="none" w:pos="17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John E. Drury</w:t>
      </w:r>
    </w:p>
    <w:p>
      <w:pPr>
        <w:sectPr>
          <w:pgSz w:w="11900" w:h="16838" w:orient="portrait"/>
          <w:cols w:equalWidth="0" w:num="1">
            <w:col w:w="10229"/>
          </w:cols>
          <w:pgMar w:left="230" w:top="283" w:right="1440" w:bottom="566" w:gutter="0" w:footer="0" w:header="0"/>
          <w:type w:val="continuous"/>
        </w:sectPr>
      </w:pP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DONALD F. MOOREHEAD, JR*.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Donald F. Moorehead, Jr.</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 of the Board and Chief Development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w:t>
      </w:r>
    </w:p>
    <w:p>
      <w:pPr>
        <w:spacing w:after="0" w:line="369" w:lineRule="exact"/>
        <w:rPr>
          <w:sz w:val="20"/>
          <w:szCs w:val="20"/>
          <w:color w:val="auto"/>
        </w:rPr>
      </w:pPr>
    </w:p>
    <w:p>
      <w:pPr>
        <w:sectPr>
          <w:pgSz w:w="11900" w:h="16838" w:orient="portrait"/>
          <w:cols w:equalWidth="0" w:num="2">
            <w:col w:w="3430" w:space="180"/>
            <w:col w:w="6619"/>
          </w:cols>
          <w:pgMar w:left="230" w:top="283" w:right="1440" w:bottom="566" w:gutter="0" w:footer="0" w:header="0"/>
          <w:type w:val="continuous"/>
        </w:sectPr>
      </w:pPr>
    </w:p>
    <w:p>
      <w:pPr>
        <w:spacing w:after="0" w:line="1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KOSTI SHIRVANIAN*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 of the Board</w:t>
      </w:r>
    </w:p>
    <w:p>
      <w:pPr>
        <w:spacing w:after="0" w:line="11" w:lineRule="exact"/>
        <w:rPr>
          <w:sz w:val="20"/>
          <w:szCs w:val="20"/>
          <w:color w:val="auto"/>
        </w:rPr>
      </w:pPr>
    </w:p>
    <w:p>
      <w:pPr>
        <w:sectPr>
          <w:pgSz w:w="11900" w:h="16838" w:orient="portrait"/>
          <w:cols w:equalWidth="0" w:num="2">
            <w:col w:w="2890" w:space="720"/>
            <w:col w:w="6619"/>
          </w:cols>
          <w:pgMar w:left="230" w:top="283" w:right="1440" w:bottom="566" w:gutter="0" w:footer="0" w:header="0"/>
          <w:type w:val="continuous"/>
        </w:sectPr>
      </w:pPr>
    </w:p>
    <w:p>
      <w:pPr>
        <w:ind w:left="170" w:hanging="170"/>
        <w:spacing w:after="0"/>
        <w:tabs>
          <w:tab w:leader="none" w:pos="17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Kosti Shirvanian</w:t>
      </w:r>
    </w:p>
    <w:p>
      <w:pPr>
        <w:sectPr>
          <w:pgSz w:w="11900" w:h="16838" w:orient="portrait"/>
          <w:cols w:equalWidth="0" w:num="1">
            <w:col w:w="10229"/>
          </w:cols>
          <w:pgMar w:left="230" w:top="283" w:right="1440" w:bottom="566" w:gutter="0" w:footer="0" w:header="0"/>
          <w:type w:val="continuous"/>
        </w:sectPr>
      </w:pP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DAVID SUTHERLAND-YOEST*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David Sutherland-Yoest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 of the Board, Regional Vice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President-Atlantic Region and Director</w:t>
      </w:r>
    </w:p>
    <w:p>
      <w:pPr>
        <w:spacing w:after="0" w:line="369" w:lineRule="exact"/>
        <w:rPr>
          <w:sz w:val="20"/>
          <w:szCs w:val="20"/>
          <w:color w:val="auto"/>
        </w:rPr>
      </w:pPr>
    </w:p>
    <w:p>
      <w:pPr>
        <w:sectPr>
          <w:pgSz w:w="11900" w:h="16838" w:orient="portrait"/>
          <w:cols w:equalWidth="0" w:num="2">
            <w:col w:w="3430" w:space="180"/>
            <w:col w:w="6619"/>
          </w:cols>
          <w:pgMar w:left="230" w:top="283" w:right="1440" w:bottom="566"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EARL E. DEFRATES*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Earl E. DeFrates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Chief Financial Officer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Treasurer</w:t>
      </w:r>
    </w:p>
    <w:p>
      <w:pPr>
        <w:spacing w:after="0" w:line="369" w:lineRule="exact"/>
        <w:rPr>
          <w:sz w:val="20"/>
          <w:szCs w:val="20"/>
          <w:color w:val="auto"/>
        </w:rPr>
      </w:pPr>
    </w:p>
    <w:p>
      <w:pPr>
        <w:sectPr>
          <w:pgSz w:w="11900" w:h="16838" w:orient="portrait"/>
          <w:cols w:equalWidth="0" w:num="2">
            <w:col w:w="3430" w:space="180"/>
            <w:col w:w="6619"/>
          </w:cols>
          <w:pgMar w:left="230" w:top="283" w:right="1440" w:bottom="566"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BRUCE E. SNYDER*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Bruce E. Snyder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Corporate Controller (Chief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Accounting Officer)</w:t>
      </w:r>
    </w:p>
    <w:p>
      <w:pPr>
        <w:spacing w:after="0" w:line="369" w:lineRule="exact"/>
        <w:rPr>
          <w:sz w:val="20"/>
          <w:szCs w:val="20"/>
          <w:color w:val="auto"/>
        </w:rPr>
      </w:pPr>
    </w:p>
    <w:p>
      <w:pPr>
        <w:sectPr>
          <w:pgSz w:w="11900" w:h="16838" w:orient="portrait"/>
          <w:cols w:equalWidth="0" w:num="2">
            <w:col w:w="3430" w:space="180"/>
            <w:col w:w="6619"/>
          </w:cols>
          <w:pgMar w:left="230" w:top="283" w:right="1440" w:bottom="566" w:gutter="0" w:footer="0" w:header="0"/>
          <w:type w:val="continuous"/>
        </w:sectPr>
      </w:pPr>
    </w:p>
    <w:p>
      <w:pPr>
        <w:spacing w:after="0" w:line="1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RICHARD J. HECKMANN*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 w:lineRule="exact"/>
        <w:rPr>
          <w:sz w:val="20"/>
          <w:szCs w:val="20"/>
          <w:color w:val="auto"/>
        </w:rPr>
      </w:pPr>
    </w:p>
    <w:p>
      <w:pPr>
        <w:sectPr>
          <w:pgSz w:w="11900" w:h="16838" w:orient="portrait"/>
          <w:cols w:equalWidth="0" w:num="2">
            <w:col w:w="2890" w:space="720"/>
            <w:col w:w="6619"/>
          </w:cols>
          <w:pgMar w:left="230" w:top="283" w:right="1440" w:bottom="566" w:gutter="0" w:footer="0" w:header="0"/>
          <w:type w:val="continuous"/>
        </w:sectPr>
      </w:pPr>
    </w:p>
    <w:p>
      <w:pPr>
        <w:ind w:left="170" w:hanging="170"/>
        <w:spacing w:after="0"/>
        <w:tabs>
          <w:tab w:leader="none" w:pos="1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Heckmann</w:t>
      </w:r>
    </w:p>
    <w:p>
      <w:pPr>
        <w:spacing w:after="0" w:line="338" w:lineRule="exact"/>
        <w:rPr>
          <w:sz w:val="20"/>
          <w:szCs w:val="20"/>
          <w:color w:val="auto"/>
        </w:rPr>
      </w:pPr>
    </w:p>
    <w:p>
      <w:pPr>
        <w:ind w:left="10"/>
        <w:spacing w:after="0"/>
        <w:tabs>
          <w:tab w:leader="none" w:pos="3589" w:val="left"/>
        </w:tabs>
        <w:rPr>
          <w:sz w:val="20"/>
          <w:szCs w:val="20"/>
          <w:color w:val="auto"/>
        </w:rPr>
      </w:pPr>
      <w:r>
        <w:rPr>
          <w:rFonts w:ascii="Courier New" w:cs="Courier New" w:eastAsia="Courier New" w:hAnsi="Courier New"/>
          <w:sz w:val="15"/>
          <w:szCs w:val="15"/>
          <w:color w:val="auto"/>
        </w:rPr>
        <w:t>WILLIAM E. MOFFETT*</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Moffett</w:t>
      </w:r>
    </w:p>
    <w:p>
      <w:pPr>
        <w:spacing w:after="0" w:line="338" w:lineRule="exact"/>
        <w:rPr>
          <w:sz w:val="20"/>
          <w:szCs w:val="20"/>
          <w:color w:val="auto"/>
        </w:rPr>
      </w:pPr>
    </w:p>
    <w:p>
      <w:pPr>
        <w:ind w:left="10"/>
        <w:spacing w:after="0"/>
        <w:tabs>
          <w:tab w:leader="none" w:pos="3589" w:val="left"/>
        </w:tabs>
        <w:rPr>
          <w:sz w:val="20"/>
          <w:szCs w:val="20"/>
          <w:color w:val="auto"/>
        </w:rPr>
      </w:pPr>
      <w:r>
        <w:rPr>
          <w:rFonts w:ascii="Courier New" w:cs="Courier New" w:eastAsia="Courier New" w:hAnsi="Courier New"/>
          <w:sz w:val="15"/>
          <w:szCs w:val="15"/>
          <w:color w:val="auto"/>
        </w:rPr>
        <w:t>JOHN G. RANGOS*</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G. Rangos, Sr.</w:t>
      </w:r>
    </w:p>
    <w:p>
      <w:pPr>
        <w:spacing w:after="0" w:line="338" w:lineRule="exact"/>
        <w:rPr>
          <w:sz w:val="20"/>
          <w:szCs w:val="20"/>
          <w:color w:val="auto"/>
        </w:rPr>
      </w:pPr>
    </w:p>
    <w:p>
      <w:pPr>
        <w:ind w:left="10"/>
        <w:spacing w:after="0"/>
        <w:tabs>
          <w:tab w:leader="none" w:pos="3589" w:val="left"/>
        </w:tabs>
        <w:rPr>
          <w:sz w:val="20"/>
          <w:szCs w:val="20"/>
          <w:color w:val="auto"/>
        </w:rPr>
      </w:pPr>
      <w:r>
        <w:rPr>
          <w:rFonts w:ascii="Courier New" w:cs="Courier New" w:eastAsia="Courier New" w:hAnsi="Courier New"/>
          <w:sz w:val="15"/>
          <w:szCs w:val="15"/>
          <w:color w:val="auto"/>
        </w:rPr>
        <w:t>ALEXANDER W. RANGOS*</w:t>
      </w:r>
      <w:r>
        <w:rPr>
          <w:sz w:val="20"/>
          <w:szCs w:val="20"/>
          <w:color w:val="auto"/>
        </w:rPr>
        <w:tab/>
      </w:r>
      <w:r>
        <w:rPr>
          <w:rFonts w:ascii="Courier New" w:cs="Courier New" w:eastAsia="Courier New" w:hAnsi="Courier New"/>
          <w:sz w:val="14"/>
          <w:szCs w:val="14"/>
          <w:color w:val="auto"/>
        </w:rPr>
        <w:t>Vice Chairman of the Board</w:t>
      </w:r>
    </w:p>
    <w:p>
      <w:pPr>
        <w:ind w:left="170" w:hanging="170"/>
        <w:spacing w:after="0"/>
        <w:tabs>
          <w:tab w:leader="none" w:pos="17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Alexander W. Rangos</w:t>
      </w:r>
    </w:p>
    <w:p>
      <w:pPr>
        <w:spacing w:after="0" w:line="338" w:lineRule="exact"/>
        <w:rPr>
          <w:sz w:val="20"/>
          <w:szCs w:val="20"/>
          <w:color w:val="auto"/>
        </w:rPr>
      </w:pPr>
    </w:p>
    <w:p>
      <w:pPr>
        <w:ind w:left="10"/>
        <w:spacing w:after="0"/>
        <w:tabs>
          <w:tab w:leader="none" w:pos="3589" w:val="left"/>
        </w:tabs>
        <w:rPr>
          <w:sz w:val="20"/>
          <w:szCs w:val="20"/>
          <w:color w:val="auto"/>
        </w:rPr>
      </w:pPr>
      <w:r>
        <w:rPr>
          <w:rFonts w:ascii="Courier New" w:cs="Courier New" w:eastAsia="Courier New" w:hAnsi="Courier New"/>
          <w:sz w:val="15"/>
          <w:szCs w:val="15"/>
          <w:color w:val="auto"/>
        </w:rPr>
        <w:t>SAVEY TUFENKIAN*</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Savey Tufenkian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Director</w:t>
      </w:r>
    </w:p>
    <w:p>
      <w:pPr>
        <w:spacing w:after="0" w:line="169" w:lineRule="exact"/>
        <w:rPr>
          <w:sz w:val="20"/>
          <w:szCs w:val="20"/>
          <w:color w:val="auto"/>
        </w:rPr>
      </w:pPr>
    </w:p>
    <w:p>
      <w:pPr>
        <w:ind w:left="170" w:hanging="170"/>
        <w:spacing w:after="0"/>
        <w:tabs>
          <w:tab w:leader="none" w:pos="1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GREGORY T. SANGALIS</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10" w:right="69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Gregory T. Sangalis, Agent and Attorney-in-fact</w:t>
      </w:r>
    </w:p>
    <w:p>
      <w:pPr>
        <w:sectPr>
          <w:pgSz w:w="11900" w:h="16838" w:orient="portrait"/>
          <w:cols w:equalWidth="0" w:num="1">
            <w:col w:w="10229"/>
          </w:cols>
          <w:pgMar w:left="230" w:top="283" w:right="1440" w:bottom="566" w:gutter="0" w:footer="0" w:header="0"/>
          <w:type w:val="continuous"/>
        </w:sectPr>
      </w:pPr>
    </w:p>
    <w:bookmarkStart w:id="25" w:name="page26"/>
    <w:bookmarkEnd w:id="25"/>
    <w:p>
      <w:pPr>
        <w:ind w:left="2060"/>
        <w:spacing w:after="0"/>
        <w:rPr>
          <w:sz w:val="20"/>
          <w:szCs w:val="20"/>
          <w:color w:val="auto"/>
        </w:rPr>
      </w:pPr>
      <w:r>
        <w:rPr>
          <w:rFonts w:ascii="Courier New" w:cs="Courier New" w:eastAsia="Courier New" w:hAnsi="Courier New"/>
          <w:sz w:val="14"/>
          <w:szCs w:val="14"/>
          <w:color w:val="auto"/>
        </w:rPr>
        <w:t>II-10</w:t>
      </w:r>
    </w:p>
    <w:p>
      <w:pPr>
        <w:sectPr>
          <w:pgSz w:w="11900" w:h="16838" w:orient="portrait"/>
          <w:cols w:equalWidth="0" w:num="1">
            <w:col w:w="9019"/>
          </w:cols>
          <w:pgMar w:left="1440" w:top="31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26</w:t>
      </w:r>
    </w:p>
    <w:tbl>
      <w:tblPr>
        <w:tblLayout w:type="fixed"/>
        <w:tblInd w:w="52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980"/>
              <w:spacing w:after="0"/>
              <w:rPr>
                <w:sz w:val="20"/>
                <w:szCs w:val="20"/>
                <w:color w:val="auto"/>
              </w:rPr>
            </w:pPr>
            <w:r>
              <w:rPr>
                <w:rFonts w:ascii="Courier New" w:cs="Courier New" w:eastAsia="Courier New" w:hAnsi="Courier New"/>
                <w:sz w:val="15"/>
                <w:szCs w:val="15"/>
                <w:color w:val="auto"/>
              </w:rPr>
              <w:t>Exhibit Index</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Restated Certificate of Incorporation [Incorporated</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by reference to Exhibit 3.1 to the Post- Effective</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Amendment No. 1 to the Registrant's Registration</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Statement on Form S-4 (File No. 33- 60103)].</w:t>
            </w:r>
          </w:p>
        </w:tc>
      </w:tr>
      <w:tr>
        <w:trPr>
          <w:trHeight w:val="339"/>
        </w:trPr>
        <w:tc>
          <w:tcPr>
            <w:tcW w:w="11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3.1(a) -</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Amendment to Registrant's Restated Certificate of</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Incorporation [Incorporated by reference to Exhibit</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3.1(a) to the Registrant's Quarterly Report on Form</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10-Q for the three months ended March 31, 1996].</w:t>
            </w:r>
          </w:p>
        </w:tc>
      </w:tr>
      <w:tr>
        <w:trPr>
          <w:trHeight w:val="339"/>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3.1(b)</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Conformed Copy of Registrant's Restated Certificate</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of Incorporation [Incorporated by reference to</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Exhibit 3.1(b) to the Registrant's Quarterly Report</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on Form 10-Q for the three months ended March 31,</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Bylaws [Incorporated by reference to Exhibit 3.2 to</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the Post-Effective Amendment No. 1 to the</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Registrant's Registration Statement on Form S-4 (File</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No. 33-60103].</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Specimen Stock Certificate [Incorporated by reference</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to Exhibit 4.3 of the Registrant's Registration</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Statement on Form S-3 (File No. 33-76224)].</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Opinion of Snell &amp; Smith, A Professional Corporation.</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10.1</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1990 Stock Option Plan [Incorporated by reference to</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Exhibit 10.1 of the Registrant's Annual Report on</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Form 10-K for the year ended December 31, 1990].</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10.2</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1993 Stock Incentive Plan [Incorporated by reference</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to Exhibit 4.4 of the Registrant's Registration</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Statement on Form S-8 (File No. 33-72436)].</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10.3</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Envirofil, Inc. 1993 Stock Incentive Plan</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Exhibit 10.3 of the</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Registrant's Annual Report on Form 10-K for the year</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ended December 31, 1994].</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10.4</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Form of Employment Agreement between the Registrant</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and each of John E. Drury, Donald F.  Moorehead, Jr.,</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David Sutherland-Yoest, and Charles A. Wilcox</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Exhibit 10.18 of the</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Registrant's Annual Report on Form 10-K for the year</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ended December 31, 1994].</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10.5</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Employment Agreement between the Registrant and Earl</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 DeFrates [Incorporated by reference to Exhibit</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10.19 of the Registrant's Annual Report on Form 10-K</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for the year ended December 31, 1994].</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10.6</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Employment Agreement between the Registrant and</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Gregory T. Sangalis [Incorporated by reference to</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Exhibit 10.17 to the Registrant's Registration</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Statement on Form S-4 (File No. 33-59259)].</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10.7</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Amended and Restated Revolving Credit Agreement dated</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as of August 30, 1996, among the Registrant, The</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First National Bank of Boston, Bank of America</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Illinois, Morgan Guaranty Trust Company of New York,</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J.P. Morgan Canada, and other financial institutions</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Exhibit 10.1 of the</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Registrant's Current Report on Form 8-K dated</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September 3, 1996].</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10.8</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Shareholders Agreement dated December 18, 1995, among</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USA Waste Services, Inc., Donald F.  Moorehead, Jr.,</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John E. Drury, John G. Rangos, Sr., John G. Rangos,</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Jr., Alexander W. Rangos, and John Rangos Development</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Corporation, Inc. [Incorporated by reference to</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Exhibit 1 to Schedule 13D dated December 17, 1995</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relating to the Registrant].</w:t>
            </w:r>
          </w:p>
        </w:tc>
      </w:tr>
      <w:tr>
        <w:trPr>
          <w:trHeight w:val="33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10.9</w:t>
            </w:r>
          </w:p>
        </w:tc>
        <w:tc>
          <w:tcPr>
            <w:tcW w:w="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Consulting and Non-Compete Agreement dated June 25,</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1995, between the Registrant and John G.  Rangos, Sr.</w:t>
            </w:r>
          </w:p>
        </w:tc>
      </w:tr>
      <w:tr>
        <w:trPr>
          <w:trHeight w:val="170"/>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Exhibit 10.21 to</w:t>
            </w:r>
          </w:p>
        </w:tc>
      </w:tr>
    </w:tbl>
    <w:p>
      <w:pPr>
        <w:spacing w:after="0" w:line="200" w:lineRule="exact"/>
        <w:rPr>
          <w:sz w:val="20"/>
          <w:szCs w:val="20"/>
          <w:color w:val="auto"/>
        </w:rPr>
      </w:pPr>
    </w:p>
    <w:p>
      <w:pPr>
        <w:sectPr>
          <w:pgSz w:w="11900" w:h="16838" w:orient="portrait"/>
          <w:cols w:equalWidth="0" w:num="1">
            <w:col w:w="9959"/>
          </w:cols>
          <w:pgMar w:left="50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II-11</w:t>
      </w:r>
    </w:p>
    <w:p>
      <w:pPr>
        <w:sectPr>
          <w:pgSz w:w="11900" w:h="16838" w:orient="portrait"/>
          <w:cols w:equalWidth="0" w:num="1">
            <w:col w:w="9959"/>
          </w:cols>
          <w:pgMar w:left="500" w:top="283" w:right="1440"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27</w:t>
      </w:r>
    </w:p>
    <w:tbl>
      <w:tblPr>
        <w:tblLayout w:type="fixed"/>
        <w:tblInd w:w="52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the Registrant's Quarterly Report on Form 10-Q/A for</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the three months ended June 30, 1995].</w:t>
            </w:r>
          </w:p>
        </w:tc>
      </w:tr>
      <w:tr>
        <w:trPr>
          <w:trHeight w:val="50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10.10</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Employment Agreement dated June 25, 1995, between the</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Registrant and Alexander W. Rangos [Incorporated by</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10.22 to the Registrant's</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Quarterly Report on Form 10-Q/A for the three months</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ended June 30, 1995].</w:t>
            </w:r>
          </w:p>
        </w:tc>
      </w:tr>
      <w:tr>
        <w:trPr>
          <w:trHeight w:val="678"/>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10.11</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Employment Agreement dated December 19, 1995, between</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the Registrant and Kosti Shirvanian [Incorporated by</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reference to Exhibit 10.18 to the Registrant's Annual</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Report on Form 10-K for the year ended December 31,</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1995].</w:t>
            </w:r>
          </w:p>
        </w:tc>
      </w:tr>
      <w:tr>
        <w:trPr>
          <w:trHeight w:val="50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10.12</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Amended and Restated Plan and Agreement of</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Reorganization dated March 29, 1994, among the</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Registrant, Envirofil Acquisition Corporation, a</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Delaware corporation and wholly owned subsidiary of</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the Registrant, and Envirofil, Inc., a Delaware</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corporation [Incorporated by reference to Exhibit 2.1</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to the Registrant's Registration Statement on Form</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S-4 (File No. 33- 77110)].</w:t>
            </w: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10.13</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Amended and Restated Agreement and Plan of Merger</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dated as of November 28, 1994, among the Registrant,</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Chambers Acquisition Corporation, a Delaware</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corporation and wholly owned subsidiary of the</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Registrant, and Chambers Development Company, Inc., a</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Delaware corporation [Incorporated by reference to</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Exhibit 2.1 of the Registrant's Registration</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Statement on Form S- 4 (File No. 33-59259)].</w:t>
            </w: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10.14</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Amendment to Amended and Restated Agreement and Plan</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of Merger dated June 27, 1995, among the Registrant,</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Chambers Acquisition Corporation, and Chambers</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Development Company, Inc.  [Incorporated by reference</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to Exhibit 2.2 to the Registrant's Current Report on</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Form 8-K dated June 30, 1995].</w:t>
            </w: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10.15</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Agreement and Plan of Merger dated as of December 18,</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1995, among the Registrant, Riviera Acquisition</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Corporation, and Western Waste Industries</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Appendix A to the</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Registrant's Registration Statement on Form S-4</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(Registration No. 333-02181)].</w:t>
            </w: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10.16</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Amendment No. 1 to the Agreement and Plan of Merger</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dated May 1, 1996, among the Registrant, Riviera</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Acquisition Corporation, and Western Waste Industries</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Exhibit 2.2 to the</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Registrant's Current Report on Form 8-K dated May 7,</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10.17</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Agreement and Plan of Merger dated as of June 22,</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1996, among the Registrant, Quatro Acquisition Corp.,</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and Sanifill, Inc. [Incorporated by reference to</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Exhibit 2.1 to the Registrant's Registration</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Statement on Form S-4 (File No. 333-08161)].</w:t>
            </w: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10.18</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Agreement dated June 21, 1996, among the Registrant,</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D. Moorehead, Jr., J. Drury, J. Rangos, Sr., A.</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Rangos, J. Rangos, Jr., and Rangos Development</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Corporation [Incorporated by reference to Exhibit</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10.1 to Registrant's Registration Statement on Form</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S-4 (Registration No. 333- 08161)].</w:t>
            </w: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10.19</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Employment and Noncompetition Agreement dated June</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22, 1996, among the Registrant, Sanifill, Inc., and</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Lorne D. Bain [Incorporated by reference to Exhibit</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10.2 to Registrant's Registration Statement on Form</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S-4 (Registration No. 333-08161)].</w:t>
            </w: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10.20</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7"/>
              </w:rPr>
              <w:t>Letter Agreement dated December 18, 1996, between the</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Registrant and Kosti Shirvanian [Incorporated by</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10.3 to Registrant's</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Registration Statement on Form S-4 (Registration No.</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33-08161)].</w:t>
            </w: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10.21</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Letter Agreement dated June 21, 1996, between the</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Registrant and Kosti Shirvanian [Incorporated by</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10.4 to Registrant's</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w w:val="99"/>
              </w:rPr>
              <w:t>Registration Statement on Form S-4 (Registration No.</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333-08161)].</w:t>
            </w:r>
          </w:p>
        </w:tc>
      </w:tr>
    </w:tbl>
    <w:p>
      <w:pPr>
        <w:spacing w:after="0" w:line="200" w:lineRule="exact"/>
        <w:rPr>
          <w:sz w:val="20"/>
          <w:szCs w:val="20"/>
          <w:color w:val="auto"/>
        </w:rPr>
      </w:pPr>
    </w:p>
    <w:p>
      <w:pPr>
        <w:sectPr>
          <w:pgSz w:w="11900" w:h="16838" w:orient="portrait"/>
          <w:cols w:equalWidth="0" w:num="1">
            <w:col w:w="9959"/>
          </w:cols>
          <w:pgMar w:left="500" w:top="28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II-12</w:t>
      </w:r>
    </w:p>
    <w:p>
      <w:pPr>
        <w:sectPr>
          <w:pgSz w:w="11900" w:h="16838" w:orient="portrait"/>
          <w:cols w:equalWidth="0" w:num="1">
            <w:col w:w="9959"/>
          </w:cols>
          <w:pgMar w:left="500" w:top="283" w:right="1440" w:bottom="0" w:gutter="0" w:footer="0" w:header="0"/>
          <w:type w:val="continuous"/>
        </w:sectPr>
      </w:pPr>
    </w:p>
    <w:bookmarkStart w:id="28" w:name="page29"/>
    <w:bookmarkEnd w:id="28"/>
    <w:p>
      <w:pPr>
        <w:ind w:left="100"/>
        <w:spacing w:after="0"/>
        <w:rPr>
          <w:sz w:val="20"/>
          <w:szCs w:val="20"/>
          <w:color w:val="auto"/>
        </w:rPr>
      </w:pPr>
      <w:r>
        <w:rPr>
          <w:rFonts w:ascii="Courier New" w:cs="Courier New" w:eastAsia="Courier New" w:hAnsi="Courier New"/>
          <w:sz w:val="15"/>
          <w:szCs w:val="15"/>
          <w:color w:val="auto"/>
        </w:rPr>
        <w:t>28</w:t>
      </w:r>
    </w:p>
    <w:tbl>
      <w:tblPr>
        <w:tblLayout w:type="fixed"/>
        <w:tblInd w:w="620" w:type="dxa"/>
        <w:tblCellMar>
          <w:top w:w="0" w:type="dxa"/>
          <w:left w:w="0" w:type="dxa"/>
          <w:bottom w:w="0" w:type="dxa"/>
          <w:right w:w="0" w:type="dxa"/>
        </w:tblCellMar>
      </w:tblP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10.22</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Letter Agreement dated June 17, 1996, between the</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Registrant and Sanifill, Inc., regarding</w:t>
            </w:r>
          </w:p>
        </w:tc>
        <w:tc>
          <w:tcPr>
            <w:tcW w:w="760" w:type="dxa"/>
            <w:vAlign w:val="bottom"/>
          </w:tcPr>
          <w:p>
            <w:pPr>
              <w:spacing w:after="0"/>
              <w:rPr>
                <w:sz w:val="14"/>
                <w:szCs w:val="14"/>
                <w:color w:val="auto"/>
              </w:rPr>
            </w:pP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w w:val="98"/>
              </w:rPr>
              <w:t>indemnification provisions of certificate of</w:t>
            </w:r>
          </w:p>
        </w:tc>
        <w:tc>
          <w:tcPr>
            <w:tcW w:w="760" w:type="dxa"/>
            <w:vAlign w:val="bottom"/>
          </w:tcPr>
          <w:p>
            <w:pPr>
              <w:spacing w:after="0"/>
              <w:rPr>
                <w:sz w:val="14"/>
                <w:szCs w:val="14"/>
                <w:color w:val="auto"/>
              </w:rPr>
            </w:pP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incorporation [Incorporated by reference to Exhibit</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10.5 to Registrant's Registration Statement on Form</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S-4 (Registration No. 333-08161)].</w:t>
            </w:r>
          </w:p>
        </w:tc>
        <w:tc>
          <w:tcPr>
            <w:tcW w:w="760" w:type="dxa"/>
            <w:vAlign w:val="bottom"/>
          </w:tcPr>
          <w:p>
            <w:pPr>
              <w:spacing w:after="0"/>
              <w:rPr>
                <w:sz w:val="14"/>
                <w:szCs w:val="14"/>
                <w:color w:val="auto"/>
              </w:rPr>
            </w:pP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10.23</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Employment and Noncompetition Agreement dated July</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 1996, among the Registrant, Sanifill, Inc., and</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w w:val="98"/>
              </w:rPr>
              <w:t>J. Chris Brewster [Incorporated by reference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Exhibit 10.8 to Registrant's Registration Statement</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on Form S-4 (Registration No. 333-08161)].</w:t>
            </w:r>
          </w:p>
        </w:tc>
        <w:tc>
          <w:tcPr>
            <w:tcW w:w="760" w:type="dxa"/>
            <w:vAlign w:val="bottom"/>
          </w:tcPr>
          <w:p>
            <w:pPr>
              <w:spacing w:after="0"/>
              <w:rPr>
                <w:sz w:val="14"/>
                <w:szCs w:val="14"/>
                <w:color w:val="auto"/>
              </w:rPr>
            </w:pP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10.24</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Sanifill 1994 Long-Term Incentive Plan [Incorporated</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w w:val="98"/>
              </w:rPr>
              <w:t>by reference to Exhibit 99.1 to Registrant's</w:t>
            </w:r>
          </w:p>
        </w:tc>
        <w:tc>
          <w:tcPr>
            <w:tcW w:w="760" w:type="dxa"/>
            <w:vAlign w:val="bottom"/>
          </w:tcPr>
          <w:p>
            <w:pPr>
              <w:spacing w:after="0"/>
              <w:rPr>
                <w:sz w:val="14"/>
                <w:szCs w:val="14"/>
                <w:color w:val="auto"/>
              </w:rPr>
            </w:pP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w w:val="98"/>
              </w:rPr>
              <w:t>Post-Effective Amendment on Form S-8 to Form</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S-4</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(File No. 333-08161)].</w:t>
            </w:r>
          </w:p>
        </w:tc>
        <w:tc>
          <w:tcPr>
            <w:tcW w:w="760" w:type="dxa"/>
            <w:vAlign w:val="bottom"/>
          </w:tcPr>
          <w:p>
            <w:pPr>
              <w:spacing w:after="0"/>
              <w:rPr>
                <w:sz w:val="14"/>
                <w:szCs w:val="14"/>
                <w:color w:val="auto"/>
              </w:rPr>
            </w:pP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10.25</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Sanifill, Inc. 1989 Stock Option Plan [Incorporated</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w w:val="98"/>
              </w:rPr>
              <w:t>by reference to Exhibit 99.2 to Registrant's</w:t>
            </w:r>
          </w:p>
        </w:tc>
        <w:tc>
          <w:tcPr>
            <w:tcW w:w="760" w:type="dxa"/>
            <w:vAlign w:val="bottom"/>
          </w:tcPr>
          <w:p>
            <w:pPr>
              <w:spacing w:after="0"/>
              <w:rPr>
                <w:sz w:val="14"/>
                <w:szCs w:val="14"/>
                <w:color w:val="auto"/>
              </w:rPr>
            </w:pP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w w:val="98"/>
              </w:rPr>
              <w:t>Post-Effective Amendment on Form S-8 to Form</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S-4</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(File No. 333-08161)].</w:t>
            </w:r>
          </w:p>
        </w:tc>
        <w:tc>
          <w:tcPr>
            <w:tcW w:w="760" w:type="dxa"/>
            <w:vAlign w:val="bottom"/>
          </w:tcPr>
          <w:p>
            <w:pPr>
              <w:spacing w:after="0"/>
              <w:rPr>
                <w:sz w:val="14"/>
                <w:szCs w:val="14"/>
                <w:color w:val="auto"/>
              </w:rPr>
            </w:pP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10.26</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w w:val="98"/>
              </w:rPr>
              <w:t>Warrant to Purchase 100,000 shares of Common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Stock of</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w w:val="98"/>
              </w:rPr>
              <w:t>Sanifill, Inc. [Incorporated by reference to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Exhibit</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99.3 to Registrant's Post Effective Amendment on Form</w:t>
            </w:r>
          </w:p>
        </w:tc>
      </w:tr>
      <w:tr>
        <w:trPr>
          <w:trHeight w:val="170"/>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S-8 to Form S-4 (File No. 333- 08161)].</w:t>
            </w:r>
          </w:p>
        </w:tc>
        <w:tc>
          <w:tcPr>
            <w:tcW w:w="760" w:type="dxa"/>
            <w:vAlign w:val="bottom"/>
          </w:tcPr>
          <w:p>
            <w:pPr>
              <w:spacing w:after="0"/>
              <w:rPr>
                <w:sz w:val="14"/>
                <w:szCs w:val="14"/>
                <w:color w:val="auto"/>
              </w:rPr>
            </w:pPr>
          </w:p>
        </w:tc>
      </w:tr>
    </w:tbl>
    <w:p>
      <w:pPr>
        <w:spacing w:after="0" w:line="175" w:lineRule="exact"/>
        <w:rPr>
          <w:sz w:val="20"/>
          <w:szCs w:val="20"/>
          <w:color w:val="auto"/>
        </w:rPr>
      </w:pPr>
    </w:p>
    <w:p>
      <w:pPr>
        <w:ind w:left="2120" w:right="3359" w:hanging="1496"/>
        <w:spacing w:after="0" w:line="237" w:lineRule="auto"/>
        <w:tabs>
          <w:tab w:leader="none" w:pos="132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 [Incorporated by reference to Exhibit 21.1 to the Registrant's Annual Report on Form 10-K for the year ended December 31, 1995].</w:t>
      </w:r>
    </w:p>
    <w:p>
      <w:pPr>
        <w:spacing w:after="0" w:line="17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23.1</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Consent of</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Snell &amp;</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Smith, A Professional Corporation</w:t>
            </w:r>
          </w:p>
        </w:tc>
      </w:tr>
      <w:tr>
        <w:trPr>
          <w:trHeight w:val="170"/>
        </w:trPr>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[Contained</w:t>
            </w:r>
          </w:p>
        </w:tc>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in Exhibit 5.1].</w:t>
            </w:r>
          </w:p>
        </w:tc>
      </w:tr>
      <w:tr>
        <w:trPr>
          <w:trHeight w:val="339"/>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23.2</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Consent of</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Coopers</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&amp; Lybrand L.L.P.</w:t>
            </w:r>
          </w:p>
        </w:tc>
      </w:tr>
      <w:tr>
        <w:trPr>
          <w:trHeight w:val="339"/>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23.3</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Consent of</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Ernst &amp;</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Young LLP.</w:t>
            </w:r>
          </w:p>
        </w:tc>
      </w:tr>
      <w:tr>
        <w:trPr>
          <w:trHeight w:val="509"/>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23.4</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Consent of</w:t>
            </w:r>
          </w:p>
        </w:tc>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Deloitte &amp; Touche LLP.</w:t>
            </w:r>
          </w:p>
        </w:tc>
      </w:tr>
      <w:tr>
        <w:trPr>
          <w:trHeight w:val="339"/>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23.5</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Consent of</w:t>
            </w:r>
          </w:p>
        </w:tc>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Arthur Andersen LLP.</w:t>
            </w:r>
          </w:p>
        </w:tc>
      </w:tr>
      <w:tr>
        <w:trPr>
          <w:trHeight w:val="339"/>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23.6</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Consent of</w:t>
            </w:r>
          </w:p>
        </w:tc>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Deloitte &amp; Touche Chartered Accountants</w:t>
            </w:r>
          </w:p>
        </w:tc>
      </w:tr>
      <w:tr>
        <w:trPr>
          <w:trHeight w:val="339"/>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23.7</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Consent of</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Coopers</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&amp; Lybrand L.L.P.</w:t>
            </w:r>
          </w:p>
        </w:tc>
      </w:tr>
      <w:tr>
        <w:trPr>
          <w:trHeight w:val="339"/>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23.8</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7"/>
              </w:rPr>
              <w:t>Consent of Kaplan Sipos &amp; Associates Certified Public</w:t>
            </w:r>
          </w:p>
        </w:tc>
      </w:tr>
      <w:tr>
        <w:trPr>
          <w:trHeight w:val="170"/>
        </w:trPr>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w w:val="96"/>
              </w:rPr>
              <w:t>Accountants</w:t>
            </w:r>
          </w:p>
        </w:tc>
        <w:tc>
          <w:tcPr>
            <w:tcW w:w="66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339"/>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23.9</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Consent of Blake, Kuehler, Babione &amp; Pool</w:t>
            </w:r>
          </w:p>
        </w:tc>
      </w:tr>
      <w:tr>
        <w:trPr>
          <w:trHeight w:val="339"/>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23.10</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Consent of Buckno Lisicky &amp; Company</w:t>
            </w:r>
          </w:p>
        </w:tc>
      </w:tr>
      <w:tr>
        <w:trPr>
          <w:trHeight w:val="339"/>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23.11</w:t>
            </w:r>
          </w:p>
        </w:tc>
        <w:tc>
          <w:tcPr>
            <w:tcW w:w="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Consent of Osburn,</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Henning and Company</w:t>
            </w:r>
          </w:p>
        </w:tc>
      </w:tr>
    </w:tbl>
    <w:p>
      <w:pPr>
        <w:spacing w:after="0" w:line="169" w:lineRule="exact"/>
        <w:rPr>
          <w:sz w:val="20"/>
          <w:szCs w:val="20"/>
          <w:color w:val="auto"/>
        </w:rPr>
      </w:pPr>
    </w:p>
    <w:p>
      <w:pPr>
        <w:ind w:left="1320" w:hanging="696"/>
        <w:spacing w:after="0"/>
        <w:tabs>
          <w:tab w:leader="none" w:pos="13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Power of Attorney [Included on Page II-10].</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II-13</w:t>
      </w:r>
    </w:p>
    <w:p>
      <w:pPr>
        <w:sectPr>
          <w:pgSz w:w="11900" w:h="16838" w:orient="portrait"/>
          <w:cols w:equalWidth="0" w:num="1">
            <w:col w:w="10059"/>
          </w:cols>
          <w:pgMar w:left="40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33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4"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USA Waste Services, Inc. on Amendment No. 1 to Form S-4 of our report dated March 1, 1996, on our audits of the consolidated financial statements of USA Waste Services, Inc. and subsidiaries as of December 31, 1995 and 1994, and for each of the three years in the period ended December 31, 1995, which is included in USA Waste Services, Inc.'s Annual Report on Form 10-K for the fiscal year ended December 31, 1995, our report dated May 23, 1996, on our audits of the supplemental consolidated balance sheets of USA Waste Services, Inc. and subsidiaries as of December 31, 1995 and 1994, and the related supplemental consolidated statements of operations, stockholders' equity, and cash flows for each of the years in the three year period ended December 31, 1995, which are included in USA Waste Services, Inc. Current Report on Form</w:t>
      </w:r>
    </w:p>
    <w:p>
      <w:pPr>
        <w:spacing w:after="0" w:line="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8-K/A filed on July 1, 1996 with the Securities and Exchange Commission, and our report dated November 8, 1996, on our audits of the supplemental consolidated balance sheets of USA Waste Services, Inc. and subsidiaries as of December 31, 1995 and 1994, and the related supplemental consolidated statements of operations, stockholders' equity, and cash flows for each of the years in the three year period ended December 31, 1995, which are included in USA Waste Services, Inc. Current Report on Form 8-K filed on November 12, 1996 with the Securities and Exchange Commission. We also consent to the reference to our firm under the caption "Experts."</w:t>
      </w:r>
    </w:p>
    <w:p>
      <w:pPr>
        <w:spacing w:after="0" w:line="200" w:lineRule="exact"/>
        <w:rPr>
          <w:sz w:val="20"/>
          <w:szCs w:val="20"/>
          <w:color w:val="auto"/>
        </w:rPr>
      </w:pPr>
    </w:p>
    <w:p>
      <w:pPr>
        <w:spacing w:after="0" w:line="312"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COOPERS &amp; LYBRAND L.L.P.</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rPr>
          <w:sz w:val="20"/>
          <w:szCs w:val="20"/>
          <w:color w:val="auto"/>
        </w:rPr>
      </w:pPr>
      <w:r>
        <w:rPr>
          <w:rFonts w:ascii="Courier New" w:cs="Courier New" w:eastAsia="Courier New" w:hAnsi="Courier New"/>
          <w:sz w:val="15"/>
          <w:szCs w:val="15"/>
          <w:color w:val="auto"/>
        </w:rPr>
        <w:t>November 18,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II-14</w:t>
      </w:r>
    </w:p>
    <w:p>
      <w:pPr>
        <w:sectPr>
          <w:pgSz w:w="11900" w:h="16838" w:orient="portrait"/>
          <w:cols w:equalWidth="0" w:num="1">
            <w:col w:w="10219"/>
          </w:cols>
          <w:pgMar w:left="240" w:top="13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23.3</w:t>
      </w:r>
    </w:p>
    <w:p>
      <w:pPr>
        <w:spacing w:after="0" w:line="33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CONSENT</w:t>
      </w:r>
    </w:p>
    <w:p>
      <w:pPr>
        <w:spacing w:after="0" w:line="200" w:lineRule="exact"/>
        <w:rPr>
          <w:sz w:val="20"/>
          <w:szCs w:val="20"/>
          <w:color w:val="auto"/>
        </w:rPr>
      </w:pPr>
    </w:p>
    <w:p>
      <w:pPr>
        <w:spacing w:after="0" w:line="31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this Amendment No. 1 to Registration Statement No. 333-14109 of USA Waste Services, Inc. on Form S-4 of our report dated March 30, 1995 (relating to the consolidated financial statements of Chambers Development Company, Inc. and subsidiaries not presented separately herein) appearing in USA Waste Services, Inc.'s Current Report on Form 8-K/A, Amendment No. 3, dated May 7, 1996.</w:t>
      </w:r>
    </w:p>
    <w:p>
      <w:pPr>
        <w:spacing w:after="0" w:line="200" w:lineRule="exact"/>
        <w:rPr>
          <w:sz w:val="20"/>
          <w:szCs w:val="20"/>
          <w:color w:val="auto"/>
        </w:rPr>
      </w:pPr>
    </w:p>
    <w:p>
      <w:pPr>
        <w:spacing w:after="0" w:line="30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DELOITTE &amp; TOUCHE LLP</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rPr>
          <w:sz w:val="20"/>
          <w:szCs w:val="20"/>
          <w:color w:val="auto"/>
        </w:rPr>
      </w:pPr>
      <w:r>
        <w:rPr>
          <w:rFonts w:ascii="Courier New" w:cs="Courier New" w:eastAsia="Courier New" w:hAnsi="Courier New"/>
          <w:sz w:val="15"/>
          <w:szCs w:val="15"/>
          <w:color w:val="auto"/>
        </w:rPr>
        <w:t>November 18, 1996</w:t>
      </w:r>
    </w:p>
    <w:p>
      <w:pPr>
        <w:sectPr>
          <w:pgSz w:w="11900" w:h="16838" w:orient="portrait"/>
          <w:cols w:equalWidth="0" w:num="1">
            <w:col w:w="10219"/>
          </w:cols>
          <w:pgMar w:left="240" w:top="136" w:right="1440" w:bottom="1440" w:gutter="0" w:footer="0" w:header="0"/>
        </w:sectPr>
      </w:pPr>
    </w:p>
    <w:bookmarkStart w:id="31" w:name="page32"/>
    <w:bookmarkEnd w:id="31"/>
    <w:p>
      <w:pPr>
        <w:ind w:left="27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23.4</w:t>
      </w:r>
    </w:p>
    <w:p>
      <w:pPr>
        <w:spacing w:after="0" w:line="338"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314"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of USA Waste Services, Inc. on Form S-4 and the related Prospectus of (a) our report dated February 23, 1996 (except with respect to the matters discussed in Note 15, as to which the dates are March 4, 1996 and March 18, 1996 as indicated) with respect to the consolidated balance sheets of Sanifill, Inc. and subsidiaries as of December 31, 1995 and 1994, and the related consolidated statements of operations, stockholders' investment and cash flows for each of the three years in the period ended December 31, 1995 which is included in Sanifill, Inc.'s Annual Report on Form 10-K for the year ended December 31, 1995; (b) our reports dated (i) August 1, 1995 with respect to the combined balance sheets of Metropolitan Disposal and Recycling Corporation, Energy Reclamation, Inc., and</w:t>
      </w:r>
    </w:p>
    <w:p>
      <w:pPr>
        <w:spacing w:after="0" w:line="4" w:lineRule="exact"/>
        <w:rPr>
          <w:sz w:val="20"/>
          <w:szCs w:val="20"/>
          <w:color w:val="auto"/>
        </w:rPr>
      </w:pPr>
    </w:p>
    <w:p>
      <w:pPr>
        <w:ind w:left="10" w:right="3259" w:hanging="10"/>
        <w:spacing w:after="0" w:line="256" w:lineRule="auto"/>
        <w:tabs>
          <w:tab w:leader="none" w:pos="274"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Equipment, Inc. as of December 31, 1994 and 1993, and the related combined statements of operations, stockholders' equity and cash flows for each of the three years in the period ended December 31, 1994, (ii) January 9, 1996 with respect to the balance sheet of Falcon Disposal Services, Inc. as of December 31, 1994, and the related statements of operations, stockholders' equity and cash flows for the year then ended, (iii) February 2, 1996 with respect to the combined balance sheet of Garnet of Virginia, Inc. and Garnet of Maryland, Inc. as of December 31, 1995 and the related combined statements of operations, stockholders' deficit and cash flows for the year then ended, (iv) January 13, 1996 with respect to the combined balance sheet of the Combined Companies, as defined, as of December 31, 1994 and the related combined statement of operations, stockholders' equity and partners' capital and cash flows for the year then ended which are included in Sanifill, Inc.'s Current Report on Form</w:t>
      </w:r>
    </w:p>
    <w:p>
      <w:pPr>
        <w:spacing w:after="0" w:line="4" w:lineRule="exact"/>
        <w:rPr>
          <w:rFonts w:ascii="Courier New" w:cs="Courier New" w:eastAsia="Courier New" w:hAnsi="Courier New"/>
          <w:sz w:val="14"/>
          <w:szCs w:val="14"/>
          <w:color w:val="auto"/>
        </w:rPr>
      </w:pPr>
    </w:p>
    <w:p>
      <w:pPr>
        <w:ind w:left="10" w:right="325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8-K dated February 5, 1996; (c) our report dated February 8, 1996 with respect to the consolidated balance sheets of Sanifill, Inc. and subsidiaries as of December 31, 1994 and 1993, and the related consolidated statements of operations, stockholders' investment and cash flows for each of the three years in the period ended December 31, 1994 which is included in Sanifill, Inc.'s Current Report on Form 8-K dated February 11, 1996; (d) our report dated November 17, 1995 (except with respect to the matters discussed in Note 11, as to which the date is March 18, 1996) with respect to the combined balance sheets of PST Reclamation, Inc. and Taylor Land Resources, Inc. as of December 31, 1994 and 1993, and the related combined statements of operations and retained earnings and cash flows for the years then ended which is included in Sanifill, Inc.'s Current Report on Form 8-K dated March 20, 1996; (e) our report dated September 13, 1996, on our audit of the combined balance sheet of the Combined Companies (consisting of City Disposal, Inc. Alpine Disposal and Recycling, Inc. and L.G. Industries, Inc.) as of December 31, 1995, and the related combined statements of operations, stockholders' equity and partners' capital and cash flows for the year then ended, which are included in the Current Report on Form 8-K/A of USA Waste Services, Inc. filed on November 15, 1996; and (f) to all references to our Firm included in this Registration Statement of USA Waste Services, Inc. on Form S-4 and the Prospectus which forms a part thereof.</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ARTHUR ANDERSEN LLP</w:t>
      </w:r>
    </w:p>
    <w:p>
      <w:pPr>
        <w:ind w:left="10"/>
        <w:spacing w:after="0"/>
        <w:rPr>
          <w:sz w:val="20"/>
          <w:szCs w:val="20"/>
          <w:color w:val="auto"/>
        </w:rPr>
      </w:pPr>
      <w:r>
        <w:rPr>
          <w:rFonts w:ascii="Courier New" w:cs="Courier New" w:eastAsia="Courier New" w:hAnsi="Courier New"/>
          <w:sz w:val="15"/>
          <w:szCs w:val="15"/>
          <w:color w:val="auto"/>
        </w:rPr>
        <w:t>Houston, Texas</w:t>
      </w:r>
    </w:p>
    <w:p>
      <w:pPr>
        <w:ind w:left="10"/>
        <w:spacing w:after="0"/>
        <w:rPr>
          <w:sz w:val="20"/>
          <w:szCs w:val="20"/>
          <w:color w:val="auto"/>
        </w:rPr>
      </w:pPr>
      <w:r>
        <w:rPr>
          <w:rFonts w:ascii="Courier New" w:cs="Courier New" w:eastAsia="Courier New" w:hAnsi="Courier New"/>
          <w:sz w:val="15"/>
          <w:szCs w:val="15"/>
          <w:color w:val="auto"/>
        </w:rPr>
        <w:t>November 18, 1996</w:t>
      </w:r>
    </w:p>
    <w:p>
      <w:pPr>
        <w:sectPr>
          <w:pgSz w:w="11900" w:h="16838" w:orient="portrait"/>
          <w:cols w:equalWidth="0" w:num="1">
            <w:col w:w="10229"/>
          </w:cols>
          <w:pgMar w:left="230" w:top="136" w:right="1440" w:bottom="1440" w:gutter="0" w:footer="0" w:header="0"/>
        </w:sectPr>
      </w:pPr>
    </w:p>
    <w:bookmarkStart w:id="32" w:name="page33"/>
    <w:bookmarkEnd w:id="32"/>
    <w:p>
      <w:pPr>
        <w:ind w:left="27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23.5</w:t>
      </w:r>
    </w:p>
    <w:p>
      <w:pPr>
        <w:spacing w:after="0" w:line="200" w:lineRule="exact"/>
        <w:rPr>
          <w:sz w:val="20"/>
          <w:szCs w:val="20"/>
          <w:color w:val="auto"/>
        </w:rPr>
      </w:pPr>
    </w:p>
    <w:p>
      <w:pPr>
        <w:spacing w:after="0" w:line="308"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CONSENT TO INDEPENDENT AUDITORS</w:t>
      </w:r>
    </w:p>
    <w:p>
      <w:pPr>
        <w:spacing w:after="0" w:line="200" w:lineRule="exact"/>
        <w:rPr>
          <w:sz w:val="20"/>
          <w:szCs w:val="20"/>
          <w:color w:val="auto"/>
        </w:rPr>
      </w:pPr>
    </w:p>
    <w:p>
      <w:pPr>
        <w:spacing w:after="0" w:line="314"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S-4/A, Amendment No. 1, No. 333-14109) and related prospectus of USA Waste Services, Inc. and to the incorporation by reference therein of our reports (a) dated August 25, 1995 (except Note 8, as to which the date is September 12, 1995) with respect to the consolidated financial statements of Western Waste Industries at June 30, 1995 and 1994, and for each of the three years in the period ended June 30, 1995 included in USA Waste Services, Inc.'s Current Report on Form 8-K dated January 9, 1996, and</w:t>
      </w:r>
    </w:p>
    <w:p>
      <w:pPr>
        <w:spacing w:after="0" w:line="3" w:lineRule="exact"/>
        <w:rPr>
          <w:sz w:val="20"/>
          <w:szCs w:val="20"/>
          <w:color w:val="auto"/>
        </w:rPr>
      </w:pPr>
    </w:p>
    <w:p>
      <w:pPr>
        <w:ind w:left="10" w:right="3259" w:hanging="10"/>
        <w:spacing w:after="0" w:line="238" w:lineRule="auto"/>
        <w:tabs>
          <w:tab w:leader="none" w:pos="36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dated August 25, 1995 (except Note 8, as to which the date is September 12, 1995) with respect to the consolidated financial statements of Western Waste Industries at June 30, 1995 and 1994, and for each of the two years in the period ended June 30, 1995 (which consolidated financial statements are not presented separately therein) included in USA Waste Services, Inc.'s Current Report on Form 8-K/A (Amendment No. 3), dated July 1, 1996, both filed with the Securities and Exchange Commission.</w:t>
      </w:r>
    </w:p>
    <w:p>
      <w:pPr>
        <w:spacing w:after="0" w:line="200" w:lineRule="exact"/>
        <w:rPr>
          <w:sz w:val="20"/>
          <w:szCs w:val="20"/>
          <w:color w:val="auto"/>
        </w:rPr>
      </w:pPr>
    </w:p>
    <w:p>
      <w:pPr>
        <w:spacing w:after="0" w:line="310"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ERNST &amp; YOUNG LLP</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Long Beach, California</w:t>
      </w:r>
    </w:p>
    <w:p>
      <w:pPr>
        <w:ind w:left="10"/>
        <w:spacing w:after="0"/>
        <w:rPr>
          <w:sz w:val="20"/>
          <w:szCs w:val="20"/>
          <w:color w:val="auto"/>
        </w:rPr>
      </w:pPr>
      <w:r>
        <w:rPr>
          <w:rFonts w:ascii="Courier New" w:cs="Courier New" w:eastAsia="Courier New" w:hAnsi="Courier New"/>
          <w:sz w:val="15"/>
          <w:szCs w:val="15"/>
          <w:color w:val="auto"/>
        </w:rPr>
        <w:t>November 18, 1996</w:t>
      </w:r>
    </w:p>
    <w:p>
      <w:pPr>
        <w:sectPr>
          <w:pgSz w:w="11900" w:h="16838" w:orient="portrait"/>
          <w:cols w:equalWidth="0" w:num="1">
            <w:col w:w="10229"/>
          </w:cols>
          <w:pgMar w:left="230" w:top="136"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23.6</w:t>
      </w:r>
    </w:p>
    <w:p>
      <w:pPr>
        <w:spacing w:after="0" w:line="33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31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USA Waste Services, Inc. on Amendment No. 1 to Form S-4 of our report dated October 25, 1996, on our audit of the balance sheet of the business of Les Enterprises de Rebuts Sanipan Inc. acquired by USA Waste Services, Inc. as of December 31, 1995, and the related statements of earnings and retained earnings and changes in financial position for the year then ended, our report dated October 25, 1996, on our audit of balance sheet of Transport Sanico Ltee as of December 31, 1995, and the related statements of earnings and retained earnings and changes in financial position for the year then ended, our report dated November 8, 1996, on our audit of the historical summary of revenues and direct operating expenses of the Combined Ontario and Michigan Operations of the Solid Waste Division of Philip Environmental Inc. for the year ended December 31, 1995, and our report dated November 8, 1996, on our audit of the historical summary of the net book value of property, plant and equipment of the Combined Ontario and Michigan Operations of the Solid Waste Division of Philip Environmental Inc. for the year ended December 31, 1995, which are included in USA Waste Services, Inc.'s Current Report on Form 8-K/A dated November 15, 1996.</w:t>
      </w:r>
    </w:p>
    <w:p>
      <w:pPr>
        <w:spacing w:after="0" w:line="200" w:lineRule="exact"/>
        <w:rPr>
          <w:sz w:val="20"/>
          <w:szCs w:val="20"/>
          <w:color w:val="auto"/>
        </w:rPr>
      </w:pPr>
    </w:p>
    <w:p>
      <w:pPr>
        <w:spacing w:after="0" w:line="297"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 DELOITTE &amp; TOUCHE</w:t>
      </w:r>
    </w:p>
    <w:p>
      <w:pPr>
        <w:ind w:left="3700"/>
        <w:spacing w:after="0"/>
        <w:rPr>
          <w:sz w:val="20"/>
          <w:szCs w:val="20"/>
          <w:color w:val="auto"/>
        </w:rPr>
      </w:pPr>
      <w:r>
        <w:rPr>
          <w:rFonts w:ascii="Courier New" w:cs="Courier New" w:eastAsia="Courier New" w:hAnsi="Courier New"/>
          <w:sz w:val="15"/>
          <w:szCs w:val="15"/>
          <w:color w:val="auto"/>
        </w:rPr>
        <w:t>---------------------</w:t>
      </w:r>
    </w:p>
    <w:p>
      <w:pPr>
        <w:ind w:left="3700"/>
        <w:spacing w:after="0"/>
        <w:rPr>
          <w:sz w:val="20"/>
          <w:szCs w:val="20"/>
          <w:color w:val="auto"/>
        </w:rPr>
      </w:pPr>
      <w:r>
        <w:rPr>
          <w:rFonts w:ascii="Courier New" w:cs="Courier New" w:eastAsia="Courier New" w:hAnsi="Courier New"/>
          <w:sz w:val="15"/>
          <w:szCs w:val="15"/>
          <w:color w:val="auto"/>
        </w:rPr>
        <w:t>DELOITTE &amp; TOUCHE</w:t>
      </w:r>
    </w:p>
    <w:p>
      <w:pPr>
        <w:ind w:left="3700"/>
        <w:spacing w:after="0" w:line="238" w:lineRule="auto"/>
        <w:rPr>
          <w:sz w:val="20"/>
          <w:szCs w:val="20"/>
          <w:color w:val="auto"/>
        </w:rPr>
      </w:pPr>
      <w:r>
        <w:rPr>
          <w:rFonts w:ascii="Courier New" w:cs="Courier New" w:eastAsia="Courier New" w:hAnsi="Courier New"/>
          <w:sz w:val="15"/>
          <w:szCs w:val="15"/>
          <w:color w:val="auto"/>
        </w:rPr>
        <w:t>Chartered Accountants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Mississauga Ontario</w:t>
      </w:r>
    </w:p>
    <w:p>
      <w:pPr>
        <w:spacing w:after="0"/>
        <w:rPr>
          <w:sz w:val="20"/>
          <w:szCs w:val="20"/>
          <w:color w:val="auto"/>
        </w:rPr>
      </w:pPr>
      <w:r>
        <w:rPr>
          <w:rFonts w:ascii="Courier New" w:cs="Courier New" w:eastAsia="Courier New" w:hAnsi="Courier New"/>
          <w:sz w:val="15"/>
          <w:szCs w:val="15"/>
          <w:color w:val="auto"/>
        </w:rPr>
        <w:t>November 18, 1996</w:t>
      </w:r>
    </w:p>
    <w:p>
      <w:pPr>
        <w:sectPr>
          <w:pgSz w:w="11900" w:h="16838" w:orient="portrait"/>
          <w:cols w:equalWidth="0" w:num="1">
            <w:col w:w="10219"/>
          </w:cols>
          <w:pgMar w:left="240" w:top="136"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23.7</w:t>
      </w:r>
    </w:p>
    <w:p>
      <w:pPr>
        <w:spacing w:after="0" w:line="33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14"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USA Waste Services, Inc. on Amendment No. 1 to Form S-4 of our report dated October 15, 1996, on our audit of the balance sheet of Kasper Brothers, Inc. as of September 30, 1995 and the related statements of operations and retained earnings and cash flows for the fiscal year then ended, which is included in USA Waste Services, Inc.'s Current Report on Form 8-K/A dated November 15, 1996.</w:t>
      </w:r>
    </w:p>
    <w:p>
      <w:pPr>
        <w:spacing w:after="0" w:line="32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COOPERS &amp; LYBRAND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rPr>
          <w:sz w:val="20"/>
          <w:szCs w:val="20"/>
          <w:color w:val="auto"/>
        </w:rPr>
      </w:pPr>
      <w:r>
        <w:rPr>
          <w:rFonts w:ascii="Courier New" w:cs="Courier New" w:eastAsia="Courier New" w:hAnsi="Courier New"/>
          <w:sz w:val="15"/>
          <w:szCs w:val="15"/>
          <w:color w:val="auto"/>
        </w:rPr>
        <w:t>November 18, 1996</w:t>
      </w:r>
    </w:p>
    <w:p>
      <w:pPr>
        <w:sectPr>
          <w:pgSz w:w="11900" w:h="16838" w:orient="portrait"/>
          <w:cols w:equalWidth="0" w:num="1">
            <w:col w:w="10219"/>
          </w:cols>
          <w:pgMar w:left="240" w:top="136"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23.8</w:t>
      </w:r>
    </w:p>
    <w:p>
      <w:pPr>
        <w:spacing w:after="0" w:line="33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1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Amendment No. 1 to Form S-4 of our report dated March 11, 1996, on our audit of the combined balance sheet of the Arnoni Group of Companies (consisting of The Arnoni Group, Inc., M.C. Arnoni Company, South Hills Disposal Company, Cochran Mill Associates, Inc. and Arnoni Family Partnership) as of December 31, 1995, and the related combined statement of income and retained earnings and combined statement of cash flows for the year then ended, which is included in USA Waste Services, Inc.'s Current Report on Form 8-K/A dated November 15, 1996.</w:t>
      </w:r>
    </w:p>
    <w:p>
      <w:pPr>
        <w:spacing w:after="0" w:line="342"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KAPLAN SIPOS &amp; ASSOCIATES</w:t>
      </w:r>
    </w:p>
    <w:p>
      <w:pPr>
        <w:ind w:left="3700"/>
        <w:spacing w:after="0"/>
        <w:rPr>
          <w:sz w:val="20"/>
          <w:szCs w:val="20"/>
          <w:color w:val="auto"/>
        </w:rPr>
      </w:pPr>
      <w:r>
        <w:rPr>
          <w:rFonts w:ascii="Courier New" w:cs="Courier New" w:eastAsia="Courier New" w:hAnsi="Courier New"/>
          <w:sz w:val="15"/>
          <w:szCs w:val="15"/>
          <w:color w:val="auto"/>
        </w:rPr>
        <w:t>CERTIFIED PUBLIC ACCOUNTANTS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rPr>
          <w:sz w:val="20"/>
          <w:szCs w:val="20"/>
          <w:color w:val="auto"/>
        </w:rPr>
      </w:pPr>
      <w:r>
        <w:rPr>
          <w:rFonts w:ascii="Courier New" w:cs="Courier New" w:eastAsia="Courier New" w:hAnsi="Courier New"/>
          <w:sz w:val="15"/>
          <w:szCs w:val="15"/>
          <w:color w:val="auto"/>
        </w:rPr>
        <w:t>November 18, 1996</w:t>
      </w:r>
    </w:p>
    <w:p>
      <w:pPr>
        <w:sectPr>
          <w:pgSz w:w="11900" w:h="16838" w:orient="portrait"/>
          <w:cols w:equalWidth="0" w:num="1">
            <w:col w:w="10219"/>
          </w:cols>
          <w:pgMar w:left="240" w:top="136"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23.9</w:t>
      </w:r>
    </w:p>
    <w:p>
      <w:pPr>
        <w:spacing w:after="0" w:line="33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1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Amendment No. 1 to Form S-4 of our report dated March 18, 1996, on our audit of the balance sheet of Jennings Environmental Services, Inc. (an S corporation) as of December 31, 1995 and the related statements of income and changes in stockholders' equity and the statement of cash flows for the year then ended, which is included in USA Waste Services, Inc.'s Current Report on Form 8-K/A dated November 15, 1996.</w:t>
      </w:r>
    </w:p>
    <w:p>
      <w:pPr>
        <w:spacing w:after="0" w:line="340"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BLAKE, KUEHLER, BABIONE &amp; POOL</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Orlando, Florida</w:t>
      </w:r>
    </w:p>
    <w:p>
      <w:pPr>
        <w:spacing w:after="0"/>
        <w:rPr>
          <w:sz w:val="20"/>
          <w:szCs w:val="20"/>
          <w:color w:val="auto"/>
        </w:rPr>
      </w:pPr>
      <w:r>
        <w:rPr>
          <w:rFonts w:ascii="Courier New" w:cs="Courier New" w:eastAsia="Courier New" w:hAnsi="Courier New"/>
          <w:sz w:val="15"/>
          <w:szCs w:val="15"/>
          <w:color w:val="auto"/>
        </w:rPr>
        <w:t>November 18, 1996</w:t>
      </w:r>
    </w:p>
    <w:p>
      <w:pPr>
        <w:sectPr>
          <w:pgSz w:w="11900" w:h="16838" w:orient="portrait"/>
          <w:cols w:equalWidth="0" w:num="1">
            <w:col w:w="10219"/>
          </w:cols>
          <w:pgMar w:left="240" w:top="136"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23.10</w:t>
      </w:r>
    </w:p>
    <w:p>
      <w:pPr>
        <w:spacing w:after="0" w:line="33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1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Amendment No. 1 to Form S-4 of our report dated September 19, 1996, on our audit of the combined balance sheet of Grand Central Sanitation, Inc. and Related Companies as of December 31, 1995, and the related combined statements of income, stockholders' equity and cash flows for the year then ended, which is included in USA Waste Services, Inc.'s Current Report on Form 8-K/A dated November 15, 1996.</w:t>
      </w:r>
    </w:p>
    <w:p>
      <w:pPr>
        <w:spacing w:after="0" w:line="34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BUCKNO LISICKY &amp; COMPANY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Allentown, Pennsylvania</w:t>
      </w:r>
    </w:p>
    <w:p>
      <w:pPr>
        <w:spacing w:after="0"/>
        <w:rPr>
          <w:sz w:val="20"/>
          <w:szCs w:val="20"/>
          <w:color w:val="auto"/>
        </w:rPr>
      </w:pPr>
      <w:r>
        <w:rPr>
          <w:rFonts w:ascii="Courier New" w:cs="Courier New" w:eastAsia="Courier New" w:hAnsi="Courier New"/>
          <w:sz w:val="15"/>
          <w:szCs w:val="15"/>
          <w:color w:val="auto"/>
        </w:rPr>
        <w:t>November 18, 1996</w:t>
      </w:r>
    </w:p>
    <w:p>
      <w:pPr>
        <w:sectPr>
          <w:pgSz w:w="11900" w:h="16838" w:orient="portrait"/>
          <w:cols w:equalWidth="0" w:num="1">
            <w:col w:w="10219"/>
          </w:cols>
          <w:pgMar w:left="240" w:top="136"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23.11</w:t>
      </w:r>
    </w:p>
    <w:p>
      <w:pPr>
        <w:spacing w:after="0" w:line="33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1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Amendment No. 1 to Form S-4 of our report dated July 13, 1996, on our audit of the combined balance sheet of The Orange Group (consisting of Orange Waste, Recycling &amp; Materials, Inc., Orange Soil Cement, Inc., Orange Trucking, Inc. and Orange Transportation Corp.), as of December 31, 1995, and the related combined statements of operations, retained earnings, and cash flows for the year then ended, which is included in USA Waste Services, Inc.'s Current Report on Form 8-K/A dated November 15, 1996.</w:t>
      </w:r>
    </w:p>
    <w:p>
      <w:pPr>
        <w:spacing w:after="0" w:line="34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OSBURN, HENNING AND COMPANY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Orlando, Florida</w:t>
      </w:r>
    </w:p>
    <w:p>
      <w:pPr>
        <w:spacing w:after="0"/>
        <w:rPr>
          <w:sz w:val="20"/>
          <w:szCs w:val="20"/>
          <w:color w:val="auto"/>
        </w:rPr>
      </w:pPr>
      <w:r>
        <w:rPr>
          <w:rFonts w:ascii="Courier New" w:cs="Courier New" w:eastAsia="Courier New" w:hAnsi="Courier New"/>
          <w:sz w:val="15"/>
          <w:szCs w:val="15"/>
          <w:color w:val="auto"/>
        </w:rPr>
        <w:t>November 18, 1996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Roman"/>
      <w:start w:val="2"/>
    </w:lvl>
  </w:abstractNum>
  <w:abstractNum w:abstractNumId="5">
    <w:nsid w:val="519B500D"/>
    <w:multiLevelType w:val="hybridMultilevel"/>
    <w:lvl w:ilvl="0">
      <w:lvlJc w:val="left"/>
      <w:lvlText w:val="(%1)"/>
      <w:numFmt w:val="lowerRoman"/>
      <w:start w:val="6"/>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decimal"/>
      <w:start w:val="145"/>
    </w:lvl>
  </w:abstractNum>
  <w:abstractNum w:abstractNumId="8">
    <w:nsid w:val="7C83E458"/>
    <w:multiLevelType w:val="hybridMultilevel"/>
    <w:lvl w:ilvl="0">
      <w:lvlJc w:val="left"/>
      <w:lvlText w:val="%1"/>
      <w:numFmt w:val="lowerLetter"/>
      <w:start w:val="1"/>
    </w:lvl>
    <w:lvl w:ilvl="1">
      <w:lvlJc w:val="left"/>
      <w:lvlText w:val="(%2)"/>
      <w:numFmt w:val="lowerLetter"/>
      <w:start w:val="2"/>
    </w:lvl>
  </w:abstractNum>
  <w:abstractNum w:abstractNumId="9">
    <w:nsid w:val="257130A3"/>
    <w:multiLevelType w:val="hybridMultilevel"/>
    <w:lvl w:ilvl="0">
      <w:lvlJc w:val="left"/>
      <w:lvlText w:val="(%1)"/>
      <w:numFmt w:val="lowerLetter"/>
      <w:start w:val="2"/>
    </w:lvl>
    <w:lvl w:ilvl="1">
      <w:lvlJc w:val="left"/>
      <w:lvlText w:val="(%2)"/>
      <w:numFmt w:val="lowerLetter"/>
      <w:start w:val="5"/>
    </w:lvl>
  </w:abstractNum>
  <w:abstractNum w:abstractNumId="10">
    <w:nsid w:val="62BBD95A"/>
    <w:multiLevelType w:val="hybridMultilevel"/>
    <w:lvl w:ilvl="0">
      <w:lvlJc w:val="left"/>
      <w:lvlText w:val="(%1)"/>
      <w:numFmt w:val="lowerLetter"/>
      <w:start w:val="7"/>
    </w:lvl>
  </w:abstractNum>
  <w:abstractNum w:abstractNumId="11">
    <w:nsid w:val="436C6125"/>
    <w:multiLevelType w:val="hybridMultilevel"/>
    <w:lvl w:ilvl="0">
      <w:lvlJc w:val="left"/>
      <w:lvlText w:val="%1"/>
      <w:numFmt w:val="decimal"/>
      <w:start w:val="21"/>
    </w:lvl>
  </w:abstractNum>
  <w:abstractNum w:abstractNumId="12">
    <w:nsid w:val="628C895D"/>
    <w:multiLevelType w:val="hybridMultilevel"/>
    <w:lvl w:ilvl="0">
      <w:lvlJc w:val="left"/>
      <w:lvlText w:val="-"/>
      <w:numFmt w:val="bullet"/>
      <w:start w:val="1"/>
    </w:lvl>
    <w:lvl w:ilvl="1">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2443A858"/>
    <w:multiLevelType w:val="hybridMultilevel"/>
    <w:lvl w:ilvl="0">
      <w:lvlJc w:val="left"/>
      <w:lvlText w:val="(%1)"/>
      <w:numFmt w:val="decimal"/>
      <w:start w:val="2"/>
    </w:lvl>
  </w:abstractNum>
  <w:abstractNum w:abstractNumId="16">
    <w:nsid w:val="2D1D5AE9"/>
    <w:multiLevelType w:val="hybridMultilevel"/>
    <w:lvl w:ilvl="0">
      <w:lvlJc w:val="left"/>
      <w:lvlText w:val="(%1)"/>
      <w:numFmt w:val="lowerLetter"/>
      <w:start w:val="2"/>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21"/>
    </w:lvl>
  </w:abstractNum>
  <w:abstractNum w:abstractNumId="26">
    <w:nsid w:val="2CA88611"/>
    <w:multiLevelType w:val="hybridMultilevel"/>
    <w:lvl w:ilvl="0">
      <w:lvlJc w:val="left"/>
      <w:lvlText w:val="*"/>
      <w:numFmt w:val="bullet"/>
      <w:start w:val="1"/>
    </w:lvl>
    <w:lvl w:ilvl="1">
      <w:lvlJc w:val="left"/>
      <w:lvlText w:val="%2"/>
      <w:numFmt w:val="decimal"/>
      <w:start w:val="24"/>
    </w:lvl>
  </w:abstractNum>
  <w:abstractNum w:abstractNumId="27">
    <w:nsid w:val="836C40E"/>
    <w:multiLevelType w:val="hybridMultilevel"/>
    <w:lvl w:ilvl="0">
      <w:lvlJc w:val="left"/>
      <w:lvlText w:val="%1"/>
      <w:numFmt w:val="upperLetter"/>
      <w:start w:val="31"/>
    </w:lvl>
  </w:abstractNum>
  <w:abstractNum w:abstractNumId="28">
    <w:nsid w:val="2901D8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2019-12-12T07:03:38Z</dcterms:created>
  <dcterms:modified xsi:type="dcterms:W3CDTF">2019-12-12T07:03:38Z</dcterms:modified>
</cp:coreProperties>
</file>