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00" w:type="dxa"/>
            <w:vAlign w:val="bottom"/>
            <w:gridSpan w:val="2"/>
            <w:vMerge w:val="restart"/>
          </w:tcPr>
          <w:p>
            <w:pPr>
              <w:spacing w:after="0"/>
              <w:rPr>
                <w:rFonts w:ascii="Times New Roman" w:cs="Times New Roman" w:eastAsia="Times New Roman" w:hAnsi="Times New Roman"/>
                <w:sz w:val="22"/>
                <w:szCs w:val="22"/>
                <w:color w:val="0000EE"/>
                <w:w w:val="96"/>
              </w:rPr>
            </w:pPr>
            <w:hyperlink r:id="rId12">
              <w:r>
                <w:rPr>
                  <w:rFonts w:ascii="Times New Roman" w:cs="Times New Roman" w:eastAsia="Times New Roman" w:hAnsi="Times New Roman"/>
                  <w:sz w:val="22"/>
                  <w:szCs w:val="22"/>
                  <w:color w:val="0000EE"/>
                  <w:w w:val="96"/>
                </w:rPr>
                <w:t>STEINER DAVID P</w:t>
              </w:r>
            </w:hyperlink>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WASTE MANAGEMENT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ind w:left="120"/>
              <w:spacing w:after="0"/>
              <w:rPr>
                <w:sz w:val="20"/>
                <w:szCs w:val="20"/>
                <w:color w:val="auto"/>
              </w:rPr>
            </w:pPr>
            <w:r>
              <w:rPr>
                <w:rFonts w:ascii="Arial" w:cs="Arial" w:eastAsia="Arial" w:hAnsi="Arial"/>
                <w:sz w:val="14"/>
                <w:szCs w:val="14"/>
                <w:color w:val="auto"/>
              </w:rPr>
              <w:t>(First)</w:t>
            </w:r>
          </w:p>
        </w:tc>
        <w:tc>
          <w:tcPr>
            <w:tcW w:w="2000" w:type="dxa"/>
            <w:vAlign w:val="bottom"/>
          </w:tcPr>
          <w:p>
            <w:pPr>
              <w:ind w:left="7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1001 FANNIN</w:t>
            </w:r>
          </w:p>
        </w:tc>
        <w:tc>
          <w:tcPr>
            <w:tcW w:w="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SUITE 4000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0"/>
          <w:szCs w:val="20"/>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0000FF"/>
        </w:rPr>
        <w:t>Chief Executive Officer</w:t>
      </w:r>
    </w:p>
    <w:p>
      <w:pPr>
        <w:spacing w:after="0" w:line="411" w:lineRule="exact"/>
        <w:rPr>
          <w:sz w:val="20"/>
          <w:szCs w:val="20"/>
          <w:color w:val="auto"/>
        </w:rPr>
      </w:pPr>
    </w:p>
    <w:p>
      <w:pPr>
        <w:sectPr>
          <w:pgSz w:w="11900" w:h="16838" w:orient="portrait"/>
          <w:cols w:equalWidth="0" w:num="2">
            <w:col w:w="7980" w:space="77"/>
            <w:col w:w="3363"/>
          </w:cols>
          <w:pgMar w:left="240" w:top="220" w:right="23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320" w:type="dxa"/>
            <w:vAlign w:val="bottom"/>
            <w:gridSpan w:val="7"/>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01/26/2007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96"/>
              </w:rPr>
              <w:t>23,457</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500" w:type="dxa"/>
            <w:vAlign w:val="bottom"/>
            <w:tcBorders>
              <w:bottom w:val="single" w:sz="8" w:color="2C2C2C"/>
            </w:tcBorders>
            <w:gridSpan w:val="3"/>
          </w:tcPr>
          <w:p>
            <w:pPr>
              <w:jc w:val="right"/>
              <w:ind w:right="119"/>
              <w:spacing w:after="0"/>
              <w:rPr>
                <w:sz w:val="20"/>
                <w:szCs w:val="20"/>
                <w:color w:val="auto"/>
              </w:rPr>
            </w:pPr>
            <w:r>
              <w:rPr>
                <w:rFonts w:ascii="Times New Roman" w:cs="Times New Roman" w:eastAsia="Times New Roman" w:hAnsi="Times New Roman"/>
                <w:sz w:val="18"/>
                <w:szCs w:val="18"/>
                <w:color w:val="0000FF"/>
              </w:rPr>
              <w:t>242,471.9355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right"/>
              <w:ind w:right="259"/>
              <w:spacing w:after="0"/>
              <w:rPr>
                <w:sz w:val="20"/>
                <w:szCs w:val="20"/>
                <w:color w:val="auto"/>
              </w:rPr>
            </w:pPr>
            <w:r>
              <w:rPr>
                <w:rFonts w:ascii="Times New Roman" w:cs="Times New Roman" w:eastAsia="Times New Roman" w:hAnsi="Times New Roman"/>
                <w:sz w:val="18"/>
                <w:szCs w:val="18"/>
                <w:color w:val="0000FF"/>
              </w:rPr>
              <w:t>3,155.344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Restricted stock units granted pursuant to the Waste Management, Inc. 2004 Stock Incentive Plan. The restricted stock units vest in their entirety on the third anniversary of the date of grant.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4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2019-12-16T05:26:40Z</dcterms:created>
  <dcterms:modified xsi:type="dcterms:W3CDTF">2019-12-16T05:26:40Z</dcterms:modified>
</cp:coreProperties>
</file>