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SECURITIES AND EXCHANGE COMMISSION</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Pursuant to Section 13 or 15(d) of the Securities Exchange Act of 1934</w:t>
      </w:r>
    </w:p>
    <w:p>
      <w:pPr>
        <w:spacing w:after="0" w:line="19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April 26, 2022</w:t>
      </w:r>
    </w:p>
    <w:p>
      <w:pPr>
        <w:spacing w:after="0" w:line="2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Waste Management, Inc.</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ectPr>
          <w:pgSz w:w="11900" w:h="16838" w:orient="portrait"/>
          <w:cols w:equalWidth="0" w:num="1">
            <w:col w:w="11240"/>
          </w:cols>
          <w:pgMar w:left="320" w:top="756" w:right="339" w:bottom="1440" w:gutter="0" w:footer="0" w:header="0"/>
        </w:sectPr>
      </w:pPr>
    </w:p>
    <w:p>
      <w:pPr>
        <w:spacing w:after="0" w:line="201" w:lineRule="exact"/>
        <w:rPr>
          <w:sz w:val="24"/>
          <w:szCs w:val="24"/>
          <w:color w:val="auto"/>
        </w:rPr>
      </w:pPr>
    </w:p>
    <w:p>
      <w:pPr>
        <w:ind w:left="156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940"/>
        <w:spacing w:after="0"/>
        <w:rPr>
          <w:sz w:val="20"/>
          <w:szCs w:val="20"/>
          <w:color w:val="auto"/>
        </w:rPr>
      </w:pPr>
      <w:r>
        <w:rPr>
          <w:rFonts w:ascii="Times New Roman" w:cs="Times New Roman" w:eastAsia="Times New Roman" w:hAnsi="Times New Roman"/>
          <w:sz w:val="18"/>
          <w:szCs w:val="18"/>
          <w:color w:val="auto"/>
        </w:rPr>
        <w:t>(State or Other Jurisdiction</w:t>
      </w:r>
    </w:p>
    <w:p>
      <w:pPr>
        <w:spacing w:after="0" w:line="9" w:lineRule="exact"/>
        <w:rPr>
          <w:sz w:val="24"/>
          <w:szCs w:val="24"/>
          <w:color w:val="auto"/>
        </w:rPr>
      </w:pPr>
    </w:p>
    <w:p>
      <w:pPr>
        <w:ind w:left="130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320"/>
        <w:spacing w:after="0"/>
        <w:rPr>
          <w:sz w:val="20"/>
          <w:szCs w:val="20"/>
          <w:color w:val="auto"/>
        </w:rPr>
      </w:pPr>
      <w:r>
        <w:rPr>
          <w:rFonts w:ascii="Times New Roman" w:cs="Times New Roman" w:eastAsia="Times New Roman" w:hAnsi="Times New Roman"/>
          <w:sz w:val="18"/>
          <w:szCs w:val="18"/>
          <w:b w:val="1"/>
          <w:bCs w:val="1"/>
          <w:color w:val="auto"/>
        </w:rPr>
        <w:t>1-12154</w:t>
      </w:r>
    </w:p>
    <w:p>
      <w:pPr>
        <w:spacing w:after="0" w:line="31" w:lineRule="exact"/>
        <w:rPr>
          <w:sz w:val="24"/>
          <w:szCs w:val="24"/>
          <w:color w:val="auto"/>
        </w:rPr>
      </w:pPr>
    </w:p>
    <w:p>
      <w:pPr>
        <w:jc w:val="center"/>
        <w:ind w:right="132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73-1309529</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4040" w:space="720"/>
            <w:col w:w="3300" w:space="720"/>
            <w:col w:w="2460"/>
          </w:cols>
          <w:pgMar w:left="320" w:top="756" w:right="339" w:bottom="1440" w:gutter="0" w:footer="0" w:header="0"/>
          <w:type w:val="continuous"/>
        </w:sectPr>
      </w:pPr>
    </w:p>
    <w:p>
      <w:pPr>
        <w:spacing w:after="0" w:line="3" w:lineRule="exact"/>
        <w:rPr>
          <w:sz w:val="24"/>
          <w:szCs w:val="24"/>
          <w:color w:val="auto"/>
        </w:rPr>
      </w:pPr>
    </w:p>
    <w:p>
      <w:pPr>
        <w:ind w:left="1060"/>
        <w:spacing w:after="0"/>
        <w:rPr>
          <w:sz w:val="20"/>
          <w:szCs w:val="20"/>
          <w:color w:val="auto"/>
        </w:rPr>
      </w:pPr>
      <w:r>
        <w:rPr>
          <w:rFonts w:ascii="Times New Roman" w:cs="Times New Roman" w:eastAsia="Times New Roman" w:hAnsi="Times New Roman"/>
          <w:sz w:val="17"/>
          <w:szCs w:val="17"/>
          <w:b w:val="1"/>
          <w:bCs w:val="1"/>
          <w:color w:val="auto"/>
        </w:rPr>
        <w:t>800 Capitol Street, Suite 3000, Houston, Texas</w:t>
      </w:r>
    </w:p>
    <w:p>
      <w:pPr>
        <w:spacing w:after="0" w:line="43" w:lineRule="exact"/>
        <w:rPr>
          <w:sz w:val="24"/>
          <w:szCs w:val="24"/>
          <w:color w:val="auto"/>
        </w:rPr>
      </w:pPr>
    </w:p>
    <w:p>
      <w:pPr>
        <w:ind w:left="136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2360"/>
        <w:spacing w:after="0"/>
        <w:rPr>
          <w:sz w:val="20"/>
          <w:szCs w:val="20"/>
          <w:color w:val="auto"/>
        </w:rPr>
      </w:pPr>
      <w:r>
        <w:rPr>
          <w:rFonts w:ascii="Times New Roman" w:cs="Times New Roman" w:eastAsia="Times New Roman" w:hAnsi="Times New Roman"/>
          <w:sz w:val="18"/>
          <w:szCs w:val="18"/>
          <w:b w:val="1"/>
          <w:bCs w:val="1"/>
          <w:color w:val="auto"/>
        </w:rPr>
        <w:t>77002</w:t>
      </w:r>
    </w:p>
    <w:p>
      <w:pPr>
        <w:spacing w:after="0" w:line="31"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7"/>
          <w:szCs w:val="17"/>
          <w:color w:val="auto"/>
        </w:rPr>
        <w:t>(Zip Code)</w:t>
      </w:r>
    </w:p>
    <w:p>
      <w:pPr>
        <w:spacing w:after="0" w:line="211" w:lineRule="exact"/>
        <w:rPr>
          <w:sz w:val="24"/>
          <w:szCs w:val="24"/>
          <w:color w:val="auto"/>
        </w:rPr>
      </w:pPr>
    </w:p>
    <w:p>
      <w:pPr>
        <w:sectPr>
          <w:pgSz w:w="11900" w:h="16838" w:orient="portrait"/>
          <w:cols w:equalWidth="0" w:num="2">
            <w:col w:w="7380" w:space="720"/>
            <w:col w:w="3140"/>
          </w:cols>
          <w:pgMar w:left="320" w:top="756"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(713) 512-6200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328295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03"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03"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03"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23" w:lineRule="exact"/>
        <w:rPr>
          <w:sz w:val="24"/>
          <w:szCs w:val="24"/>
          <w:color w:val="auto"/>
        </w:rPr>
      </w:pPr>
    </w:p>
    <w:tbl>
      <w:tblPr>
        <w:tblLayout w:type="fixed"/>
        <w:tblInd w:w="10" w:type="dxa"/>
        <w:tblCellMar>
          <w:top w:w="0" w:type="dxa"/>
          <w:left w:w="0" w:type="dxa"/>
          <w:bottom w:w="0" w:type="dxa"/>
          <w:right w:w="0" w:type="dxa"/>
        </w:tblCellMar>
      </w:tblPr>
      <w:tr>
        <w:trPr>
          <w:trHeight w:val="284"/>
        </w:trPr>
        <w:tc>
          <w:tcPr>
            <w:tcW w:w="39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Title of each class</w:t>
            </w:r>
          </w:p>
        </w:tc>
        <w:tc>
          <w:tcPr>
            <w:tcW w:w="370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Trading Symbol(s)</w:t>
            </w:r>
          </w:p>
        </w:tc>
        <w:tc>
          <w:tcPr>
            <w:tcW w:w="358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54"/>
        </w:trPr>
        <w:tc>
          <w:tcPr>
            <w:tcW w:w="3960" w:type="dxa"/>
            <w:vAlign w:val="bottom"/>
            <w:tcBorders>
              <w:left w:val="single" w:sz="8" w:color="auto"/>
              <w:bottom w:val="single" w:sz="8" w:color="auto"/>
              <w:right w:val="single" w:sz="8" w:color="auto"/>
            </w:tcBorders>
          </w:tcPr>
          <w:p>
            <w:pPr>
              <w:spacing w:after="0"/>
              <w:rPr>
                <w:sz w:val="4"/>
                <w:szCs w:val="4"/>
                <w:color w:val="auto"/>
              </w:rPr>
            </w:pPr>
          </w:p>
        </w:tc>
        <w:tc>
          <w:tcPr>
            <w:tcW w:w="3700" w:type="dxa"/>
            <w:vAlign w:val="bottom"/>
            <w:tcBorders>
              <w:bottom w:val="single" w:sz="8" w:color="auto"/>
              <w:right w:val="single" w:sz="8" w:color="auto"/>
            </w:tcBorders>
          </w:tcPr>
          <w:p>
            <w:pPr>
              <w:spacing w:after="0"/>
              <w:rPr>
                <w:sz w:val="4"/>
                <w:szCs w:val="4"/>
                <w:color w:val="auto"/>
              </w:rPr>
            </w:pPr>
          </w:p>
        </w:tc>
        <w:tc>
          <w:tcPr>
            <w:tcW w:w="3580" w:type="dxa"/>
            <w:vAlign w:val="bottom"/>
            <w:tcBorders>
              <w:bottom w:val="single" w:sz="8" w:color="auto"/>
              <w:right w:val="single" w:sz="8" w:color="auto"/>
            </w:tcBorders>
          </w:tcPr>
          <w:p>
            <w:pPr>
              <w:spacing w:after="0"/>
              <w:rPr>
                <w:sz w:val="4"/>
                <w:szCs w:val="4"/>
                <w:color w:val="auto"/>
              </w:rPr>
            </w:pPr>
          </w:p>
        </w:tc>
      </w:tr>
      <w:tr>
        <w:trPr>
          <w:trHeight w:val="264"/>
        </w:trPr>
        <w:tc>
          <w:tcPr>
            <w:tcW w:w="39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37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WM</w:t>
            </w:r>
          </w:p>
        </w:tc>
        <w:tc>
          <w:tcPr>
            <w:tcW w:w="35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New York Stock Exchange</w:t>
            </w:r>
          </w:p>
        </w:tc>
      </w:tr>
      <w:tr>
        <w:trPr>
          <w:trHeight w:val="54"/>
        </w:trPr>
        <w:tc>
          <w:tcPr>
            <w:tcW w:w="3960" w:type="dxa"/>
            <w:vAlign w:val="bottom"/>
            <w:tcBorders>
              <w:left w:val="single" w:sz="8" w:color="auto"/>
              <w:bottom w:val="single" w:sz="8" w:color="auto"/>
              <w:right w:val="single" w:sz="8" w:color="auto"/>
            </w:tcBorders>
          </w:tcPr>
          <w:p>
            <w:pPr>
              <w:spacing w:after="0"/>
              <w:rPr>
                <w:sz w:val="4"/>
                <w:szCs w:val="4"/>
                <w:color w:val="auto"/>
              </w:rPr>
            </w:pPr>
          </w:p>
        </w:tc>
        <w:tc>
          <w:tcPr>
            <w:tcW w:w="3700" w:type="dxa"/>
            <w:vAlign w:val="bottom"/>
            <w:tcBorders>
              <w:bottom w:val="single" w:sz="8" w:color="auto"/>
              <w:right w:val="single" w:sz="8" w:color="auto"/>
            </w:tcBorders>
          </w:tcPr>
          <w:p>
            <w:pPr>
              <w:spacing w:after="0"/>
              <w:rPr>
                <w:sz w:val="4"/>
                <w:szCs w:val="4"/>
                <w:color w:val="auto"/>
              </w:rPr>
            </w:pPr>
          </w:p>
        </w:tc>
        <w:tc>
          <w:tcPr>
            <w:tcW w:w="3580" w:type="dxa"/>
            <w:vAlign w:val="bottom"/>
            <w:tcBorders>
              <w:bottom w:val="single" w:sz="8" w:color="auto"/>
              <w:right w:val="single" w:sz="8" w:color="auto"/>
            </w:tcBorders>
          </w:tcPr>
          <w:p>
            <w:pPr>
              <w:spacing w:after="0"/>
              <w:rPr>
                <w:sz w:val="4"/>
                <w:szCs w:val="4"/>
                <w:color w:val="auto"/>
              </w:rPr>
            </w:pP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614045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Waste Management, Inc. (the “Company”) issued a press release this morning announcing its financial results for the first quarter of 2022, a copy of which is attached hereto as Exhibit 99.1. The Company is holding a conference call to discuss these results beginning at 9:00 a.m. Central Time this morning. The call will be webcast live and may be heard by accessing the “Investors” section of the Company’s website at www.wm.com. The call may also be heard by dialing (877) 710-6139 and entering access code 3365157. A replay of the call will be available on the Company’s website and by telephone until May 11, 2022. To access a replay telephonically, please dial (855) 859-2056 and use the replay conference ID number 3365157.</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the call, management of the Company is expected to discuss certain non-GAAP financial measures. The Company has provided information regarding its use of non-GAAP measures and reconciliations of such measures to their most comparable GAAP measures in the notes and tables that accompany the press release.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u w:val="single" w:color="auto"/>
          <w:color w:val="auto"/>
        </w:rPr>
        <w:t>Exhibit Index</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Number</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7"/>
          <w:szCs w:val="17"/>
          <w:u w:val="single" w:color="auto"/>
          <w:color w:val="0000EE"/>
        </w:rPr>
        <w:t>Press Release dated April 26, 2022</w:t>
      </w:r>
    </w:p>
    <w:p>
      <w:pPr>
        <w:spacing w:after="0" w:line="225" w:lineRule="exact"/>
        <w:rPr>
          <w:sz w:val="20"/>
          <w:szCs w:val="20"/>
          <w:color w:val="auto"/>
        </w:rPr>
      </w:pPr>
    </w:p>
    <w:p>
      <w:pPr>
        <w:ind w:left="5560" w:right="3580" w:hanging="5552"/>
        <w:spacing w:after="0" w:line="783" w:lineRule="auto"/>
        <w:tabs>
          <w:tab w:leader="none" w:pos="1146"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60" w:type="dxa"/>
            <w:vAlign w:val="bottom"/>
          </w:tcPr>
          <w:p>
            <w:pPr>
              <w:spacing w:after="0"/>
              <w:rPr>
                <w:sz w:val="20"/>
                <w:szCs w:val="20"/>
                <w:color w:val="auto"/>
              </w:rPr>
            </w:pPr>
          </w:p>
        </w:tc>
        <w:tc>
          <w:tcPr>
            <w:tcW w:w="7680" w:type="dxa"/>
            <w:vAlign w:val="bottom"/>
            <w:gridSpan w:val="2"/>
          </w:tcPr>
          <w:p>
            <w:pPr>
              <w:ind w:left="2080"/>
              <w:spacing w:after="0"/>
              <w:rPr>
                <w:sz w:val="20"/>
                <w:szCs w:val="20"/>
                <w:color w:val="auto"/>
              </w:rPr>
            </w:pPr>
            <w:r>
              <w:rPr>
                <w:rFonts w:ascii="Times New Roman" w:cs="Times New Roman" w:eastAsia="Times New Roman" w:hAnsi="Times New Roman"/>
                <w:sz w:val="18"/>
                <w:szCs w:val="18"/>
                <w:color w:val="auto"/>
              </w:rPr>
              <w:t>WASTE MANAGEMENT, INC.</w:t>
            </w:r>
          </w:p>
        </w:tc>
      </w:tr>
      <w:tr>
        <w:trPr>
          <w:trHeight w:val="432"/>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Date: April 26, 2022</w:t>
            </w:r>
          </w:p>
        </w:tc>
        <w:tc>
          <w:tcPr>
            <w:tcW w:w="274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Charles C. Boettcher</w:t>
            </w:r>
          </w:p>
        </w:tc>
      </w:tr>
      <w:tr>
        <w:trPr>
          <w:trHeight w:val="191"/>
        </w:trPr>
        <w:tc>
          <w:tcPr>
            <w:tcW w:w="356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49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Charles C. Boettcher</w:t>
            </w:r>
          </w:p>
        </w:tc>
      </w:tr>
      <w:tr>
        <w:trPr>
          <w:trHeight w:val="216"/>
        </w:trPr>
        <w:tc>
          <w:tcPr>
            <w:tcW w:w="35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Corporate Development and Chief Legal</w:t>
            </w:r>
          </w:p>
        </w:tc>
      </w:tr>
      <w:tr>
        <w:trPr>
          <w:trHeight w:val="234"/>
        </w:trPr>
        <w:tc>
          <w:tcPr>
            <w:tcW w:w="356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Officer</w:t>
            </w:r>
          </w:p>
        </w:tc>
      </w:tr>
      <w:tr>
        <w:trPr>
          <w:trHeight w:val="675"/>
        </w:trPr>
        <w:tc>
          <w:tcPr>
            <w:tcW w:w="356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00693C"/>
        </w:rPr>
        <w:t>FOR IMMEDIATE RELEASE</w:t>
      </w:r>
    </w:p>
    <w:p>
      <w:pPr>
        <w:spacing w:after="0" w:line="190" w:lineRule="exact"/>
        <w:rPr>
          <w:sz w:val="20"/>
          <w:szCs w:val="20"/>
          <w:color w:val="auto"/>
        </w:rPr>
      </w:pPr>
    </w:p>
    <w:p>
      <w:pPr>
        <w:ind w:left="1100"/>
        <w:spacing w:after="0"/>
        <w:rPr>
          <w:sz w:val="20"/>
          <w:szCs w:val="20"/>
          <w:color w:val="auto"/>
        </w:rPr>
      </w:pPr>
      <w:r>
        <w:rPr>
          <w:rFonts w:ascii="Arial" w:cs="Arial" w:eastAsia="Arial" w:hAnsi="Arial"/>
          <w:sz w:val="40"/>
          <w:szCs w:val="40"/>
          <w:color w:val="7AB800"/>
        </w:rPr>
        <w:t>WM Announces First Quarter Earnings</w:t>
      </w:r>
    </w:p>
    <w:p>
      <w:pPr>
        <w:spacing w:after="0" w:line="342" w:lineRule="exact"/>
        <w:rPr>
          <w:sz w:val="20"/>
          <w:szCs w:val="20"/>
          <w:color w:val="auto"/>
        </w:rPr>
      </w:pPr>
    </w:p>
    <w:p>
      <w:pPr>
        <w:jc w:val="center"/>
        <w:spacing w:after="0" w:line="259" w:lineRule="auto"/>
        <w:rPr>
          <w:sz w:val="20"/>
          <w:szCs w:val="20"/>
          <w:color w:val="auto"/>
        </w:rPr>
      </w:pPr>
      <w:r>
        <w:rPr>
          <w:rFonts w:ascii="Arial" w:cs="Arial" w:eastAsia="Arial" w:hAnsi="Arial"/>
          <w:sz w:val="22"/>
          <w:szCs w:val="22"/>
          <w:color w:val="auto"/>
        </w:rPr>
        <w:t>Strong Operational Performance Drives Double-Digit Growth in Revenue, Operating EBITDA and Net Cash Provided by Operating Activities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b w:val="1"/>
          <w:bCs w:val="1"/>
          <w:color w:val="auto"/>
        </w:rPr>
        <w:t xml:space="preserve">HOUSTON </w:t>
      </w:r>
      <w:r>
        <w:rPr>
          <w:rFonts w:ascii="Arial" w:cs="Arial" w:eastAsia="Arial" w:hAnsi="Arial"/>
          <w:sz w:val="17"/>
          <w:szCs w:val="17"/>
          <w:b w:val="1"/>
          <w:bCs w:val="1"/>
          <w:color w:val="auto"/>
        </w:rPr>
        <w:t>— Apr. 26, 2022 —</w:t>
      </w:r>
      <w:r>
        <w:rPr>
          <w:rFonts w:ascii="Arial" w:cs="Arial" w:eastAsia="Arial" w:hAnsi="Arial"/>
          <w:sz w:val="16"/>
          <w:szCs w:val="16"/>
          <w:b w:val="1"/>
          <w:bCs w:val="1"/>
          <w:color w:val="auto"/>
        </w:rPr>
        <w:t xml:space="preserve"> </w:t>
      </w:r>
      <w:r>
        <w:rPr>
          <w:rFonts w:ascii="Arial" w:cs="Arial" w:eastAsia="Arial" w:hAnsi="Arial"/>
          <w:sz w:val="17"/>
          <w:szCs w:val="17"/>
          <w:color w:val="auto"/>
        </w:rPr>
        <w:t>WM (NYSE: WM) today announced financial results for the quarter ended</w:t>
      </w:r>
      <w:r>
        <w:rPr>
          <w:rFonts w:ascii="Arial" w:cs="Arial" w:eastAsia="Arial" w:hAnsi="Arial"/>
          <w:sz w:val="16"/>
          <w:szCs w:val="16"/>
          <w:b w:val="1"/>
          <w:bCs w:val="1"/>
          <w:color w:val="auto"/>
        </w:rPr>
        <w:t xml:space="preserve"> </w:t>
      </w:r>
      <w:r>
        <w:rPr>
          <w:rFonts w:ascii="Arial" w:cs="Arial" w:eastAsia="Arial" w:hAnsi="Arial"/>
          <w:sz w:val="17"/>
          <w:szCs w:val="17"/>
          <w:color w:val="auto"/>
        </w:rPr>
        <w:t>March 31, 2022.</w:t>
      </w:r>
    </w:p>
    <w:p>
      <w:pPr>
        <w:spacing w:after="0" w:line="200" w:lineRule="exact"/>
        <w:rPr>
          <w:sz w:val="20"/>
          <w:szCs w:val="20"/>
          <w:color w:val="auto"/>
        </w:rPr>
      </w:pPr>
    </w:p>
    <w:p>
      <w:pPr>
        <w:spacing w:after="0" w:line="327" w:lineRule="exact"/>
        <w:rPr>
          <w:sz w:val="20"/>
          <w:szCs w:val="20"/>
          <w:color w:val="auto"/>
        </w:rPr>
      </w:pPr>
    </w:p>
    <w:tbl>
      <w:tblPr>
        <w:tblLayout w:type="fixed"/>
        <w:tblInd w:w="100" w:type="dxa"/>
        <w:tblCellMar>
          <w:top w:w="0" w:type="dxa"/>
          <w:left w:w="0" w:type="dxa"/>
          <w:bottom w:w="0" w:type="dxa"/>
          <w:right w:w="0" w:type="dxa"/>
        </w:tblCellMar>
      </w:tblPr>
      <w:tr>
        <w:trPr>
          <w:trHeight w:val="215"/>
        </w:trPr>
        <w:tc>
          <w:tcPr>
            <w:tcW w:w="2820" w:type="dxa"/>
            <w:vAlign w:val="bottom"/>
          </w:tcPr>
          <w:p>
            <w:pPr>
              <w:spacing w:after="0"/>
              <w:rPr>
                <w:sz w:val="18"/>
                <w:szCs w:val="18"/>
                <w:color w:val="auto"/>
              </w:rPr>
            </w:pPr>
          </w:p>
        </w:tc>
        <w:tc>
          <w:tcPr>
            <w:tcW w:w="2780" w:type="dxa"/>
            <w:vAlign w:val="bottom"/>
            <w:gridSpan w:val="4"/>
          </w:tcPr>
          <w:p>
            <w:pPr>
              <w:ind w:left="640"/>
              <w:spacing w:after="0"/>
              <w:rPr>
                <w:sz w:val="20"/>
                <w:szCs w:val="20"/>
                <w:color w:val="auto"/>
              </w:rPr>
            </w:pPr>
            <w:r>
              <w:rPr>
                <w:rFonts w:ascii="Arial" w:cs="Arial" w:eastAsia="Arial" w:hAnsi="Arial"/>
                <w:sz w:val="16"/>
                <w:szCs w:val="16"/>
                <w:color w:val="auto"/>
              </w:rPr>
              <w:t>Three Months Ended</w:t>
            </w:r>
          </w:p>
        </w:tc>
        <w:tc>
          <w:tcPr>
            <w:tcW w:w="460" w:type="dxa"/>
            <w:vAlign w:val="bottom"/>
          </w:tcPr>
          <w:p>
            <w:pPr>
              <w:spacing w:after="0"/>
              <w:rPr>
                <w:sz w:val="18"/>
                <w:szCs w:val="18"/>
                <w:color w:val="auto"/>
              </w:rPr>
            </w:pPr>
          </w:p>
        </w:tc>
        <w:tc>
          <w:tcPr>
            <w:tcW w:w="2780" w:type="dxa"/>
            <w:vAlign w:val="bottom"/>
            <w:gridSpan w:val="4"/>
          </w:tcPr>
          <w:p>
            <w:pPr>
              <w:jc w:val="center"/>
              <w:ind w:right="20"/>
              <w:spacing w:after="0"/>
              <w:rPr>
                <w:sz w:val="20"/>
                <w:szCs w:val="20"/>
                <w:color w:val="auto"/>
              </w:rPr>
            </w:pPr>
            <w:r>
              <w:rPr>
                <w:rFonts w:ascii="Arial" w:cs="Arial" w:eastAsia="Arial" w:hAnsi="Arial"/>
                <w:sz w:val="16"/>
                <w:szCs w:val="16"/>
                <w:color w:val="auto"/>
              </w:rPr>
              <w:t>Three Months Ended</w:t>
            </w:r>
          </w:p>
        </w:tc>
        <w:tc>
          <w:tcPr>
            <w:tcW w:w="0" w:type="dxa"/>
            <w:vAlign w:val="bottom"/>
          </w:tcPr>
          <w:p>
            <w:pPr>
              <w:spacing w:after="0"/>
              <w:rPr>
                <w:sz w:val="1"/>
                <w:szCs w:val="1"/>
                <w:color w:val="auto"/>
              </w:rPr>
            </w:pPr>
          </w:p>
        </w:tc>
      </w:tr>
      <w:tr>
        <w:trPr>
          <w:trHeight w:val="178"/>
        </w:trPr>
        <w:tc>
          <w:tcPr>
            <w:tcW w:w="28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20" w:type="dxa"/>
            <w:vAlign w:val="bottom"/>
            <w:gridSpan w:val="2"/>
          </w:tcPr>
          <w:p>
            <w:pPr>
              <w:spacing w:after="0" w:line="178" w:lineRule="exact"/>
              <w:rPr>
                <w:sz w:val="20"/>
                <w:szCs w:val="20"/>
                <w:color w:val="auto"/>
              </w:rPr>
            </w:pPr>
            <w:r>
              <w:rPr>
                <w:rFonts w:ascii="Arial" w:cs="Arial" w:eastAsia="Arial" w:hAnsi="Arial"/>
                <w:sz w:val="16"/>
                <w:szCs w:val="16"/>
                <w:color w:val="auto"/>
                <w:w w:val="98"/>
              </w:rPr>
              <w:t>March 31, 2022</w:t>
            </w: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780" w:type="dxa"/>
            <w:vAlign w:val="bottom"/>
            <w:gridSpan w:val="4"/>
          </w:tcPr>
          <w:p>
            <w:pPr>
              <w:jc w:val="center"/>
              <w:ind w:right="20"/>
              <w:spacing w:after="0" w:line="178" w:lineRule="exact"/>
              <w:rPr>
                <w:sz w:val="20"/>
                <w:szCs w:val="20"/>
                <w:color w:val="auto"/>
              </w:rPr>
            </w:pPr>
            <w:r>
              <w:rPr>
                <w:rFonts w:ascii="Arial" w:cs="Arial" w:eastAsia="Arial" w:hAnsi="Arial"/>
                <w:sz w:val="16"/>
                <w:szCs w:val="16"/>
                <w:color w:val="auto"/>
              </w:rPr>
              <w:t>March 31, 2021</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840" w:type="dxa"/>
            <w:vAlign w:val="bottom"/>
            <w:vMerge w:val="restart"/>
          </w:tcPr>
          <w:p>
            <w:pPr>
              <w:spacing w:after="0"/>
              <w:rPr>
                <w:sz w:val="20"/>
                <w:szCs w:val="20"/>
                <w:color w:val="auto"/>
              </w:rPr>
            </w:pPr>
            <w:r>
              <w:rPr>
                <w:rFonts w:ascii="Arial" w:cs="Arial" w:eastAsia="Arial" w:hAnsi="Arial"/>
                <w:sz w:val="16"/>
                <w:szCs w:val="16"/>
                <w:color w:val="auto"/>
              </w:rPr>
              <w:t>(in millions,</w:t>
            </w:r>
          </w:p>
        </w:tc>
        <w:tc>
          <w:tcPr>
            <w:tcW w:w="1120" w:type="dxa"/>
            <w:vAlign w:val="bottom"/>
            <w:gridSpan w:val="2"/>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80" w:type="dxa"/>
            <w:vAlign w:val="bottom"/>
            <w:gridSpan w:val="2"/>
            <w:vMerge w:val="restart"/>
          </w:tcPr>
          <w:p>
            <w:pPr>
              <w:ind w:left="460"/>
              <w:spacing w:after="0"/>
              <w:rPr>
                <w:sz w:val="20"/>
                <w:szCs w:val="20"/>
                <w:color w:val="auto"/>
              </w:rPr>
            </w:pPr>
            <w:r>
              <w:rPr>
                <w:rFonts w:ascii="Arial" w:cs="Arial" w:eastAsia="Arial" w:hAnsi="Arial"/>
                <w:sz w:val="16"/>
                <w:szCs w:val="16"/>
                <w:color w:val="auto"/>
                <w:w w:val="99"/>
              </w:rPr>
              <w:t>(in millions,</w:t>
            </w:r>
          </w:p>
        </w:tc>
        <w:tc>
          <w:tcPr>
            <w:tcW w:w="1120" w:type="dxa"/>
            <w:vAlign w:val="bottom"/>
            <w:gridSpan w:val="2"/>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8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940" w:type="dxa"/>
            <w:vAlign w:val="bottom"/>
            <w:gridSpan w:val="3"/>
          </w:tcPr>
          <w:p>
            <w:pPr>
              <w:ind w:left="20"/>
              <w:spacing w:after="0" w:line="169" w:lineRule="exact"/>
              <w:rPr>
                <w:sz w:val="20"/>
                <w:szCs w:val="20"/>
                <w:color w:val="auto"/>
              </w:rPr>
            </w:pPr>
            <w:r>
              <w:rPr>
                <w:rFonts w:ascii="Arial" w:cs="Arial" w:eastAsia="Arial" w:hAnsi="Arial"/>
                <w:sz w:val="16"/>
                <w:szCs w:val="16"/>
                <w:color w:val="auto"/>
                <w:w w:val="99"/>
              </w:rPr>
              <w:t>except per share amounts)</w:t>
            </w:r>
          </w:p>
        </w:tc>
        <w:tc>
          <w:tcPr>
            <w:tcW w:w="1280" w:type="dxa"/>
            <w:vAlign w:val="bottom"/>
            <w:gridSpan w:val="2"/>
            <w:vMerge w:val="continue"/>
          </w:tcPr>
          <w:p>
            <w:pPr>
              <w:spacing w:after="0"/>
              <w:rPr>
                <w:sz w:val="14"/>
                <w:szCs w:val="14"/>
                <w:color w:val="auto"/>
              </w:rPr>
            </w:pPr>
          </w:p>
        </w:tc>
        <w:tc>
          <w:tcPr>
            <w:tcW w:w="1960" w:type="dxa"/>
            <w:vAlign w:val="bottom"/>
            <w:gridSpan w:val="3"/>
          </w:tcPr>
          <w:p>
            <w:pPr>
              <w:ind w:left="20"/>
              <w:spacing w:after="0" w:line="169" w:lineRule="exact"/>
              <w:rPr>
                <w:sz w:val="20"/>
                <w:szCs w:val="20"/>
                <w:color w:val="auto"/>
              </w:rPr>
            </w:pPr>
            <w:r>
              <w:rPr>
                <w:rFonts w:ascii="Arial" w:cs="Arial" w:eastAsia="Arial" w:hAnsi="Arial"/>
                <w:sz w:val="16"/>
                <w:szCs w:val="16"/>
                <w:color w:val="auto"/>
              </w:rPr>
              <w:t>except per share amounts)</w:t>
            </w:r>
          </w:p>
        </w:tc>
        <w:tc>
          <w:tcPr>
            <w:tcW w:w="0" w:type="dxa"/>
            <w:vAlign w:val="bottom"/>
          </w:tcPr>
          <w:p>
            <w:pPr>
              <w:spacing w:after="0"/>
              <w:rPr>
                <w:sz w:val="1"/>
                <w:szCs w:val="1"/>
                <w:color w:val="auto"/>
              </w:rPr>
            </w:pPr>
          </w:p>
        </w:tc>
      </w:tr>
      <w:tr>
        <w:trPr>
          <w:trHeight w:val="367"/>
        </w:trPr>
        <w:tc>
          <w:tcPr>
            <w:tcW w:w="2820" w:type="dxa"/>
            <w:vAlign w:val="bottom"/>
          </w:tcPr>
          <w:p>
            <w:pPr>
              <w:spacing w:after="0"/>
              <w:rPr>
                <w:sz w:val="24"/>
                <w:szCs w:val="24"/>
                <w:color w:val="auto"/>
              </w:rPr>
            </w:pPr>
          </w:p>
        </w:tc>
        <w:tc>
          <w:tcPr>
            <w:tcW w:w="1360" w:type="dxa"/>
            <w:vAlign w:val="bottom"/>
            <w:tcBorders>
              <w:top w:val="single" w:sz="8" w:color="auto"/>
            </w:tcBorders>
            <w:gridSpan w:val="2"/>
          </w:tcPr>
          <w:p>
            <w:pPr>
              <w:ind w:left="200"/>
              <w:spacing w:after="0"/>
              <w:rPr>
                <w:sz w:val="20"/>
                <w:szCs w:val="20"/>
                <w:color w:val="auto"/>
              </w:rPr>
            </w:pPr>
            <w:r>
              <w:rPr>
                <w:rFonts w:ascii="Arial" w:cs="Arial" w:eastAsia="Arial" w:hAnsi="Arial"/>
                <w:sz w:val="16"/>
                <w:szCs w:val="16"/>
                <w:color w:val="auto"/>
              </w:rPr>
              <w:t>As Reported</w:t>
            </w:r>
          </w:p>
        </w:tc>
        <w:tc>
          <w:tcPr>
            <w:tcW w:w="1420" w:type="dxa"/>
            <w:vAlign w:val="bottom"/>
            <w:tcBorders>
              <w:top w:val="single" w:sz="8" w:color="auto"/>
            </w:tcBorders>
            <w:gridSpan w:val="2"/>
          </w:tcPr>
          <w:p>
            <w:pPr>
              <w:ind w:left="260"/>
              <w:spacing w:after="0"/>
              <w:rPr>
                <w:sz w:val="20"/>
                <w:szCs w:val="20"/>
                <w:color w:val="auto"/>
              </w:rPr>
            </w:pPr>
            <w:r>
              <w:rPr>
                <w:rFonts w:ascii="Arial" w:cs="Arial" w:eastAsia="Arial" w:hAnsi="Arial"/>
                <w:sz w:val="16"/>
                <w:szCs w:val="16"/>
                <w:color w:val="auto"/>
              </w:rPr>
              <w:t>As Adjusted</w:t>
            </w:r>
            <w:r>
              <w:rPr>
                <w:rFonts w:ascii="Arial" w:cs="Arial" w:eastAsia="Arial" w:hAnsi="Arial"/>
                <w:sz w:val="26"/>
                <w:szCs w:val="26"/>
                <w:color w:val="auto"/>
                <w:vertAlign w:val="superscript"/>
              </w:rPr>
              <w:t>(a)</w:t>
            </w:r>
          </w:p>
        </w:tc>
        <w:tc>
          <w:tcPr>
            <w:tcW w:w="460" w:type="dxa"/>
            <w:vAlign w:val="bottom"/>
          </w:tcPr>
          <w:p>
            <w:pPr>
              <w:spacing w:after="0"/>
              <w:rPr>
                <w:sz w:val="24"/>
                <w:szCs w:val="24"/>
                <w:color w:val="auto"/>
              </w:rPr>
            </w:pPr>
          </w:p>
        </w:tc>
        <w:tc>
          <w:tcPr>
            <w:tcW w:w="1340" w:type="dxa"/>
            <w:vAlign w:val="bottom"/>
            <w:tcBorders>
              <w:top w:val="single" w:sz="8" w:color="auto"/>
            </w:tcBorders>
            <w:gridSpan w:val="2"/>
          </w:tcPr>
          <w:p>
            <w:pPr>
              <w:ind w:left="180"/>
              <w:spacing w:after="0"/>
              <w:rPr>
                <w:sz w:val="20"/>
                <w:szCs w:val="20"/>
                <w:color w:val="auto"/>
              </w:rPr>
            </w:pPr>
            <w:r>
              <w:rPr>
                <w:rFonts w:ascii="Arial" w:cs="Arial" w:eastAsia="Arial" w:hAnsi="Arial"/>
                <w:sz w:val="16"/>
                <w:szCs w:val="16"/>
                <w:color w:val="auto"/>
              </w:rPr>
              <w:t>As Reported</w:t>
            </w:r>
          </w:p>
        </w:tc>
        <w:tc>
          <w:tcPr>
            <w:tcW w:w="1440" w:type="dxa"/>
            <w:vAlign w:val="bottom"/>
            <w:tcBorders>
              <w:top w:val="single" w:sz="8" w:color="auto"/>
            </w:tcBorders>
            <w:gridSpan w:val="2"/>
          </w:tcPr>
          <w:p>
            <w:pPr>
              <w:ind w:left="260"/>
              <w:spacing w:after="0"/>
              <w:rPr>
                <w:sz w:val="20"/>
                <w:szCs w:val="20"/>
                <w:color w:val="auto"/>
              </w:rPr>
            </w:pPr>
            <w:r>
              <w:rPr>
                <w:rFonts w:ascii="Arial" w:cs="Arial" w:eastAsia="Arial" w:hAnsi="Arial"/>
                <w:sz w:val="16"/>
                <w:szCs w:val="16"/>
                <w:color w:val="auto"/>
              </w:rPr>
              <w:t>As Adjusted</w:t>
            </w:r>
            <w:r>
              <w:rPr>
                <w:rFonts w:ascii="Arial" w:cs="Arial" w:eastAsia="Arial" w:hAnsi="Arial"/>
                <w:sz w:val="26"/>
                <w:szCs w:val="26"/>
                <w:color w:val="auto"/>
                <w:vertAlign w:val="superscript"/>
              </w:rPr>
              <w:t>(a)</w:t>
            </w:r>
          </w:p>
        </w:tc>
        <w:tc>
          <w:tcPr>
            <w:tcW w:w="0" w:type="dxa"/>
            <w:vAlign w:val="bottom"/>
          </w:tcPr>
          <w:p>
            <w:pPr>
              <w:spacing w:after="0"/>
              <w:rPr>
                <w:sz w:val="1"/>
                <w:szCs w:val="1"/>
                <w:color w:val="auto"/>
              </w:rPr>
            </w:pPr>
          </w:p>
        </w:tc>
      </w:tr>
      <w:tr>
        <w:trPr>
          <w:trHeight w:val="380"/>
        </w:trPr>
        <w:tc>
          <w:tcPr>
            <w:tcW w:w="2820" w:type="dxa"/>
            <w:vAlign w:val="bottom"/>
          </w:tcPr>
          <w:p>
            <w:pPr>
              <w:spacing w:after="0"/>
              <w:rPr>
                <w:sz w:val="20"/>
                <w:szCs w:val="20"/>
                <w:color w:val="auto"/>
              </w:rPr>
            </w:pPr>
            <w:r>
              <w:rPr>
                <w:rFonts w:ascii="Arial" w:cs="Arial" w:eastAsia="Arial" w:hAnsi="Arial"/>
                <w:sz w:val="16"/>
                <w:szCs w:val="16"/>
                <w:color w:val="auto"/>
              </w:rPr>
              <w:t>Revenue</w:t>
            </w:r>
          </w:p>
        </w:tc>
        <w:tc>
          <w:tcPr>
            <w:tcW w:w="1360" w:type="dxa"/>
            <w:vAlign w:val="bottom"/>
            <w:gridSpan w:val="2"/>
          </w:tcPr>
          <w:p>
            <w:pPr>
              <w:jc w:val="center"/>
              <w:spacing w:after="0"/>
              <w:rPr>
                <w:sz w:val="20"/>
                <w:szCs w:val="20"/>
                <w:color w:val="auto"/>
              </w:rPr>
            </w:pPr>
            <w:r>
              <w:rPr>
                <w:rFonts w:ascii="Arial" w:cs="Arial" w:eastAsia="Arial" w:hAnsi="Arial"/>
                <w:sz w:val="16"/>
                <w:szCs w:val="16"/>
                <w:color w:val="auto"/>
              </w:rPr>
              <w:t>$4,661</w:t>
            </w:r>
          </w:p>
        </w:tc>
        <w:tc>
          <w:tcPr>
            <w:tcW w:w="1420" w:type="dxa"/>
            <w:vAlign w:val="bottom"/>
            <w:gridSpan w:val="2"/>
          </w:tcPr>
          <w:p>
            <w:pPr>
              <w:jc w:val="center"/>
              <w:ind w:left="39"/>
              <w:spacing w:after="0"/>
              <w:rPr>
                <w:sz w:val="20"/>
                <w:szCs w:val="20"/>
                <w:color w:val="auto"/>
              </w:rPr>
            </w:pPr>
            <w:r>
              <w:rPr>
                <w:rFonts w:ascii="Arial" w:cs="Arial" w:eastAsia="Arial" w:hAnsi="Arial"/>
                <w:sz w:val="16"/>
                <w:szCs w:val="16"/>
                <w:color w:val="auto"/>
              </w:rPr>
              <w:t>$4,661</w:t>
            </w:r>
          </w:p>
        </w:tc>
        <w:tc>
          <w:tcPr>
            <w:tcW w:w="1800" w:type="dxa"/>
            <w:vAlign w:val="bottom"/>
            <w:gridSpan w:val="3"/>
          </w:tcPr>
          <w:p>
            <w:pPr>
              <w:jc w:val="center"/>
              <w:ind w:left="319"/>
              <w:spacing w:after="0"/>
              <w:rPr>
                <w:sz w:val="20"/>
                <w:szCs w:val="20"/>
                <w:color w:val="auto"/>
              </w:rPr>
            </w:pPr>
            <w:r>
              <w:rPr>
                <w:rFonts w:ascii="Arial" w:cs="Arial" w:eastAsia="Arial" w:hAnsi="Arial"/>
                <w:sz w:val="16"/>
                <w:szCs w:val="16"/>
                <w:color w:val="auto"/>
                <w:w w:val="98"/>
              </w:rPr>
              <w:t>$4,112</w:t>
            </w:r>
          </w:p>
        </w:tc>
        <w:tc>
          <w:tcPr>
            <w:tcW w:w="1440" w:type="dxa"/>
            <w:vAlign w:val="bottom"/>
            <w:gridSpan w:val="2"/>
          </w:tcPr>
          <w:p>
            <w:pPr>
              <w:jc w:val="center"/>
              <w:ind w:left="39"/>
              <w:spacing w:after="0"/>
              <w:rPr>
                <w:sz w:val="20"/>
                <w:szCs w:val="20"/>
                <w:color w:val="auto"/>
              </w:rPr>
            </w:pPr>
            <w:r>
              <w:rPr>
                <w:rFonts w:ascii="Arial" w:cs="Arial" w:eastAsia="Arial" w:hAnsi="Arial"/>
                <w:sz w:val="16"/>
                <w:szCs w:val="16"/>
                <w:color w:val="auto"/>
                <w:w w:val="98"/>
              </w:rPr>
              <w:t>$4,112</w:t>
            </w:r>
          </w:p>
        </w:tc>
        <w:tc>
          <w:tcPr>
            <w:tcW w:w="0" w:type="dxa"/>
            <w:vAlign w:val="bottom"/>
          </w:tcPr>
          <w:p>
            <w:pPr>
              <w:spacing w:after="0"/>
              <w:rPr>
                <w:sz w:val="1"/>
                <w:szCs w:val="1"/>
                <w:color w:val="auto"/>
              </w:rPr>
            </w:pPr>
          </w:p>
        </w:tc>
      </w:tr>
      <w:tr>
        <w:trPr>
          <w:trHeight w:val="405"/>
        </w:trPr>
        <w:tc>
          <w:tcPr>
            <w:tcW w:w="2820" w:type="dxa"/>
            <w:vAlign w:val="bottom"/>
          </w:tcPr>
          <w:p>
            <w:pPr>
              <w:spacing w:after="0"/>
              <w:rPr>
                <w:sz w:val="20"/>
                <w:szCs w:val="20"/>
                <w:color w:val="auto"/>
              </w:rPr>
            </w:pPr>
            <w:r>
              <w:rPr>
                <w:rFonts w:ascii="Arial" w:cs="Arial" w:eastAsia="Arial" w:hAnsi="Arial"/>
                <w:sz w:val="16"/>
                <w:szCs w:val="16"/>
                <w:color w:val="auto"/>
              </w:rPr>
              <w:t>Income from Operations</w:t>
            </w:r>
          </w:p>
        </w:tc>
        <w:tc>
          <w:tcPr>
            <w:tcW w:w="1360" w:type="dxa"/>
            <w:vAlign w:val="bottom"/>
            <w:gridSpan w:val="2"/>
          </w:tcPr>
          <w:p>
            <w:pPr>
              <w:jc w:val="center"/>
              <w:spacing w:after="0"/>
              <w:rPr>
                <w:sz w:val="20"/>
                <w:szCs w:val="20"/>
                <w:color w:val="auto"/>
              </w:rPr>
            </w:pPr>
            <w:r>
              <w:rPr>
                <w:rFonts w:ascii="Arial" w:cs="Arial" w:eastAsia="Arial" w:hAnsi="Arial"/>
                <w:sz w:val="16"/>
                <w:szCs w:val="16"/>
                <w:color w:val="auto"/>
              </w:rPr>
              <w:t>$768</w:t>
            </w:r>
          </w:p>
        </w:tc>
        <w:tc>
          <w:tcPr>
            <w:tcW w:w="1420" w:type="dxa"/>
            <w:vAlign w:val="bottom"/>
            <w:gridSpan w:val="2"/>
          </w:tcPr>
          <w:p>
            <w:pPr>
              <w:jc w:val="center"/>
              <w:ind w:left="59"/>
              <w:spacing w:after="0"/>
              <w:rPr>
                <w:sz w:val="20"/>
                <w:szCs w:val="20"/>
                <w:color w:val="auto"/>
              </w:rPr>
            </w:pPr>
            <w:r>
              <w:rPr>
                <w:rFonts w:ascii="Arial" w:cs="Arial" w:eastAsia="Arial" w:hAnsi="Arial"/>
                <w:sz w:val="16"/>
                <w:szCs w:val="16"/>
                <w:color w:val="auto"/>
              </w:rPr>
              <w:t>$803</w:t>
            </w:r>
          </w:p>
        </w:tc>
        <w:tc>
          <w:tcPr>
            <w:tcW w:w="1800" w:type="dxa"/>
            <w:vAlign w:val="bottom"/>
            <w:gridSpan w:val="3"/>
          </w:tcPr>
          <w:p>
            <w:pPr>
              <w:jc w:val="center"/>
              <w:ind w:left="319"/>
              <w:spacing w:after="0"/>
              <w:rPr>
                <w:sz w:val="20"/>
                <w:szCs w:val="20"/>
                <w:color w:val="auto"/>
              </w:rPr>
            </w:pPr>
            <w:r>
              <w:rPr>
                <w:rFonts w:ascii="Arial" w:cs="Arial" w:eastAsia="Arial" w:hAnsi="Arial"/>
                <w:sz w:val="16"/>
                <w:szCs w:val="16"/>
                <w:color w:val="auto"/>
              </w:rPr>
              <w:t>$650</w:t>
            </w:r>
          </w:p>
        </w:tc>
        <w:tc>
          <w:tcPr>
            <w:tcW w:w="1440" w:type="dxa"/>
            <w:vAlign w:val="bottom"/>
            <w:gridSpan w:val="2"/>
          </w:tcPr>
          <w:p>
            <w:pPr>
              <w:jc w:val="center"/>
              <w:ind w:left="39"/>
              <w:spacing w:after="0"/>
              <w:rPr>
                <w:sz w:val="20"/>
                <w:szCs w:val="20"/>
                <w:color w:val="auto"/>
              </w:rPr>
            </w:pPr>
            <w:r>
              <w:rPr>
                <w:rFonts w:ascii="Arial" w:cs="Arial" w:eastAsia="Arial" w:hAnsi="Arial"/>
                <w:sz w:val="16"/>
                <w:szCs w:val="16"/>
                <w:color w:val="auto"/>
              </w:rPr>
              <w:t>$689</w:t>
            </w:r>
          </w:p>
        </w:tc>
        <w:tc>
          <w:tcPr>
            <w:tcW w:w="0" w:type="dxa"/>
            <w:vAlign w:val="bottom"/>
          </w:tcPr>
          <w:p>
            <w:pPr>
              <w:spacing w:after="0"/>
              <w:rPr>
                <w:sz w:val="1"/>
                <w:szCs w:val="1"/>
                <w:color w:val="auto"/>
              </w:rPr>
            </w:pPr>
          </w:p>
        </w:tc>
      </w:tr>
      <w:tr>
        <w:trPr>
          <w:trHeight w:val="538"/>
        </w:trPr>
        <w:tc>
          <w:tcPr>
            <w:tcW w:w="2820" w:type="dxa"/>
            <w:vAlign w:val="bottom"/>
          </w:tcPr>
          <w:p>
            <w:pPr>
              <w:spacing w:after="0"/>
              <w:rPr>
                <w:sz w:val="20"/>
                <w:szCs w:val="20"/>
                <w:color w:val="auto"/>
              </w:rPr>
            </w:pPr>
            <w:r>
              <w:rPr>
                <w:rFonts w:ascii="Arial" w:cs="Arial" w:eastAsia="Arial" w:hAnsi="Arial"/>
                <w:sz w:val="16"/>
                <w:szCs w:val="16"/>
                <w:color w:val="auto"/>
              </w:rPr>
              <w:t>Operating EBITDA</w:t>
            </w:r>
            <w:r>
              <w:rPr>
                <w:rFonts w:ascii="Arial" w:cs="Arial" w:eastAsia="Arial" w:hAnsi="Arial"/>
                <w:sz w:val="26"/>
                <w:szCs w:val="26"/>
                <w:color w:val="auto"/>
                <w:vertAlign w:val="superscript"/>
              </w:rPr>
              <w:t>(b)</w:t>
            </w:r>
          </w:p>
        </w:tc>
        <w:tc>
          <w:tcPr>
            <w:tcW w:w="1360" w:type="dxa"/>
            <w:vAlign w:val="bottom"/>
            <w:gridSpan w:val="2"/>
          </w:tcPr>
          <w:p>
            <w:pPr>
              <w:jc w:val="center"/>
              <w:spacing w:after="0"/>
              <w:rPr>
                <w:sz w:val="20"/>
                <w:szCs w:val="20"/>
                <w:color w:val="auto"/>
              </w:rPr>
            </w:pPr>
            <w:r>
              <w:rPr>
                <w:rFonts w:ascii="Arial" w:cs="Arial" w:eastAsia="Arial" w:hAnsi="Arial"/>
                <w:sz w:val="16"/>
                <w:szCs w:val="16"/>
                <w:color w:val="auto"/>
              </w:rPr>
              <w:t>$1,250</w:t>
            </w:r>
          </w:p>
        </w:tc>
        <w:tc>
          <w:tcPr>
            <w:tcW w:w="1420" w:type="dxa"/>
            <w:vAlign w:val="bottom"/>
            <w:gridSpan w:val="2"/>
          </w:tcPr>
          <w:p>
            <w:pPr>
              <w:jc w:val="center"/>
              <w:ind w:left="39"/>
              <w:spacing w:after="0"/>
              <w:rPr>
                <w:sz w:val="20"/>
                <w:szCs w:val="20"/>
                <w:color w:val="auto"/>
              </w:rPr>
            </w:pPr>
            <w:r>
              <w:rPr>
                <w:rFonts w:ascii="Arial" w:cs="Arial" w:eastAsia="Arial" w:hAnsi="Arial"/>
                <w:sz w:val="16"/>
                <w:szCs w:val="16"/>
                <w:color w:val="auto"/>
              </w:rPr>
              <w:t>$1,285</w:t>
            </w:r>
          </w:p>
        </w:tc>
        <w:tc>
          <w:tcPr>
            <w:tcW w:w="1800" w:type="dxa"/>
            <w:vAlign w:val="bottom"/>
            <w:gridSpan w:val="3"/>
          </w:tcPr>
          <w:p>
            <w:pPr>
              <w:jc w:val="center"/>
              <w:ind w:left="319"/>
              <w:spacing w:after="0"/>
              <w:rPr>
                <w:sz w:val="20"/>
                <w:szCs w:val="20"/>
                <w:color w:val="auto"/>
              </w:rPr>
            </w:pPr>
            <w:r>
              <w:rPr>
                <w:rFonts w:ascii="Arial" w:cs="Arial" w:eastAsia="Arial" w:hAnsi="Arial"/>
                <w:sz w:val="16"/>
                <w:szCs w:val="16"/>
                <w:color w:val="auto"/>
                <w:w w:val="98"/>
              </w:rPr>
              <w:t>$1,122</w:t>
            </w:r>
          </w:p>
        </w:tc>
        <w:tc>
          <w:tcPr>
            <w:tcW w:w="1440" w:type="dxa"/>
            <w:vAlign w:val="bottom"/>
            <w:gridSpan w:val="2"/>
          </w:tcPr>
          <w:p>
            <w:pPr>
              <w:jc w:val="center"/>
              <w:ind w:left="59"/>
              <w:spacing w:after="0"/>
              <w:rPr>
                <w:sz w:val="20"/>
                <w:szCs w:val="20"/>
                <w:color w:val="auto"/>
              </w:rPr>
            </w:pPr>
            <w:r>
              <w:rPr>
                <w:rFonts w:ascii="Arial" w:cs="Arial" w:eastAsia="Arial" w:hAnsi="Arial"/>
                <w:sz w:val="16"/>
                <w:szCs w:val="16"/>
                <w:color w:val="auto"/>
              </w:rPr>
              <w:t>$1,161</w:t>
            </w:r>
          </w:p>
        </w:tc>
        <w:tc>
          <w:tcPr>
            <w:tcW w:w="0" w:type="dxa"/>
            <w:vAlign w:val="bottom"/>
          </w:tcPr>
          <w:p>
            <w:pPr>
              <w:spacing w:after="0"/>
              <w:rPr>
                <w:sz w:val="1"/>
                <w:szCs w:val="1"/>
                <w:color w:val="auto"/>
              </w:rPr>
            </w:pPr>
          </w:p>
        </w:tc>
      </w:tr>
      <w:tr>
        <w:trPr>
          <w:trHeight w:val="299"/>
        </w:trPr>
        <w:tc>
          <w:tcPr>
            <w:tcW w:w="2820" w:type="dxa"/>
            <w:vAlign w:val="bottom"/>
          </w:tcPr>
          <w:p>
            <w:pPr>
              <w:spacing w:after="0"/>
              <w:rPr>
                <w:sz w:val="20"/>
                <w:szCs w:val="20"/>
                <w:color w:val="auto"/>
              </w:rPr>
            </w:pPr>
            <w:r>
              <w:rPr>
                <w:rFonts w:ascii="Arial" w:cs="Arial" w:eastAsia="Arial" w:hAnsi="Arial"/>
                <w:sz w:val="16"/>
                <w:szCs w:val="16"/>
                <w:color w:val="auto"/>
              </w:rPr>
              <w:t>Operating EBITDA Margin</w:t>
            </w:r>
          </w:p>
        </w:tc>
        <w:tc>
          <w:tcPr>
            <w:tcW w:w="1360" w:type="dxa"/>
            <w:vAlign w:val="bottom"/>
            <w:gridSpan w:val="2"/>
          </w:tcPr>
          <w:p>
            <w:pPr>
              <w:jc w:val="center"/>
              <w:spacing w:after="0"/>
              <w:rPr>
                <w:sz w:val="20"/>
                <w:szCs w:val="20"/>
                <w:color w:val="auto"/>
              </w:rPr>
            </w:pPr>
            <w:r>
              <w:rPr>
                <w:rFonts w:ascii="Arial" w:cs="Arial" w:eastAsia="Arial" w:hAnsi="Arial"/>
                <w:sz w:val="16"/>
                <w:szCs w:val="16"/>
                <w:color w:val="auto"/>
              </w:rPr>
              <w:t>26.8%</w:t>
            </w:r>
          </w:p>
        </w:tc>
        <w:tc>
          <w:tcPr>
            <w:tcW w:w="1420" w:type="dxa"/>
            <w:vAlign w:val="bottom"/>
            <w:gridSpan w:val="2"/>
          </w:tcPr>
          <w:p>
            <w:pPr>
              <w:jc w:val="center"/>
              <w:ind w:left="39"/>
              <w:spacing w:after="0"/>
              <w:rPr>
                <w:sz w:val="20"/>
                <w:szCs w:val="20"/>
                <w:color w:val="auto"/>
              </w:rPr>
            </w:pPr>
            <w:r>
              <w:rPr>
                <w:rFonts w:ascii="Arial" w:cs="Arial" w:eastAsia="Arial" w:hAnsi="Arial"/>
                <w:sz w:val="16"/>
                <w:szCs w:val="16"/>
                <w:color w:val="auto"/>
              </w:rPr>
              <w:t>27.6%</w:t>
            </w:r>
          </w:p>
        </w:tc>
        <w:tc>
          <w:tcPr>
            <w:tcW w:w="1800" w:type="dxa"/>
            <w:vAlign w:val="bottom"/>
            <w:gridSpan w:val="3"/>
          </w:tcPr>
          <w:p>
            <w:pPr>
              <w:jc w:val="center"/>
              <w:ind w:left="299"/>
              <w:spacing w:after="0"/>
              <w:rPr>
                <w:sz w:val="20"/>
                <w:szCs w:val="20"/>
                <w:color w:val="auto"/>
              </w:rPr>
            </w:pPr>
            <w:r>
              <w:rPr>
                <w:rFonts w:ascii="Arial" w:cs="Arial" w:eastAsia="Arial" w:hAnsi="Arial"/>
                <w:sz w:val="16"/>
                <w:szCs w:val="16"/>
                <w:color w:val="auto"/>
              </w:rPr>
              <w:t>27.3%</w:t>
            </w:r>
          </w:p>
        </w:tc>
        <w:tc>
          <w:tcPr>
            <w:tcW w:w="1440" w:type="dxa"/>
            <w:vAlign w:val="bottom"/>
            <w:gridSpan w:val="2"/>
          </w:tcPr>
          <w:p>
            <w:pPr>
              <w:jc w:val="center"/>
              <w:ind w:left="59"/>
              <w:spacing w:after="0"/>
              <w:rPr>
                <w:sz w:val="20"/>
                <w:szCs w:val="20"/>
                <w:color w:val="auto"/>
              </w:rPr>
            </w:pPr>
            <w:r>
              <w:rPr>
                <w:rFonts w:ascii="Arial" w:cs="Arial" w:eastAsia="Arial" w:hAnsi="Arial"/>
                <w:sz w:val="16"/>
                <w:szCs w:val="16"/>
                <w:color w:val="auto"/>
              </w:rPr>
              <w:t>28.2%</w:t>
            </w:r>
          </w:p>
        </w:tc>
        <w:tc>
          <w:tcPr>
            <w:tcW w:w="0" w:type="dxa"/>
            <w:vAlign w:val="bottom"/>
          </w:tcPr>
          <w:p>
            <w:pPr>
              <w:spacing w:after="0"/>
              <w:rPr>
                <w:sz w:val="1"/>
                <w:szCs w:val="1"/>
                <w:color w:val="auto"/>
              </w:rPr>
            </w:pPr>
          </w:p>
        </w:tc>
      </w:tr>
      <w:tr>
        <w:trPr>
          <w:trHeight w:val="538"/>
        </w:trPr>
        <w:tc>
          <w:tcPr>
            <w:tcW w:w="2820" w:type="dxa"/>
            <w:vAlign w:val="bottom"/>
          </w:tcPr>
          <w:p>
            <w:pPr>
              <w:spacing w:after="0"/>
              <w:rPr>
                <w:sz w:val="20"/>
                <w:szCs w:val="20"/>
                <w:color w:val="auto"/>
              </w:rPr>
            </w:pPr>
            <w:r>
              <w:rPr>
                <w:rFonts w:ascii="Arial" w:cs="Arial" w:eastAsia="Arial" w:hAnsi="Arial"/>
                <w:sz w:val="16"/>
                <w:szCs w:val="16"/>
                <w:color w:val="auto"/>
              </w:rPr>
              <w:t>Net Income</w:t>
            </w:r>
            <w:r>
              <w:rPr>
                <w:rFonts w:ascii="Arial" w:cs="Arial" w:eastAsia="Arial" w:hAnsi="Arial"/>
                <w:sz w:val="26"/>
                <w:szCs w:val="26"/>
                <w:color w:val="auto"/>
                <w:vertAlign w:val="superscript"/>
              </w:rPr>
              <w:t>(c)</w:t>
            </w:r>
          </w:p>
        </w:tc>
        <w:tc>
          <w:tcPr>
            <w:tcW w:w="1360" w:type="dxa"/>
            <w:vAlign w:val="bottom"/>
            <w:gridSpan w:val="2"/>
          </w:tcPr>
          <w:p>
            <w:pPr>
              <w:jc w:val="center"/>
              <w:spacing w:after="0"/>
              <w:rPr>
                <w:sz w:val="20"/>
                <w:szCs w:val="20"/>
                <w:color w:val="auto"/>
              </w:rPr>
            </w:pPr>
            <w:r>
              <w:rPr>
                <w:rFonts w:ascii="Arial" w:cs="Arial" w:eastAsia="Arial" w:hAnsi="Arial"/>
                <w:sz w:val="16"/>
                <w:szCs w:val="16"/>
                <w:color w:val="auto"/>
              </w:rPr>
              <w:t>$513</w:t>
            </w:r>
          </w:p>
        </w:tc>
        <w:tc>
          <w:tcPr>
            <w:tcW w:w="1420" w:type="dxa"/>
            <w:vAlign w:val="bottom"/>
            <w:gridSpan w:val="2"/>
          </w:tcPr>
          <w:p>
            <w:pPr>
              <w:jc w:val="center"/>
              <w:ind w:left="59"/>
              <w:spacing w:after="0"/>
              <w:rPr>
                <w:sz w:val="20"/>
                <w:szCs w:val="20"/>
                <w:color w:val="auto"/>
              </w:rPr>
            </w:pPr>
            <w:r>
              <w:rPr>
                <w:rFonts w:ascii="Arial" w:cs="Arial" w:eastAsia="Arial" w:hAnsi="Arial"/>
                <w:sz w:val="16"/>
                <w:szCs w:val="16"/>
                <w:color w:val="auto"/>
              </w:rPr>
              <w:t>$540</w:t>
            </w:r>
          </w:p>
        </w:tc>
        <w:tc>
          <w:tcPr>
            <w:tcW w:w="1800" w:type="dxa"/>
            <w:vAlign w:val="bottom"/>
            <w:gridSpan w:val="3"/>
          </w:tcPr>
          <w:p>
            <w:pPr>
              <w:jc w:val="center"/>
              <w:ind w:left="319"/>
              <w:spacing w:after="0"/>
              <w:rPr>
                <w:sz w:val="20"/>
                <w:szCs w:val="20"/>
                <w:color w:val="auto"/>
              </w:rPr>
            </w:pPr>
            <w:r>
              <w:rPr>
                <w:rFonts w:ascii="Arial" w:cs="Arial" w:eastAsia="Arial" w:hAnsi="Arial"/>
                <w:sz w:val="16"/>
                <w:szCs w:val="16"/>
                <w:color w:val="auto"/>
              </w:rPr>
              <w:t>$421</w:t>
            </w:r>
          </w:p>
        </w:tc>
        <w:tc>
          <w:tcPr>
            <w:tcW w:w="1440" w:type="dxa"/>
            <w:vAlign w:val="bottom"/>
            <w:gridSpan w:val="2"/>
          </w:tcPr>
          <w:p>
            <w:pPr>
              <w:jc w:val="center"/>
              <w:ind w:left="39"/>
              <w:spacing w:after="0"/>
              <w:rPr>
                <w:sz w:val="20"/>
                <w:szCs w:val="20"/>
                <w:color w:val="auto"/>
              </w:rPr>
            </w:pPr>
            <w:r>
              <w:rPr>
                <w:rFonts w:ascii="Arial" w:cs="Arial" w:eastAsia="Arial" w:hAnsi="Arial"/>
                <w:sz w:val="16"/>
                <w:szCs w:val="16"/>
                <w:color w:val="auto"/>
              </w:rPr>
              <w:t>$450</w:t>
            </w:r>
          </w:p>
        </w:tc>
        <w:tc>
          <w:tcPr>
            <w:tcW w:w="0" w:type="dxa"/>
            <w:vAlign w:val="bottom"/>
          </w:tcPr>
          <w:p>
            <w:pPr>
              <w:spacing w:after="0"/>
              <w:rPr>
                <w:sz w:val="1"/>
                <w:szCs w:val="1"/>
                <w:color w:val="auto"/>
              </w:rPr>
            </w:pPr>
          </w:p>
        </w:tc>
      </w:tr>
      <w:tr>
        <w:trPr>
          <w:trHeight w:val="299"/>
        </w:trPr>
        <w:tc>
          <w:tcPr>
            <w:tcW w:w="2820" w:type="dxa"/>
            <w:vAlign w:val="bottom"/>
          </w:tcPr>
          <w:p>
            <w:pPr>
              <w:spacing w:after="0"/>
              <w:rPr>
                <w:sz w:val="20"/>
                <w:szCs w:val="20"/>
                <w:color w:val="auto"/>
              </w:rPr>
            </w:pPr>
            <w:r>
              <w:rPr>
                <w:rFonts w:ascii="Arial" w:cs="Arial" w:eastAsia="Arial" w:hAnsi="Arial"/>
                <w:sz w:val="16"/>
                <w:szCs w:val="16"/>
                <w:color w:val="auto"/>
              </w:rPr>
              <w:t>Diluted EPS</w:t>
            </w:r>
          </w:p>
        </w:tc>
        <w:tc>
          <w:tcPr>
            <w:tcW w:w="1360" w:type="dxa"/>
            <w:vAlign w:val="bottom"/>
            <w:gridSpan w:val="2"/>
          </w:tcPr>
          <w:p>
            <w:pPr>
              <w:jc w:val="center"/>
              <w:spacing w:after="0"/>
              <w:rPr>
                <w:sz w:val="20"/>
                <w:szCs w:val="20"/>
                <w:color w:val="auto"/>
              </w:rPr>
            </w:pPr>
            <w:r>
              <w:rPr>
                <w:rFonts w:ascii="Arial" w:cs="Arial" w:eastAsia="Arial" w:hAnsi="Arial"/>
                <w:sz w:val="16"/>
                <w:szCs w:val="16"/>
                <w:color w:val="auto"/>
              </w:rPr>
              <w:t>$1.23</w:t>
            </w:r>
          </w:p>
        </w:tc>
        <w:tc>
          <w:tcPr>
            <w:tcW w:w="1420" w:type="dxa"/>
            <w:vAlign w:val="bottom"/>
            <w:gridSpan w:val="2"/>
          </w:tcPr>
          <w:p>
            <w:pPr>
              <w:jc w:val="center"/>
              <w:ind w:left="59"/>
              <w:spacing w:after="0"/>
              <w:rPr>
                <w:sz w:val="20"/>
                <w:szCs w:val="20"/>
                <w:color w:val="auto"/>
              </w:rPr>
            </w:pPr>
            <w:r>
              <w:rPr>
                <w:rFonts w:ascii="Arial" w:cs="Arial" w:eastAsia="Arial" w:hAnsi="Arial"/>
                <w:sz w:val="16"/>
                <w:szCs w:val="16"/>
                <w:color w:val="auto"/>
                <w:w w:val="99"/>
              </w:rPr>
              <w:t>$1.29</w:t>
            </w:r>
          </w:p>
        </w:tc>
        <w:tc>
          <w:tcPr>
            <w:tcW w:w="1800" w:type="dxa"/>
            <w:vAlign w:val="bottom"/>
            <w:gridSpan w:val="3"/>
          </w:tcPr>
          <w:p>
            <w:pPr>
              <w:jc w:val="center"/>
              <w:ind w:left="319"/>
              <w:spacing w:after="0"/>
              <w:rPr>
                <w:sz w:val="20"/>
                <w:szCs w:val="20"/>
                <w:color w:val="auto"/>
              </w:rPr>
            </w:pPr>
            <w:r>
              <w:rPr>
                <w:rFonts w:ascii="Arial" w:cs="Arial" w:eastAsia="Arial" w:hAnsi="Arial"/>
                <w:sz w:val="16"/>
                <w:szCs w:val="16"/>
                <w:color w:val="auto"/>
                <w:w w:val="99"/>
              </w:rPr>
              <w:t>$0.99</w:t>
            </w:r>
          </w:p>
        </w:tc>
        <w:tc>
          <w:tcPr>
            <w:tcW w:w="1440" w:type="dxa"/>
            <w:vAlign w:val="bottom"/>
            <w:gridSpan w:val="2"/>
          </w:tcPr>
          <w:p>
            <w:pPr>
              <w:jc w:val="center"/>
              <w:ind w:left="39"/>
              <w:spacing w:after="0"/>
              <w:rPr>
                <w:sz w:val="20"/>
                <w:szCs w:val="20"/>
                <w:color w:val="auto"/>
              </w:rPr>
            </w:pPr>
            <w:r>
              <w:rPr>
                <w:rFonts w:ascii="Arial" w:cs="Arial" w:eastAsia="Arial" w:hAnsi="Arial"/>
                <w:sz w:val="16"/>
                <w:szCs w:val="16"/>
                <w:color w:val="auto"/>
                <w:w w:val="99"/>
              </w:rPr>
              <w:t>$1.06</w:t>
            </w:r>
          </w:p>
        </w:tc>
        <w:tc>
          <w:tcPr>
            <w:tcW w:w="0" w:type="dxa"/>
            <w:vAlign w:val="bottom"/>
          </w:tcPr>
          <w:p>
            <w:pPr>
              <w:spacing w:after="0"/>
              <w:rPr>
                <w:sz w:val="1"/>
                <w:szCs w:val="1"/>
                <w:color w:val="auto"/>
              </w:rPr>
            </w:pPr>
          </w:p>
        </w:tc>
      </w:tr>
    </w:tbl>
    <w:p>
      <w:pPr>
        <w:spacing w:after="0" w:line="172"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had an excellent start to the year, as our first quarter results put us on a path to comfortably achieve our full-year guidance,” said Jim Fish, WM’s President and Chief Executive Officer. “I am proud of how we continue to respond to inflationary pressures in our business. Our teams executed remarkably well, delivering double-digit growth in revenue, operating EBITDA and net cash provided by operating activities in the quarter. We also advanced our long-term strategic priorities of providing the best workplace for our employees, progressing technology and automation that differentiates WM and reduces costs, and leveraging our sustainability platform for growth.”</w:t>
      </w:r>
    </w:p>
    <w:p>
      <w:pPr>
        <w:spacing w:after="0" w:line="1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Fish continued, “In addition, the key leading performance indicators within our business, such as special waste volumes, construction and demolition volumes, and new business formation, point to continued strong economic activity and business performance for the balance of the year.”</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HIGHLIGHTS FOR THE FIRST QUARTER OF 2022</w:t>
      </w:r>
    </w:p>
    <w:p>
      <w:pPr>
        <w:spacing w:after="0" w:line="198" w:lineRule="exact"/>
        <w:rPr>
          <w:sz w:val="20"/>
          <w:szCs w:val="20"/>
          <w:color w:val="auto"/>
        </w:rPr>
      </w:pPr>
    </w:p>
    <w:p>
      <w:pPr>
        <w:ind w:left="580"/>
        <w:spacing w:after="0"/>
        <w:rPr>
          <w:sz w:val="20"/>
          <w:szCs w:val="20"/>
          <w:color w:val="auto"/>
        </w:rPr>
      </w:pPr>
      <w:r>
        <w:rPr>
          <w:rFonts w:ascii="Arial" w:cs="Arial" w:eastAsia="Arial" w:hAnsi="Arial"/>
          <w:sz w:val="18"/>
          <w:szCs w:val="18"/>
          <w:b w:val="1"/>
          <w:bCs w:val="1"/>
          <w:u w:val="single" w:color="auto"/>
          <w:color w:val="auto"/>
        </w:rPr>
        <w:t>Revenue</w:t>
      </w:r>
    </w:p>
    <w:p>
      <w:pPr>
        <w:spacing w:after="0" w:line="91" w:lineRule="exact"/>
        <w:rPr>
          <w:sz w:val="20"/>
          <w:szCs w:val="20"/>
          <w:color w:val="auto"/>
        </w:rPr>
      </w:pPr>
    </w:p>
    <w:p>
      <w:pPr>
        <w:ind w:left="580" w:hanging="283"/>
        <w:spacing w:after="0"/>
        <w:tabs>
          <w:tab w:leader="none" w:pos="580" w:val="left"/>
        </w:tabs>
        <w:numPr>
          <w:ilvl w:val="0"/>
          <w:numId w:val="3"/>
        </w:numPr>
        <w:rPr>
          <w:rFonts w:ascii="Arial" w:cs="Arial" w:eastAsia="Arial" w:hAnsi="Arial"/>
          <w:sz w:val="32"/>
          <w:szCs w:val="32"/>
          <w:color w:val="auto"/>
          <w:vertAlign w:val="superscript"/>
        </w:rPr>
      </w:pPr>
      <w:r>
        <w:rPr>
          <w:rFonts w:ascii="Arial" w:cs="Arial" w:eastAsia="Arial" w:hAnsi="Arial"/>
          <w:sz w:val="18"/>
          <w:szCs w:val="18"/>
          <w:color w:val="auto"/>
        </w:rPr>
        <w:t>Core price for the first quarter of 2022 was 7.3% compared to 3.4% in the first quarter of 2021.</w:t>
      </w:r>
      <w:r>
        <w:rPr>
          <w:rFonts w:ascii="Arial" w:cs="Arial" w:eastAsia="Arial" w:hAnsi="Arial"/>
          <w:sz w:val="29"/>
          <w:szCs w:val="29"/>
          <w:color w:val="auto"/>
          <w:vertAlign w:val="superscript"/>
        </w:rPr>
        <w:t>(d)</w:t>
      </w:r>
    </w:p>
    <w:p>
      <w:pPr>
        <w:ind w:left="580" w:hanging="283"/>
        <w:spacing w:after="0" w:line="275" w:lineRule="auto"/>
        <w:tabs>
          <w:tab w:leader="none" w:pos="580" w:val="left"/>
        </w:tabs>
        <w:numPr>
          <w:ilvl w:val="0"/>
          <w:numId w:val="3"/>
        </w:numPr>
        <w:rPr>
          <w:rFonts w:ascii="Arial" w:cs="Arial" w:eastAsia="Arial" w:hAnsi="Arial"/>
          <w:sz w:val="16"/>
          <w:szCs w:val="16"/>
          <w:color w:val="auto"/>
        </w:rPr>
      </w:pPr>
      <w:r>
        <w:rPr>
          <w:rFonts w:ascii="Arial" w:cs="Arial" w:eastAsia="Arial" w:hAnsi="Arial"/>
          <w:sz w:val="18"/>
          <w:szCs w:val="18"/>
          <w:color w:val="auto"/>
        </w:rPr>
        <w:t>Collection and disposal yield was 5.5% in the first quarter of 2022 compared to 2.8% in the first quarter of 2021.</w:t>
      </w:r>
      <w:r>
        <w:rPr>
          <w:rFonts w:ascii="Arial" w:cs="Arial" w:eastAsia="Arial" w:hAnsi="Arial"/>
          <w:sz w:val="29"/>
          <w:szCs w:val="29"/>
          <w:color w:val="auto"/>
          <w:vertAlign w:val="superscript"/>
        </w:rPr>
        <w:t>(f)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438785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right="720"/>
        <w:spacing w:after="0" w:line="296" w:lineRule="auto"/>
        <w:rPr>
          <w:sz w:val="20"/>
          <w:szCs w:val="20"/>
          <w:color w:val="auto"/>
        </w:rPr>
      </w:pPr>
      <w:r>
        <w:rPr>
          <w:rFonts w:ascii="Arial" w:cs="Arial" w:eastAsia="Arial" w:hAnsi="Arial"/>
          <w:sz w:val="16"/>
          <w:szCs w:val="16"/>
          <w:b w:val="1"/>
          <w:bCs w:val="1"/>
          <w:color w:val="00693A"/>
        </w:rPr>
        <w:t>FOR MORE INFORMATION</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Waste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Management</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Website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0000FF"/>
        </w:rPr>
        <w:t>www.wm.com</w:t>
      </w:r>
    </w:p>
    <w:p>
      <w:pPr>
        <w:spacing w:after="0" w:line="31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Analysts</w:t>
      </w:r>
    </w:p>
    <w:p>
      <w:pPr>
        <w:spacing w:after="0" w:line="27" w:lineRule="exact"/>
        <w:rPr>
          <w:sz w:val="20"/>
          <w:szCs w:val="20"/>
          <w:color w:val="auto"/>
        </w:rPr>
      </w:pPr>
    </w:p>
    <w:p>
      <w:pPr>
        <w:ind w:left="40"/>
        <w:spacing w:after="0"/>
        <w:rPr>
          <w:sz w:val="20"/>
          <w:szCs w:val="20"/>
          <w:color w:val="auto"/>
        </w:rPr>
      </w:pPr>
      <w:r>
        <w:rPr>
          <w:rFonts w:ascii="Arial" w:cs="Arial" w:eastAsia="Arial" w:hAnsi="Arial"/>
          <w:sz w:val="18"/>
          <w:szCs w:val="18"/>
          <w:color w:val="57584F"/>
        </w:rPr>
        <w:t>Ed Egl</w:t>
      </w:r>
    </w:p>
    <w:p>
      <w:pPr>
        <w:ind w:left="40" w:right="560"/>
        <w:spacing w:after="0" w:line="260" w:lineRule="auto"/>
        <w:rPr>
          <w:sz w:val="20"/>
          <w:szCs w:val="20"/>
          <w:color w:val="auto"/>
        </w:rPr>
      </w:pPr>
      <w:r>
        <w:rPr>
          <w:rFonts w:ascii="Arial" w:cs="Arial" w:eastAsia="Arial" w:hAnsi="Arial"/>
          <w:sz w:val="18"/>
          <w:szCs w:val="18"/>
          <w:color w:val="57584F"/>
        </w:rPr>
        <w:t xml:space="preserve">713.265.1656 </w:t>
      </w:r>
      <w:r>
        <w:rPr>
          <w:rFonts w:ascii="Arial" w:cs="Arial" w:eastAsia="Arial" w:hAnsi="Arial"/>
          <w:sz w:val="18"/>
          <w:szCs w:val="18"/>
          <w:b w:val="1"/>
          <w:bCs w:val="1"/>
          <w:u w:val="single" w:color="auto"/>
          <w:color w:val="0000FF"/>
        </w:rPr>
        <w:t>eegl@wm.com</w:t>
      </w:r>
    </w:p>
    <w:p>
      <w:pPr>
        <w:spacing w:after="0" w:line="375"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Media</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8"/>
          <w:szCs w:val="18"/>
          <w:color w:val="57584F"/>
        </w:rPr>
        <w:t>Toni Werner</w:t>
      </w:r>
    </w:p>
    <w:p>
      <w:pPr>
        <w:spacing w:after="0" w:line="72"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FF"/>
        </w:rPr>
        <w:t>media@wm.com</w:t>
      </w:r>
    </w:p>
    <w:p>
      <w:pPr>
        <w:sectPr>
          <w:pgSz w:w="11900" w:h="16838" w:orient="portrait"/>
          <w:cols w:equalWidth="0" w:num="2">
            <w:col w:w="9000" w:space="380"/>
            <w:col w:w="1860"/>
          </w:cols>
          <w:pgMar w:left="320" w:top="607" w:right="339" w:bottom="1440" w:gutter="0" w:footer="0" w:header="0"/>
        </w:sectPr>
      </w:pPr>
    </w:p>
    <w:bookmarkStart w:id="4" w:name="page5"/>
    <w:bookmarkEnd w:id="4"/>
    <w:p>
      <w:pPr>
        <w:jc w:val="both"/>
        <w:ind w:left="680" w:right="1139" w:hanging="335"/>
        <w:spacing w:after="0" w:line="267" w:lineRule="auto"/>
        <w:tabs>
          <w:tab w:leader="none" w:pos="680" w:val="left"/>
        </w:tabs>
        <w:numPr>
          <w:ilvl w:val="0"/>
          <w:numId w:val="4"/>
        </w:numPr>
        <w:rPr>
          <w:rFonts w:ascii="Arial" w:cs="Arial" w:eastAsia="Arial" w:hAnsi="Arial"/>
          <w:sz w:val="16"/>
          <w:szCs w:val="16"/>
          <w:color w:val="auto"/>
        </w:rPr>
      </w:pPr>
      <w:r>
        <w:rPr>
          <w:rFonts w:ascii="Arial" w:cs="Arial" w:eastAsia="Arial" w:hAnsi="Arial"/>
          <w:sz w:val="18"/>
          <w:szCs w:val="18"/>
          <w:color w:val="auto"/>
        </w:rPr>
        <w:t>Total Company volumes increased 3.6% in the first quarter of 2022, or 3.2% on a workday adjusted basis, compared to a decline of 3.3% in the first quarter of 2021, or a decline of 2.7% on a workday adjusted basis.</w:t>
      </w:r>
      <w:r>
        <w:rPr>
          <w:rFonts w:ascii="Arial" w:cs="Arial" w:eastAsia="Arial" w:hAnsi="Arial"/>
          <w:sz w:val="29"/>
          <w:szCs w:val="29"/>
          <w:color w:val="auto"/>
          <w:vertAlign w:val="superscript"/>
        </w:rPr>
        <w:t>(f)</w:t>
      </w:r>
    </w:p>
    <w:p>
      <w:pPr>
        <w:spacing w:after="0" w:line="19"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Cost Management</w:t>
      </w:r>
    </w:p>
    <w:p>
      <w:pPr>
        <w:spacing w:after="0" w:line="198" w:lineRule="exact"/>
        <w:rPr>
          <w:sz w:val="20"/>
          <w:szCs w:val="20"/>
          <w:color w:val="auto"/>
        </w:rPr>
      </w:pPr>
    </w:p>
    <w:p>
      <w:pPr>
        <w:jc w:val="both"/>
        <w:ind w:left="680" w:right="1139" w:hanging="335"/>
        <w:spacing w:after="0" w:line="238" w:lineRule="auto"/>
        <w:tabs>
          <w:tab w:leader="none" w:pos="680" w:val="left"/>
        </w:tabs>
        <w:numPr>
          <w:ilvl w:val="0"/>
          <w:numId w:val="5"/>
        </w:numPr>
        <w:rPr>
          <w:rFonts w:ascii="Arial" w:cs="Arial" w:eastAsia="Arial" w:hAnsi="Arial"/>
          <w:sz w:val="16"/>
          <w:szCs w:val="16"/>
          <w:color w:val="auto"/>
        </w:rPr>
      </w:pPr>
      <w:r>
        <w:rPr>
          <w:rFonts w:ascii="Arial" w:cs="Arial" w:eastAsia="Arial" w:hAnsi="Arial"/>
          <w:sz w:val="18"/>
          <w:szCs w:val="18"/>
          <w:color w:val="auto"/>
        </w:rPr>
        <w:t>Operating expenses as a percentage of revenue increased 120 basis points to 62.3% when compared to the first quarter of 2021 but improved 70 basis points when compared to the fourth quarter of 2021. The increase in operating expense margin in the first quarter, when compared to the prior year, was primarily due to the impacts of increased wages for front-line employees, higher commodity prices for recyclables, and alternative fuel tax credits received in the prior year that have not yet been renewed for 2022.</w:t>
      </w:r>
    </w:p>
    <w:p>
      <w:pPr>
        <w:spacing w:after="0" w:line="1" w:lineRule="exact"/>
        <w:rPr>
          <w:rFonts w:ascii="Arial" w:cs="Arial" w:eastAsia="Arial" w:hAnsi="Arial"/>
          <w:sz w:val="16"/>
          <w:szCs w:val="16"/>
          <w:color w:val="auto"/>
        </w:rPr>
      </w:pPr>
    </w:p>
    <w:p>
      <w:pPr>
        <w:jc w:val="both"/>
        <w:ind w:left="680" w:right="1139" w:hanging="335"/>
        <w:spacing w:after="0" w:line="259" w:lineRule="auto"/>
        <w:tabs>
          <w:tab w:leader="none" w:pos="680" w:val="left"/>
        </w:tabs>
        <w:numPr>
          <w:ilvl w:val="0"/>
          <w:numId w:val="5"/>
        </w:numPr>
        <w:rPr>
          <w:rFonts w:ascii="Arial" w:cs="Arial" w:eastAsia="Arial" w:hAnsi="Arial"/>
          <w:sz w:val="16"/>
          <w:szCs w:val="16"/>
          <w:color w:val="auto"/>
        </w:rPr>
      </w:pPr>
      <w:r>
        <w:rPr>
          <w:rFonts w:ascii="Arial" w:cs="Arial" w:eastAsia="Arial" w:hAnsi="Arial"/>
          <w:sz w:val="18"/>
          <w:szCs w:val="18"/>
          <w:color w:val="auto"/>
        </w:rPr>
        <w:t>SG&amp;A expenses were 10.5% of revenue in the first quarter of 2022 compared to 11.1% in the first quarter of 2021. On an adjusted basis, SG&amp;A expenses were 10.1% of revenue in the first quarter of 2022 compared to 10.7% in the first quarter of 2021.</w:t>
      </w:r>
      <w:r>
        <w:rPr>
          <w:rFonts w:ascii="Arial" w:cs="Arial" w:eastAsia="Arial" w:hAnsi="Arial"/>
          <w:sz w:val="29"/>
          <w:szCs w:val="29"/>
          <w:color w:val="auto"/>
          <w:vertAlign w:val="superscript"/>
        </w:rPr>
        <w:t>(a)</w:t>
      </w:r>
    </w:p>
    <w:p>
      <w:pPr>
        <w:spacing w:after="0" w:line="66"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Profitability</w:t>
      </w:r>
    </w:p>
    <w:p>
      <w:pPr>
        <w:spacing w:after="0" w:line="239" w:lineRule="exact"/>
        <w:rPr>
          <w:sz w:val="20"/>
          <w:szCs w:val="20"/>
          <w:color w:val="auto"/>
        </w:rPr>
      </w:pPr>
    </w:p>
    <w:p>
      <w:pPr>
        <w:jc w:val="both"/>
        <w:ind w:left="680" w:right="1139" w:hanging="335"/>
        <w:spacing w:after="0" w:line="213" w:lineRule="auto"/>
        <w:tabs>
          <w:tab w:leader="none" w:pos="680" w:val="left"/>
        </w:tabs>
        <w:numPr>
          <w:ilvl w:val="0"/>
          <w:numId w:val="6"/>
        </w:numPr>
        <w:rPr>
          <w:rFonts w:ascii="Arial" w:cs="Arial" w:eastAsia="Arial" w:hAnsi="Arial"/>
          <w:sz w:val="16"/>
          <w:szCs w:val="16"/>
          <w:color w:val="auto"/>
        </w:rPr>
      </w:pPr>
      <w:r>
        <w:rPr>
          <w:rFonts w:ascii="Arial" w:cs="Arial" w:eastAsia="Arial" w:hAnsi="Arial"/>
          <w:sz w:val="18"/>
          <w:szCs w:val="18"/>
          <w:color w:val="auto"/>
        </w:rPr>
        <w:t>Operating EBITDA in the Company’s collection and disposal business, adjusted on the same basis as total Company operating EBITDA, was $1.4 billion, or 31.2% of revenue, for the first quarter of 2022, compared to $1.3 billion, or 31.8% of revenue, for the first quarter of 2021.</w:t>
      </w:r>
      <w:r>
        <w:rPr>
          <w:rFonts w:ascii="Arial" w:cs="Arial" w:eastAsia="Arial" w:hAnsi="Arial"/>
          <w:sz w:val="29"/>
          <w:szCs w:val="29"/>
          <w:color w:val="auto"/>
          <w:vertAlign w:val="superscript"/>
        </w:rPr>
        <w:t>(e)</w:t>
      </w:r>
    </w:p>
    <w:p>
      <w:pPr>
        <w:spacing w:after="0" w:line="2" w:lineRule="exact"/>
        <w:rPr>
          <w:rFonts w:ascii="Arial" w:cs="Arial" w:eastAsia="Arial" w:hAnsi="Arial"/>
          <w:sz w:val="16"/>
          <w:szCs w:val="16"/>
          <w:color w:val="auto"/>
        </w:rPr>
      </w:pPr>
    </w:p>
    <w:p>
      <w:pPr>
        <w:jc w:val="both"/>
        <w:ind w:left="680" w:right="1139" w:hanging="335"/>
        <w:spacing w:after="0" w:line="234" w:lineRule="auto"/>
        <w:tabs>
          <w:tab w:leader="none" w:pos="680" w:val="left"/>
        </w:tabs>
        <w:numPr>
          <w:ilvl w:val="0"/>
          <w:numId w:val="6"/>
        </w:numPr>
        <w:rPr>
          <w:rFonts w:ascii="Arial" w:cs="Arial" w:eastAsia="Arial" w:hAnsi="Arial"/>
          <w:sz w:val="16"/>
          <w:szCs w:val="16"/>
          <w:color w:val="auto"/>
        </w:rPr>
      </w:pPr>
      <w:r>
        <w:rPr>
          <w:rFonts w:ascii="Arial" w:cs="Arial" w:eastAsia="Arial" w:hAnsi="Arial"/>
          <w:sz w:val="18"/>
          <w:szCs w:val="18"/>
          <w:color w:val="auto"/>
        </w:rPr>
        <w:t>Operating EBITDA in the Company’s recycling line of business, adjusted on the same basis as total Company operating EBITDA, improved by $23 million compared to the first quarter of 2021. The improvement was primarily driven by increases in market prices for recycled commodities.</w:t>
      </w:r>
    </w:p>
    <w:p>
      <w:pPr>
        <w:spacing w:after="0" w:line="2" w:lineRule="exact"/>
        <w:rPr>
          <w:rFonts w:ascii="Arial" w:cs="Arial" w:eastAsia="Arial" w:hAnsi="Arial"/>
          <w:sz w:val="16"/>
          <w:szCs w:val="16"/>
          <w:color w:val="auto"/>
        </w:rPr>
      </w:pPr>
    </w:p>
    <w:p>
      <w:pPr>
        <w:jc w:val="both"/>
        <w:ind w:left="680" w:right="1139" w:hanging="335"/>
        <w:spacing w:after="0" w:line="242" w:lineRule="auto"/>
        <w:tabs>
          <w:tab w:leader="none" w:pos="680" w:val="left"/>
        </w:tabs>
        <w:numPr>
          <w:ilvl w:val="0"/>
          <w:numId w:val="6"/>
        </w:numPr>
        <w:rPr>
          <w:rFonts w:ascii="Arial" w:cs="Arial" w:eastAsia="Arial" w:hAnsi="Arial"/>
          <w:sz w:val="16"/>
          <w:szCs w:val="16"/>
          <w:color w:val="auto"/>
        </w:rPr>
      </w:pPr>
      <w:r>
        <w:rPr>
          <w:rFonts w:ascii="Arial" w:cs="Arial" w:eastAsia="Arial" w:hAnsi="Arial"/>
          <w:sz w:val="18"/>
          <w:szCs w:val="18"/>
          <w:color w:val="auto"/>
        </w:rPr>
        <w:t>Operating EBITDA in the Company’s renewable energy business, adjusted on the same basis as total Company operating EBITDA, improved by $13 million compared to the first quarter of 2021, primarily driven by increases in the value of renewable fuel standard credits, or RINs.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u w:val="single" w:color="auto"/>
          <w:color w:val="auto"/>
        </w:rPr>
        <w:t>Free Cash Flow &amp; Capital Allocation</w:t>
      </w:r>
    </w:p>
    <w:p>
      <w:pPr>
        <w:spacing w:after="0" w:line="198" w:lineRule="exact"/>
        <w:rPr>
          <w:sz w:val="20"/>
          <w:szCs w:val="20"/>
          <w:color w:val="auto"/>
        </w:rPr>
      </w:pPr>
    </w:p>
    <w:p>
      <w:pPr>
        <w:jc w:val="both"/>
        <w:ind w:left="680" w:right="1159" w:hanging="335"/>
        <w:spacing w:after="0" w:line="241" w:lineRule="auto"/>
        <w:tabs>
          <w:tab w:leader="none" w:pos="680" w:val="left"/>
        </w:tabs>
        <w:numPr>
          <w:ilvl w:val="0"/>
          <w:numId w:val="7"/>
        </w:numPr>
        <w:rPr>
          <w:rFonts w:ascii="Arial" w:cs="Arial" w:eastAsia="Arial" w:hAnsi="Arial"/>
          <w:sz w:val="16"/>
          <w:szCs w:val="16"/>
          <w:color w:val="auto"/>
        </w:rPr>
      </w:pPr>
      <w:r>
        <w:rPr>
          <w:rFonts w:ascii="Arial" w:cs="Arial" w:eastAsia="Arial" w:hAnsi="Arial"/>
          <w:sz w:val="18"/>
          <w:szCs w:val="18"/>
          <w:color w:val="auto"/>
        </w:rPr>
        <w:t>In the first quarter of 2022, net cash provided by operating activities was $1.26 billion compared to $1.12 billion in the first quarter of 2021. The improvement in net cash provided by operating activities was primarily driven by the increase in operating EBITDA.</w:t>
      </w:r>
    </w:p>
    <w:p>
      <w:pPr>
        <w:spacing w:after="0" w:line="1" w:lineRule="exact"/>
        <w:rPr>
          <w:rFonts w:ascii="Arial" w:cs="Arial" w:eastAsia="Arial" w:hAnsi="Arial"/>
          <w:sz w:val="16"/>
          <w:szCs w:val="16"/>
          <w:color w:val="auto"/>
        </w:rPr>
      </w:pPr>
    </w:p>
    <w:p>
      <w:pPr>
        <w:jc w:val="both"/>
        <w:ind w:left="680" w:right="1139" w:hanging="335"/>
        <w:spacing w:after="0" w:line="234" w:lineRule="auto"/>
        <w:tabs>
          <w:tab w:leader="none" w:pos="680" w:val="left"/>
        </w:tabs>
        <w:numPr>
          <w:ilvl w:val="0"/>
          <w:numId w:val="7"/>
        </w:numPr>
        <w:rPr>
          <w:rFonts w:ascii="Arial" w:cs="Arial" w:eastAsia="Arial" w:hAnsi="Arial"/>
          <w:sz w:val="16"/>
          <w:szCs w:val="16"/>
          <w:color w:val="auto"/>
        </w:rPr>
      </w:pPr>
      <w:r>
        <w:rPr>
          <w:rFonts w:ascii="Arial" w:cs="Arial" w:eastAsia="Arial" w:hAnsi="Arial"/>
          <w:sz w:val="18"/>
          <w:szCs w:val="18"/>
          <w:color w:val="auto"/>
        </w:rPr>
        <w:t>In the first quarter of 2022, capital expenditures to support the business were $371 million compared to $259 million in the first quarter of 2021. In addition, in the first quarter of 2022, capital expenditures for sustainability growth investments were $47 million compared to $11 million in the first quarter of 2021.</w:t>
      </w:r>
    </w:p>
    <w:p>
      <w:pPr>
        <w:spacing w:after="0" w:line="2" w:lineRule="exact"/>
        <w:rPr>
          <w:rFonts w:ascii="Arial" w:cs="Arial" w:eastAsia="Arial" w:hAnsi="Arial"/>
          <w:sz w:val="16"/>
          <w:szCs w:val="16"/>
          <w:color w:val="auto"/>
        </w:rPr>
      </w:pPr>
    </w:p>
    <w:p>
      <w:pPr>
        <w:jc w:val="both"/>
        <w:ind w:left="680" w:right="1139" w:hanging="335"/>
        <w:spacing w:after="0" w:line="189" w:lineRule="auto"/>
        <w:tabs>
          <w:tab w:leader="none" w:pos="680" w:val="left"/>
        </w:tabs>
        <w:numPr>
          <w:ilvl w:val="0"/>
          <w:numId w:val="7"/>
        </w:numPr>
        <w:rPr>
          <w:rFonts w:ascii="Arial" w:cs="Arial" w:eastAsia="Arial" w:hAnsi="Arial"/>
          <w:sz w:val="16"/>
          <w:szCs w:val="16"/>
          <w:color w:val="auto"/>
        </w:rPr>
      </w:pPr>
      <w:r>
        <w:rPr>
          <w:rFonts w:ascii="Arial" w:cs="Arial" w:eastAsia="Arial" w:hAnsi="Arial"/>
          <w:sz w:val="18"/>
          <w:szCs w:val="18"/>
          <w:color w:val="auto"/>
        </w:rPr>
        <w:t>In the first quarter of 2022, free cash flow was $845 million compared to $865 million in the first quarter of 2021.</w:t>
      </w:r>
      <w:r>
        <w:rPr>
          <w:rFonts w:ascii="Arial" w:cs="Arial" w:eastAsia="Arial" w:hAnsi="Arial"/>
          <w:sz w:val="29"/>
          <w:szCs w:val="29"/>
          <w:color w:val="auto"/>
          <w:vertAlign w:val="superscript"/>
        </w:rPr>
        <w:t>(a)</w:t>
      </w:r>
      <w:r>
        <w:rPr>
          <w:rFonts w:ascii="Arial" w:cs="Arial" w:eastAsia="Arial" w:hAnsi="Arial"/>
          <w:sz w:val="18"/>
          <w:szCs w:val="18"/>
          <w:color w:val="auto"/>
        </w:rPr>
        <w:t xml:space="preserve"> In the first quarter of 2022, free cash flow without sustainability growth investments was $892 million compared to $876 million in the first quarter of 2021.</w:t>
      </w:r>
      <w:r>
        <w:rPr>
          <w:rFonts w:ascii="Arial" w:cs="Arial" w:eastAsia="Arial" w:hAnsi="Arial"/>
          <w:sz w:val="29"/>
          <w:szCs w:val="29"/>
          <w:color w:val="auto"/>
          <w:vertAlign w:val="superscript"/>
        </w:rPr>
        <w:t>(a)</w:t>
      </w:r>
    </w:p>
    <w:p>
      <w:pPr>
        <w:ind w:left="680" w:right="1159" w:hanging="335"/>
        <w:spacing w:after="0" w:line="250" w:lineRule="auto"/>
        <w:tabs>
          <w:tab w:leader="none" w:pos="680" w:val="left"/>
        </w:tabs>
        <w:numPr>
          <w:ilvl w:val="0"/>
          <w:numId w:val="7"/>
        </w:numPr>
        <w:rPr>
          <w:rFonts w:ascii="Arial" w:cs="Arial" w:eastAsia="Arial" w:hAnsi="Arial"/>
          <w:sz w:val="16"/>
          <w:szCs w:val="16"/>
          <w:color w:val="auto"/>
        </w:rPr>
      </w:pPr>
      <w:r>
        <w:rPr>
          <w:rFonts w:ascii="Arial" w:cs="Arial" w:eastAsia="Arial" w:hAnsi="Arial"/>
          <w:sz w:val="18"/>
          <w:szCs w:val="18"/>
          <w:color w:val="auto"/>
        </w:rPr>
        <w:t>During the first quarter of 2022, $525 million was returned to shareholders, including $275 million of cash dividends and $250 million allocated to share repurchases.</w:t>
      </w:r>
    </w:p>
    <w:p>
      <w:pPr>
        <w:spacing w:after="0" w:line="199" w:lineRule="exact"/>
        <w:rPr>
          <w:sz w:val="20"/>
          <w:szCs w:val="20"/>
          <w:color w:val="auto"/>
        </w:rPr>
      </w:pPr>
    </w:p>
    <w:p>
      <w:pPr>
        <w:jc w:val="both"/>
        <w:ind w:right="1139"/>
        <w:spacing w:after="0" w:line="253" w:lineRule="auto"/>
        <w:rPr>
          <w:sz w:val="20"/>
          <w:szCs w:val="20"/>
          <w:color w:val="auto"/>
        </w:rPr>
      </w:pPr>
      <w:r>
        <w:rPr>
          <w:rFonts w:ascii="Arial" w:cs="Arial" w:eastAsia="Arial" w:hAnsi="Arial"/>
          <w:sz w:val="18"/>
          <w:szCs w:val="18"/>
          <w:color w:val="auto"/>
        </w:rPr>
        <w:t>Fish concluded, “In addition to our strong financial performance, we also take pride in being recognized among the World’s Most Ethical Companies by Ethisphere in March. This was the 13th time WM has received this distinction, and it reflects our commitment to being a responsible operator that achieves success with integrity.”</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46" w:lineRule="exact"/>
        <w:rPr>
          <w:sz w:val="20"/>
          <w:szCs w:val="20"/>
          <w:color w:val="auto"/>
        </w:rPr>
      </w:pPr>
    </w:p>
    <w:p>
      <w:pPr>
        <w:ind w:left="680" w:right="1139" w:hanging="335"/>
        <w:spacing w:after="0" w:line="285" w:lineRule="auto"/>
        <w:tabs>
          <w:tab w:leader="none" w:pos="68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information labeled as adjusted in this press release, as well as free cash flow, are non-GAAP measures. Please see "Non-GAAP Financial Measures" below and the reconciliations in the accompanying schedules for more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1093" w:right="1440" w:bottom="1440" w:gutter="0" w:footer="0" w:header="0"/>
        </w:sectPr>
      </w:pPr>
    </w:p>
    <w:bookmarkStart w:id="5" w:name="page6"/>
    <w:bookmarkEnd w:id="5"/>
    <w:p>
      <w:pPr>
        <w:ind w:left="680" w:right="1139" w:hanging="335"/>
        <w:spacing w:after="0" w:line="285" w:lineRule="auto"/>
        <w:tabs>
          <w:tab w:leader="none" w:pos="680" w:val="left"/>
        </w:tabs>
        <w:numPr>
          <w:ilvl w:val="0"/>
          <w:numId w:val="9"/>
        </w:numPr>
        <w:rPr>
          <w:rFonts w:ascii="Arial" w:cs="Arial" w:eastAsia="Arial" w:hAnsi="Arial"/>
          <w:sz w:val="14"/>
          <w:szCs w:val="14"/>
          <w:color w:val="auto"/>
        </w:rPr>
      </w:pPr>
      <w:r>
        <w:rPr>
          <w:rFonts w:ascii="Arial" w:cs="Arial" w:eastAsia="Arial" w:hAnsi="Arial"/>
          <w:sz w:val="14"/>
          <w:szCs w:val="14"/>
          <w:color w:val="auto"/>
        </w:rPr>
        <w:t>Management defines operating EBITDA as GAAP income from operations before depreciation and amortization; this measure may not be comparable to similarly-titled measures reported by other companies.</w:t>
      </w:r>
    </w:p>
    <w:p>
      <w:pPr>
        <w:spacing w:after="0" w:line="184" w:lineRule="exact"/>
        <w:rPr>
          <w:rFonts w:ascii="Arial" w:cs="Arial" w:eastAsia="Arial" w:hAnsi="Arial"/>
          <w:sz w:val="14"/>
          <w:szCs w:val="14"/>
          <w:color w:val="auto"/>
        </w:rPr>
      </w:pPr>
    </w:p>
    <w:p>
      <w:pPr>
        <w:ind w:left="680" w:right="1139" w:hanging="335"/>
        <w:spacing w:after="0" w:line="285" w:lineRule="auto"/>
        <w:tabs>
          <w:tab w:leader="none" w:pos="680" w:val="left"/>
        </w:tabs>
        <w:numPr>
          <w:ilvl w:val="0"/>
          <w:numId w:val="9"/>
        </w:numPr>
        <w:rPr>
          <w:rFonts w:ascii="Arial" w:cs="Arial" w:eastAsia="Arial" w:hAnsi="Arial"/>
          <w:sz w:val="14"/>
          <w:szCs w:val="14"/>
          <w:color w:val="auto"/>
        </w:rPr>
      </w:pPr>
      <w:r>
        <w:rPr>
          <w:rFonts w:ascii="Arial" w:cs="Arial" w:eastAsia="Arial" w:hAnsi="Arial"/>
          <w:sz w:val="14"/>
          <w:szCs w:val="14"/>
          <w:color w:val="auto"/>
        </w:rPr>
        <w:t>For purposes of this press release, all references to "Net income" refer to the financial statement line item "Net income attributable to Waste Management, Inc."</w:t>
      </w:r>
    </w:p>
    <w:p>
      <w:pPr>
        <w:spacing w:after="0" w:line="184" w:lineRule="exact"/>
        <w:rPr>
          <w:rFonts w:ascii="Arial" w:cs="Arial" w:eastAsia="Arial" w:hAnsi="Arial"/>
          <w:sz w:val="14"/>
          <w:szCs w:val="14"/>
          <w:color w:val="auto"/>
        </w:rPr>
      </w:pPr>
    </w:p>
    <w:p>
      <w:pPr>
        <w:jc w:val="both"/>
        <w:ind w:left="680" w:right="1139" w:hanging="335"/>
        <w:spacing w:after="0" w:line="256" w:lineRule="auto"/>
        <w:tabs>
          <w:tab w:leader="none" w:pos="680" w:val="left"/>
        </w:tabs>
        <w:numPr>
          <w:ilvl w:val="0"/>
          <w:numId w:val="9"/>
        </w:numPr>
        <w:rPr>
          <w:rFonts w:ascii="Arial" w:cs="Arial" w:eastAsia="Arial" w:hAnsi="Arial"/>
          <w:sz w:val="14"/>
          <w:szCs w:val="14"/>
          <w:color w:val="auto"/>
        </w:rPr>
      </w:pPr>
      <w:r>
        <w:rPr>
          <w:rFonts w:ascii="Arial" w:cs="Arial" w:eastAsia="Arial" w:hAnsi="Arial"/>
          <w:sz w:val="14"/>
          <w:szCs w:val="14"/>
          <w:color w:val="auto"/>
        </w:rPr>
        <w:t>Core price is a performance metric used by management to evaluate the effectiveness of our pricing strategies; it is not derived from our financial statements and may not be comparable to measures presented by other companies. Core price is based on certain historical assumptions, which may differ from actual results, to allow for comparability between reporting periods and to reveal trends in results over time.</w:t>
      </w:r>
    </w:p>
    <w:p>
      <w:pPr>
        <w:spacing w:after="0" w:line="204" w:lineRule="exact"/>
        <w:rPr>
          <w:rFonts w:ascii="Arial" w:cs="Arial" w:eastAsia="Arial" w:hAnsi="Arial"/>
          <w:sz w:val="14"/>
          <w:szCs w:val="14"/>
          <w:color w:val="auto"/>
        </w:rPr>
      </w:pPr>
    </w:p>
    <w:p>
      <w:pPr>
        <w:ind w:left="680" w:right="1139" w:hanging="335"/>
        <w:spacing w:after="0" w:line="285" w:lineRule="auto"/>
        <w:tabs>
          <w:tab w:leader="none" w:pos="680" w:val="left"/>
        </w:tabs>
        <w:numPr>
          <w:ilvl w:val="0"/>
          <w:numId w:val="9"/>
        </w:numPr>
        <w:rPr>
          <w:rFonts w:ascii="Arial" w:cs="Arial" w:eastAsia="Arial" w:hAnsi="Arial"/>
          <w:sz w:val="14"/>
          <w:szCs w:val="14"/>
          <w:color w:val="auto"/>
        </w:rPr>
      </w:pPr>
      <w:r>
        <w:rPr>
          <w:rFonts w:ascii="Arial" w:cs="Arial" w:eastAsia="Arial" w:hAnsi="Arial"/>
          <w:sz w:val="14"/>
          <w:szCs w:val="14"/>
          <w:color w:val="auto"/>
        </w:rPr>
        <w:t>In the fourth quarter of 2021, the Company updated its collection and disposal operating EBITDA calculation with a more accurate allocation of costs to this line of business.</w:t>
      </w:r>
    </w:p>
    <w:p>
      <w:pPr>
        <w:spacing w:after="0" w:line="184" w:lineRule="exact"/>
        <w:rPr>
          <w:rFonts w:ascii="Arial" w:cs="Arial" w:eastAsia="Arial" w:hAnsi="Arial"/>
          <w:sz w:val="14"/>
          <w:szCs w:val="14"/>
          <w:color w:val="auto"/>
        </w:rPr>
      </w:pPr>
    </w:p>
    <w:p>
      <w:pPr>
        <w:jc w:val="both"/>
        <w:ind w:left="680" w:right="1139" w:hanging="335"/>
        <w:spacing w:after="0" w:line="263" w:lineRule="auto"/>
        <w:tabs>
          <w:tab w:leader="none" w:pos="680" w:val="left"/>
        </w:tabs>
        <w:numPr>
          <w:ilvl w:val="0"/>
          <w:numId w:val="9"/>
        </w:numPr>
        <w:rPr>
          <w:rFonts w:ascii="Arial" w:cs="Arial" w:eastAsia="Arial" w:hAnsi="Arial"/>
          <w:sz w:val="14"/>
          <w:szCs w:val="14"/>
          <w:color w:val="auto"/>
        </w:rPr>
      </w:pPr>
      <w:r>
        <w:rPr>
          <w:rFonts w:ascii="Arial" w:cs="Arial" w:eastAsia="Arial" w:hAnsi="Arial"/>
          <w:sz w:val="14"/>
          <w:szCs w:val="14"/>
          <w:color w:val="auto"/>
        </w:rPr>
        <w:t>Beginning in the fourth quarter of 2021, changes in the Company’s renewable energy revenue are reflected as components of the changes in revenue attributable to yield (included in “Fuel &amp; Other”) and volume. The Company has restated the prior periods to be consistent with the current year presentation.</w:t>
      </w:r>
    </w:p>
    <w:p>
      <w:pPr>
        <w:spacing w:after="0" w:line="190" w:lineRule="exact"/>
        <w:rPr>
          <w:sz w:val="20"/>
          <w:szCs w:val="20"/>
          <w:color w:val="auto"/>
        </w:rPr>
      </w:pPr>
    </w:p>
    <w:p>
      <w:pPr>
        <w:jc w:val="both"/>
        <w:ind w:right="1159"/>
        <w:spacing w:after="0" w:line="271" w:lineRule="auto"/>
        <w:rPr>
          <w:sz w:val="20"/>
          <w:szCs w:val="20"/>
          <w:color w:val="auto"/>
        </w:rPr>
      </w:pPr>
      <w:r>
        <w:rPr>
          <w:rFonts w:ascii="Arial" w:cs="Arial" w:eastAsia="Arial" w:hAnsi="Arial"/>
          <w:sz w:val="18"/>
          <w:szCs w:val="18"/>
          <w:color w:val="auto"/>
        </w:rPr>
        <w:t>The Company will host a conference call at 10 a.m. ET today to discuss the first quarter results. Information contained within this press release will be referenced and should be considered in conjunction with the call.</w:t>
      </w:r>
    </w:p>
    <w:p>
      <w:pPr>
        <w:spacing w:after="0" w:line="154" w:lineRule="exact"/>
        <w:rPr>
          <w:sz w:val="20"/>
          <w:szCs w:val="20"/>
          <w:color w:val="auto"/>
        </w:rPr>
      </w:pPr>
    </w:p>
    <w:p>
      <w:pPr>
        <w:jc w:val="both"/>
        <w:ind w:right="1139"/>
        <w:spacing w:after="0" w:line="266" w:lineRule="auto"/>
        <w:rPr>
          <w:sz w:val="20"/>
          <w:szCs w:val="20"/>
          <w:color w:val="auto"/>
        </w:rPr>
      </w:pPr>
      <w:r>
        <w:rPr>
          <w:rFonts w:ascii="Arial" w:cs="Arial" w:eastAsia="Arial" w:hAnsi="Arial"/>
          <w:sz w:val="17"/>
          <w:szCs w:val="17"/>
          <w:color w:val="auto"/>
        </w:rPr>
        <w:t xml:space="preserve">The conference call will be webcast live from the Investors section of Waste Management’s website </w:t>
      </w:r>
      <w:r>
        <w:rPr>
          <w:rFonts w:ascii="Arial" w:cs="Arial" w:eastAsia="Arial" w:hAnsi="Arial"/>
          <w:sz w:val="17"/>
          <w:szCs w:val="17"/>
          <w:u w:val="single" w:color="auto"/>
          <w:color w:val="auto"/>
        </w:rPr>
        <w:t>www.wm.com</w:t>
      </w:r>
      <w:r>
        <w:rPr>
          <w:rFonts w:ascii="Arial" w:cs="Arial" w:eastAsia="Arial" w:hAnsi="Arial"/>
          <w:sz w:val="17"/>
          <w:szCs w:val="17"/>
          <w:color w:val="auto"/>
        </w:rPr>
        <w:t>. To access the conference call by telephone, please dial (877) 710-6139 approximately 10 minutes prior to the scheduled start of the call. If you are calling from outside of the United States or Canada, please dial (706) 643-7398. Please utilize conference ID number 3365157 when prompted by the conference call operator.</w:t>
      </w:r>
    </w:p>
    <w:p>
      <w:pPr>
        <w:spacing w:after="0" w:line="159" w:lineRule="exact"/>
        <w:rPr>
          <w:sz w:val="20"/>
          <w:szCs w:val="20"/>
          <w:color w:val="auto"/>
        </w:rPr>
      </w:pPr>
    </w:p>
    <w:p>
      <w:pPr>
        <w:jc w:val="both"/>
        <w:ind w:right="1139"/>
        <w:spacing w:after="0" w:line="247" w:lineRule="auto"/>
        <w:rPr>
          <w:sz w:val="20"/>
          <w:szCs w:val="20"/>
          <w:color w:val="auto"/>
        </w:rPr>
      </w:pPr>
      <w:r>
        <w:rPr>
          <w:rFonts w:ascii="Arial" w:cs="Arial" w:eastAsia="Arial" w:hAnsi="Arial"/>
          <w:sz w:val="18"/>
          <w:szCs w:val="18"/>
          <w:color w:val="auto"/>
        </w:rPr>
        <w:t xml:space="preserve">A replay of the conference call will be available on the Company’s website </w:t>
      </w:r>
      <w:r>
        <w:rPr>
          <w:rFonts w:ascii="Arial" w:cs="Arial" w:eastAsia="Arial" w:hAnsi="Arial"/>
          <w:sz w:val="18"/>
          <w:szCs w:val="18"/>
          <w:u w:val="single" w:color="auto"/>
          <w:color w:val="auto"/>
        </w:rPr>
        <w:t>www.wm.com</w:t>
      </w:r>
      <w:r>
        <w:rPr>
          <w:rFonts w:ascii="Arial" w:cs="Arial" w:eastAsia="Arial" w:hAnsi="Arial"/>
          <w:sz w:val="18"/>
          <w:szCs w:val="18"/>
          <w:color w:val="auto"/>
        </w:rPr>
        <w:t xml:space="preserve"> and by telephone from approximately 1 p.m. ET today through 5 p.m. ET on Tuesday, May 11, 2022. To access the replay telephonically, please dial (855) 859-2056, or from outside of the United States or Canada dial (404) 537-3406 and use the replay conference ID number 3365157.</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WASTE MANAGEMENT</w:t>
      </w:r>
    </w:p>
    <w:p>
      <w:pPr>
        <w:spacing w:after="0" w:line="18" w:lineRule="exact"/>
        <w:rPr>
          <w:sz w:val="20"/>
          <w:szCs w:val="20"/>
          <w:color w:val="auto"/>
        </w:rPr>
      </w:pPr>
    </w:p>
    <w:p>
      <w:pPr>
        <w:jc w:val="both"/>
        <w:ind w:right="1139"/>
        <w:spacing w:after="0" w:line="238" w:lineRule="auto"/>
        <w:rPr>
          <w:sz w:val="20"/>
          <w:szCs w:val="20"/>
          <w:color w:val="auto"/>
        </w:rPr>
      </w:pPr>
      <w:r>
        <w:rPr>
          <w:rFonts w:ascii="Arial" w:cs="Arial" w:eastAsia="Arial" w:hAnsi="Arial"/>
          <w:sz w:val="18"/>
          <w:szCs w:val="18"/>
          <w:color w:val="auto"/>
        </w:rPr>
        <w:t xml:space="preserve">WM, based in Houston, Texas, is the leading provider of comprehensive waste management environmental services in North America, providing services throughout the United States and Canada. Through its subsidiaries, the Company provides collection, transfer, disposal services, and recycling and resource recovery. It is also a leading developer, operator and owner of landfill gas-to-energy facilities in the United States. The Company’s customers include residential, commercial, industrial, and municipal customers throughout North America. To learn more information about Waste Management, visit </w:t>
      </w:r>
      <w:r>
        <w:rPr>
          <w:rFonts w:ascii="Arial" w:cs="Arial" w:eastAsia="Arial" w:hAnsi="Arial"/>
          <w:sz w:val="18"/>
          <w:szCs w:val="18"/>
          <w:u w:val="single" w:color="auto"/>
          <w:color w:val="auto"/>
        </w:rPr>
        <w:t>www.wm.com</w:t>
      </w:r>
      <w:r>
        <w:rPr>
          <w:rFonts w:ascii="Arial" w:cs="Arial" w:eastAsia="Arial" w:hAnsi="Arial"/>
          <w:sz w:val="18"/>
          <w:szCs w:val="18"/>
          <w:color w:val="auto"/>
        </w:rPr>
        <w:t>.</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FORWARD-LOOKING STATEMENTS</w:t>
      </w:r>
    </w:p>
    <w:p>
      <w:pPr>
        <w:spacing w:after="0" w:line="21" w:lineRule="exact"/>
        <w:rPr>
          <w:sz w:val="20"/>
          <w:szCs w:val="20"/>
          <w:color w:val="auto"/>
        </w:rPr>
      </w:pPr>
    </w:p>
    <w:p>
      <w:pPr>
        <w:jc w:val="both"/>
        <w:ind w:right="1139"/>
        <w:spacing w:after="0" w:line="247" w:lineRule="auto"/>
        <w:rPr>
          <w:sz w:val="20"/>
          <w:szCs w:val="20"/>
          <w:color w:val="auto"/>
        </w:rPr>
      </w:pPr>
      <w:r>
        <w:rPr>
          <w:rFonts w:ascii="Arial" w:cs="Arial" w:eastAsia="Arial" w:hAnsi="Arial"/>
          <w:sz w:val="16"/>
          <w:szCs w:val="16"/>
          <w:color w:val="auto"/>
        </w:rPr>
        <w:t>The Company, from time to time, provides estimates of financial and other data, comments on expectations relating to future periods and makes statements of opinion, view or belief about current and future events. This press release contains a number of such forward-looking statements, including but not limited to all statements regarding future performance or financial results of our business; achievement of financial guidance; future volumes and economic activity; and future execution of strategic priorities, including pricing, cost reduction, investments and sustainability projects and growth. You should view these statements with caution. They are based on the facts and circumstances known to the Company as of the date the statements are made. These forward-looking statements are subject to risks and uncertainties that could cause actual results to be materially different from those set forth in such forward-looking statements, including but not limited to failure to implement our optimization, growth, and cost savings initiatives and overall business strategy; failure to identify acquisition targets, consummate and integrate acquisitions; failure to obtain the results anticipated from acquisitions, including continuing to realize the strategic benefits and cost synergies from our acquisition of Advanced Disposal Services, Inc.; environmental and other regulations, including developments related to emerging contaminants, gas emissions and renewable fuel; significant environmental, safety or other incidents resulting in liabilities or brand damage; failure to obtain and maintain necessary permits; failure to attract, hire and retain key team members and a high quality workforce; changes in wage and labor related regulations; significant storms and destructive climate events; public health risk and other impacts of COVID-19 or similar pandemic conditions, including related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440690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940" w:right="1440" w:bottom="1440" w:gutter="0" w:footer="0" w:header="0"/>
        </w:sectPr>
      </w:pPr>
    </w:p>
    <w:bookmarkStart w:id="6" w:name="page7"/>
    <w:bookmarkEnd w:id="6"/>
    <w:p>
      <w:pPr>
        <w:jc w:val="both"/>
        <w:ind w:right="1139"/>
        <w:spacing w:after="0" w:line="237" w:lineRule="auto"/>
        <w:rPr>
          <w:sz w:val="20"/>
          <w:szCs w:val="20"/>
          <w:color w:val="auto"/>
        </w:rPr>
      </w:pPr>
      <w:r>
        <w:rPr>
          <w:rFonts w:ascii="Arial" w:cs="Arial" w:eastAsia="Arial" w:hAnsi="Arial"/>
          <w:sz w:val="18"/>
          <w:szCs w:val="18"/>
          <w:color w:val="auto"/>
        </w:rPr>
        <w:t>regulations, resulting in increased costs and social, labor and commercial disruption; macroeconomic pressures and market disruption resulting in labor, supply chain and transportation constraints and inflationary cost pressure; increased competition; pricing actions; commodity price fluctuations; impacts from Russia’s recent invasion of Ukraine and the resulting geopolitical conflict and international response, including increased risk of cyber incidents and exacerbation of market disruption, inflationary cost pressure and changes in commodity prices, fuel and other energy costs; international trade restrictions; disposal alternatives and waste diversion; declining waste volumes; weakness in general economic conditions and capital markets; adoption of new tax legislation; fuel shortages; failure to develop and protect new technology; failure of technology to perform as expected, including implementation of a new enterprise resource planning and human capital management system; failure to prevent, detect and address cybersecurity incidents or comply with privacy regulations; negative outcomes of litigation or governmental proceedings; and decisions or developments that result in impairment charges. Please also see the Company’s filings with the SEC, including Part I, Item 1A of the Company’s most recently filed Annual Report on Form 10-K, for additional information regarding these and other risks and uncertainties applicable to its business. The Company assumes no obligation to update any forward-looking statement, including financial estimates and forecasts, whether as a result of future events, circumstances or developments or otherwise.</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NON-GAAP FINANCIAL MEASURES</w:t>
      </w:r>
    </w:p>
    <w:p>
      <w:pPr>
        <w:spacing w:after="0" w:line="18" w:lineRule="exact"/>
        <w:rPr>
          <w:sz w:val="20"/>
          <w:szCs w:val="20"/>
          <w:color w:val="auto"/>
        </w:rPr>
      </w:pPr>
    </w:p>
    <w:p>
      <w:pPr>
        <w:jc w:val="both"/>
        <w:ind w:right="1139"/>
        <w:spacing w:after="0" w:line="237" w:lineRule="auto"/>
        <w:rPr>
          <w:sz w:val="20"/>
          <w:szCs w:val="20"/>
          <w:color w:val="auto"/>
        </w:rPr>
      </w:pPr>
      <w:r>
        <w:rPr>
          <w:rFonts w:ascii="Arial" w:cs="Arial" w:eastAsia="Arial" w:hAnsi="Arial"/>
          <w:sz w:val="18"/>
          <w:szCs w:val="18"/>
          <w:color w:val="auto"/>
        </w:rPr>
        <w:t>To supplement its financial information, the Company has presented, and/or may discuss on the conference call, adjusted earnings per diluted share, adjusted net income, adjusted income from operations, adjusted SG&amp;A expenses, adjusted operating EBITDA, adjusted operating EBITDA margin, and free cash flow. All of these items are non-GAAP financial measures, as defined in Regulation G of the Securities Exchange Act of 1934, as amended. The Company reports its financial results in compliance with GAAP but believes that also discussing non-GAAP measures provides investors with (i) financial measures the Company uses in the management of its business and (ii) additional, meaningful comparisons of current results to prior periods’ results by excluding items that the Company does not believe reflect its fundamental business performance and are not representative or indicative of its results of operations.</w:t>
      </w:r>
    </w:p>
    <w:p>
      <w:pPr>
        <w:spacing w:after="0" w:line="208" w:lineRule="exact"/>
        <w:rPr>
          <w:sz w:val="20"/>
          <w:szCs w:val="20"/>
          <w:color w:val="auto"/>
        </w:rPr>
      </w:pPr>
    </w:p>
    <w:p>
      <w:pPr>
        <w:jc w:val="both"/>
        <w:ind w:right="1139"/>
        <w:spacing w:after="0" w:line="239" w:lineRule="auto"/>
        <w:rPr>
          <w:sz w:val="20"/>
          <w:szCs w:val="20"/>
          <w:color w:val="auto"/>
        </w:rPr>
      </w:pPr>
      <w:r>
        <w:rPr>
          <w:rFonts w:ascii="Arial" w:cs="Arial" w:eastAsia="Arial" w:hAnsi="Arial"/>
          <w:sz w:val="18"/>
          <w:szCs w:val="18"/>
          <w:color w:val="auto"/>
        </w:rPr>
        <w:t>The Company discusses free cash flow because the Company believes that it is indicative of its ability to pay its quarterly dividends, repurchase common stock, fund acquisitions and other investments and, in the absence of refinancings, to repay its debt obligations. Free cash flow is not intended to replace “Net cash provided by operating activities,” which is the most comparable GAAP measure. The Company believes free cash flow gives investors useful insight into how the Company views its liquidity, but the use of free cash flow as a liquidity measure has material limitations because it excludes certain expenditures that are required or that the Company has committed to, such as declared dividend payments and debt service requirements. The Company defines free cash flow as net cash provided by operating activities, less capital expenditures, plus proceeds from divestitures of businesses and other assets (net of cash divested); this definition may not be comparable to similarly-titled measures reported by other companies.</w:t>
      </w:r>
    </w:p>
    <w:p>
      <w:pPr>
        <w:spacing w:after="0" w:line="207" w:lineRule="exact"/>
        <w:rPr>
          <w:sz w:val="20"/>
          <w:szCs w:val="20"/>
          <w:color w:val="auto"/>
        </w:rPr>
      </w:pPr>
    </w:p>
    <w:p>
      <w:pPr>
        <w:jc w:val="both"/>
        <w:ind w:right="1139"/>
        <w:spacing w:after="0" w:line="253" w:lineRule="auto"/>
        <w:rPr>
          <w:sz w:val="20"/>
          <w:szCs w:val="20"/>
          <w:color w:val="auto"/>
        </w:rPr>
      </w:pPr>
      <w:r>
        <w:rPr>
          <w:rFonts w:ascii="Arial" w:cs="Arial" w:eastAsia="Arial" w:hAnsi="Arial"/>
          <w:sz w:val="18"/>
          <w:szCs w:val="18"/>
          <w:color w:val="auto"/>
        </w:rPr>
        <w:t>The quantitative reconciliations of non-GAAP measures to the most comparable GAAP measures are included in the accompanying schedules. Non-GAAP measures should not be considered a substitute for financial measures presented in accordance with GAAP.</w:t>
      </w:r>
    </w:p>
    <w:p>
      <w:pPr>
        <w:spacing w:after="0" w:line="236"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403225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931" w:right="1440"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5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40" w:type="dxa"/>
            <w:vAlign w:val="bottom"/>
            <w:gridSpan w:val="6"/>
          </w:tcPr>
          <w:p>
            <w:pPr>
              <w:jc w:val="right"/>
              <w:ind w:right="601"/>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238"/>
        </w:trPr>
        <w:tc>
          <w:tcPr>
            <w:tcW w:w="65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4"/>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580" w:type="dxa"/>
            <w:vAlign w:val="bottom"/>
            <w:tcBorders>
              <w:bottom w:val="single" w:sz="8" w:color="CCEEFF"/>
            </w:tcBorders>
          </w:tcPr>
          <w:p>
            <w:pPr>
              <w:spacing w:after="0"/>
              <w:rPr>
                <w:sz w:val="19"/>
                <w:szCs w:val="19"/>
                <w:color w:val="auto"/>
              </w:rPr>
            </w:pPr>
          </w:p>
        </w:tc>
        <w:tc>
          <w:tcPr>
            <w:tcW w:w="17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revenues</w:t>
            </w:r>
          </w:p>
        </w:tc>
        <w:tc>
          <w:tcPr>
            <w:tcW w:w="17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1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w:t>
            </w:r>
          </w:p>
        </w:tc>
        <w:tc>
          <w:tcPr>
            <w:tcW w:w="1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2,903</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2,514</w:t>
            </w:r>
          </w:p>
        </w:tc>
        <w:tc>
          <w:tcPr>
            <w:tcW w:w="0" w:type="dxa"/>
            <w:vAlign w:val="bottom"/>
          </w:tcPr>
          <w:p>
            <w:pPr>
              <w:spacing w:after="0"/>
              <w:rPr>
                <w:sz w:val="1"/>
                <w:szCs w:val="1"/>
                <w:color w:val="auto"/>
              </w:rPr>
            </w:pPr>
          </w:p>
        </w:tc>
      </w:tr>
      <w:tr>
        <w:trPr>
          <w:trHeight w:val="216"/>
        </w:trPr>
        <w:tc>
          <w:tcPr>
            <w:tcW w:w="6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491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458</w:t>
            </w: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482</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472</w:t>
            </w:r>
          </w:p>
        </w:tc>
        <w:tc>
          <w:tcPr>
            <w:tcW w:w="0" w:type="dxa"/>
            <w:vAlign w:val="bottom"/>
          </w:tcPr>
          <w:p>
            <w:pPr>
              <w:spacing w:after="0"/>
              <w:rPr>
                <w:sz w:val="1"/>
                <w:szCs w:val="1"/>
                <w:color w:val="auto"/>
              </w:rPr>
            </w:pPr>
          </w:p>
        </w:tc>
      </w:tr>
      <w:tr>
        <w:trPr>
          <w:trHeight w:val="216"/>
        </w:trPr>
        <w:tc>
          <w:tcPr>
            <w:tcW w:w="6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Restructuring</w:t>
            </w:r>
          </w:p>
        </w:tc>
        <w:tc>
          <w:tcPr>
            <w:tcW w:w="1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6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from divestitures, asset impairments and unusual items, net</w:t>
            </w:r>
          </w:p>
        </w:tc>
        <w:tc>
          <w:tcPr>
            <w:tcW w:w="17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09"/>
        </w:trPr>
        <w:tc>
          <w:tcPr>
            <w:tcW w:w="6580" w:type="dxa"/>
            <w:vAlign w:val="bottom"/>
            <w:tcBorders>
              <w:bottom w:val="single" w:sz="8" w:color="CCEEFF"/>
            </w:tcBorders>
          </w:tcPr>
          <w:p>
            <w:pPr>
              <w:spacing w:after="0"/>
              <w:rPr>
                <w:sz w:val="18"/>
                <w:szCs w:val="18"/>
                <w:color w:val="auto"/>
              </w:rPr>
            </w:pPr>
          </w:p>
        </w:tc>
        <w:tc>
          <w:tcPr>
            <w:tcW w:w="176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3,893</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17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 net</w:t>
            </w:r>
          </w:p>
        </w:tc>
        <w:tc>
          <w:tcPr>
            <w:tcW w:w="1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(85)</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16"/>
        </w:trPr>
        <w:tc>
          <w:tcPr>
            <w:tcW w:w="6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Equity in net losses of unconsolidated entities</w:t>
            </w:r>
          </w:p>
        </w:tc>
        <w:tc>
          <w:tcPr>
            <w:tcW w:w="1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29"/>
        </w:trPr>
        <w:tc>
          <w:tcPr>
            <w:tcW w:w="6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net</w:t>
            </w:r>
          </w:p>
        </w:tc>
        <w:tc>
          <w:tcPr>
            <w:tcW w:w="17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0"/>
        </w:trPr>
        <w:tc>
          <w:tcPr>
            <w:tcW w:w="6580" w:type="dxa"/>
            <w:vAlign w:val="bottom"/>
            <w:tcBorders>
              <w:bottom w:val="single" w:sz="8" w:color="CCEEFF"/>
            </w:tcBorders>
          </w:tcPr>
          <w:p>
            <w:pPr>
              <w:spacing w:after="0"/>
              <w:rPr>
                <w:sz w:val="18"/>
                <w:szCs w:val="18"/>
                <w:color w:val="auto"/>
              </w:rPr>
            </w:pPr>
          </w:p>
        </w:tc>
        <w:tc>
          <w:tcPr>
            <w:tcW w:w="176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00" w:type="dxa"/>
            <w:vAlign w:val="bottom"/>
            <w:tcBorders>
              <w:bottom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9"/>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157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09"/>
        </w:trPr>
        <w:tc>
          <w:tcPr>
            <w:tcW w:w="6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net income</w:t>
            </w:r>
          </w:p>
        </w:tc>
        <w:tc>
          <w:tcPr>
            <w:tcW w:w="17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interests</w:t>
            </w:r>
          </w:p>
        </w:tc>
        <w:tc>
          <w:tcPr>
            <w:tcW w:w="1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5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Waste Management, Inc.</w:t>
            </w:r>
          </w:p>
        </w:tc>
        <w:tc>
          <w:tcPr>
            <w:tcW w:w="176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176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580" w:type="dxa"/>
            <w:vAlign w:val="bottom"/>
            <w:tcBorders>
              <w:bottom w:val="single" w:sz="8" w:color="CCEEFF"/>
            </w:tcBorders>
            <w:vMerge w:val="continue"/>
          </w:tcPr>
          <w:p>
            <w:pPr>
              <w:spacing w:after="0"/>
              <w:rPr>
                <w:sz w:val="20"/>
                <w:szCs w:val="20"/>
                <w:color w:val="auto"/>
              </w:rPr>
            </w:pPr>
          </w:p>
        </w:tc>
        <w:tc>
          <w:tcPr>
            <w:tcW w:w="1760" w:type="dxa"/>
            <w:vAlign w:val="bottom"/>
            <w:tcBorders>
              <w:bottom w:val="single" w:sz="8" w:color="CCEEFF"/>
            </w:tcBorders>
            <w:vMerge w:val="continue"/>
          </w:tcPr>
          <w:p>
            <w:pPr>
              <w:spacing w:after="0"/>
              <w:rPr>
                <w:sz w:val="20"/>
                <w:szCs w:val="20"/>
                <w:color w:val="auto"/>
              </w:rPr>
            </w:pP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1.24</w:t>
            </w:r>
          </w:p>
        </w:tc>
        <w:tc>
          <w:tcPr>
            <w:tcW w:w="20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CCEEFF"/>
            </w:tcBorders>
            <w:vMerge w:val="continue"/>
          </w:tcPr>
          <w:p>
            <w:pPr>
              <w:spacing w:after="0"/>
              <w:rPr>
                <w:sz w:val="20"/>
                <w:szCs w:val="20"/>
                <w:color w:val="auto"/>
              </w:rPr>
            </w:pPr>
          </w:p>
        </w:tc>
        <w:tc>
          <w:tcPr>
            <w:tcW w:w="340" w:type="dxa"/>
            <w:vAlign w:val="bottom"/>
            <w:tcBorders>
              <w:bottom w:val="single" w:sz="8" w:color="auto"/>
            </w:tcBorders>
          </w:tcPr>
          <w:p>
            <w:pPr>
              <w:jc w:val="right"/>
              <w:ind w:right="1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6580" w:type="dxa"/>
            <w:vAlign w:val="bottom"/>
            <w:tcBorders>
              <w:bottom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Diluted earnings per common share</w:t>
            </w:r>
          </w:p>
        </w:tc>
        <w:tc>
          <w:tcPr>
            <w:tcW w:w="176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1.23</w:t>
            </w:r>
          </w:p>
        </w:tc>
        <w:tc>
          <w:tcPr>
            <w:tcW w:w="2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0.99</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 average basic common shares outstanding</w:t>
            </w:r>
          </w:p>
        </w:tc>
        <w:tc>
          <w:tcPr>
            <w:tcW w:w="17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580" w:type="dxa"/>
            <w:vAlign w:val="bottom"/>
            <w:tcBorders>
              <w:bottom w:val="single" w:sz="8" w:color="CCEEFF"/>
            </w:tcBorders>
            <w:vMerge w:val="continue"/>
          </w:tcPr>
          <w:p>
            <w:pPr>
              <w:spacing w:after="0"/>
              <w:rPr>
                <w:sz w:val="20"/>
                <w:szCs w:val="20"/>
                <w:color w:val="auto"/>
              </w:rPr>
            </w:pPr>
          </w:p>
        </w:tc>
        <w:tc>
          <w:tcPr>
            <w:tcW w:w="176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415.7</w:t>
            </w:r>
          </w:p>
        </w:tc>
        <w:tc>
          <w:tcPr>
            <w:tcW w:w="20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422.9</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6580" w:type="dxa"/>
            <w:vAlign w:val="bottom"/>
            <w:tcBorders>
              <w:bottom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Weighted average diluted common shares outstanding</w:t>
            </w:r>
          </w:p>
        </w:tc>
        <w:tc>
          <w:tcPr>
            <w:tcW w:w="176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417.8</w:t>
            </w:r>
          </w:p>
        </w:tc>
        <w:tc>
          <w:tcPr>
            <w:tcW w:w="2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424.3</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58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20" w:right="339" w:bottom="1440" w:gutter="0" w:footer="0" w:header="0"/>
        </w:sectPr>
      </w:pPr>
    </w:p>
    <w:bookmarkStart w:id="8" w:name="page9"/>
    <w:bookmarkEnd w:id="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Current assets:</w:t>
      </w:r>
    </w:p>
    <w:p>
      <w:pPr>
        <w:spacing w:after="0" w:line="27" w:lineRule="exact"/>
        <w:rPr>
          <w:sz w:val="20"/>
          <w:szCs w:val="20"/>
          <w:color w:val="auto"/>
        </w:rPr>
      </w:pPr>
    </w:p>
    <w:p>
      <w:pPr>
        <w:ind w:left="180" w:right="120"/>
        <w:spacing w:after="0" w:line="253" w:lineRule="auto"/>
        <w:rPr>
          <w:sz w:val="20"/>
          <w:szCs w:val="20"/>
          <w:color w:val="auto"/>
        </w:rPr>
      </w:pPr>
      <w:r>
        <w:rPr>
          <w:rFonts w:ascii="Times New Roman" w:cs="Times New Roman" w:eastAsia="Times New Roman" w:hAnsi="Times New Roman"/>
          <w:sz w:val="18"/>
          <w:szCs w:val="18"/>
          <w:color w:val="auto"/>
        </w:rPr>
        <w:t>Cash and cash equivalents Receivables, net Other</w:t>
      </w:r>
    </w:p>
    <w:p>
      <w:pPr>
        <w:spacing w:after="0" w:line="2" w:lineRule="exact"/>
        <w:rPr>
          <w:sz w:val="20"/>
          <w:szCs w:val="20"/>
          <w:color w:val="auto"/>
        </w:rPr>
      </w:pPr>
    </w:p>
    <w:p>
      <w:pPr>
        <w:ind w:right="140" w:firstLine="324"/>
        <w:spacing w:after="0" w:line="257" w:lineRule="auto"/>
        <w:rPr>
          <w:sz w:val="20"/>
          <w:szCs w:val="20"/>
          <w:color w:val="auto"/>
        </w:rPr>
      </w:pPr>
      <w:r>
        <w:rPr>
          <w:rFonts w:ascii="Times New Roman" w:cs="Times New Roman" w:eastAsia="Times New Roman" w:hAnsi="Times New Roman"/>
          <w:sz w:val="18"/>
          <w:szCs w:val="18"/>
          <w:color w:val="auto"/>
        </w:rPr>
        <w:t>Total current assets Property and equipment, net Goodwill</w:t>
      </w:r>
    </w:p>
    <w:p>
      <w:pPr>
        <w:spacing w:after="0" w:line="1" w:lineRule="exact"/>
        <w:rPr>
          <w:sz w:val="20"/>
          <w:szCs w:val="20"/>
          <w:color w:val="auto"/>
        </w:rPr>
      </w:pPr>
    </w:p>
    <w:p>
      <w:pPr>
        <w:ind w:right="220"/>
        <w:spacing w:after="0" w:line="250" w:lineRule="auto"/>
        <w:rPr>
          <w:sz w:val="20"/>
          <w:szCs w:val="20"/>
          <w:color w:val="auto"/>
        </w:rPr>
      </w:pPr>
      <w:r>
        <w:rPr>
          <w:rFonts w:ascii="Times New Roman" w:cs="Times New Roman" w:eastAsia="Times New Roman" w:hAnsi="Times New Roman"/>
          <w:sz w:val="18"/>
          <w:szCs w:val="18"/>
          <w:color w:val="auto"/>
        </w:rPr>
        <w:t>Other intangible assets, net Other</w:t>
      </w:r>
    </w:p>
    <w:p>
      <w:pPr>
        <w:spacing w:after="0" w:line="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Total assets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580" w:type="dxa"/>
        <w:tblCellMar>
          <w:top w:w="0" w:type="dxa"/>
          <w:left w:w="0" w:type="dxa"/>
          <w:bottom w:w="0" w:type="dxa"/>
          <w:right w:w="0" w:type="dxa"/>
        </w:tblCellMar>
      </w:tblPr>
      <w:tr>
        <w:trPr>
          <w:trHeight w:val="238"/>
        </w:trPr>
        <w:tc>
          <w:tcPr>
            <w:tcW w:w="5020" w:type="dxa"/>
            <w:vAlign w:val="bottom"/>
            <w:gridSpan w:val="2"/>
          </w:tcPr>
          <w:p>
            <w:pPr>
              <w:jc w:val="center"/>
              <w:ind w:right="656"/>
              <w:spacing w:after="0"/>
              <w:rPr>
                <w:sz w:val="20"/>
                <w:szCs w:val="20"/>
                <w:color w:val="auto"/>
              </w:rPr>
            </w:pPr>
            <w:r>
              <w:rPr>
                <w:rFonts w:ascii="Times New Roman" w:cs="Times New Roman" w:eastAsia="Times New Roman" w:hAnsi="Times New Roman"/>
                <w:sz w:val="18"/>
                <w:szCs w:val="18"/>
                <w:b w:val="1"/>
                <w:bCs w:val="1"/>
                <w:color w:val="auto"/>
                <w:w w:val="98"/>
              </w:rPr>
              <w:t>WASTE MANAGEMENT, INC.</w:t>
            </w: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5020" w:type="dxa"/>
            <w:vAlign w:val="bottom"/>
            <w:gridSpan w:val="2"/>
          </w:tcPr>
          <w:p>
            <w:pPr>
              <w:jc w:val="center"/>
              <w:ind w:right="656"/>
              <w:spacing w:after="0"/>
              <w:rPr>
                <w:sz w:val="20"/>
                <w:szCs w:val="20"/>
                <w:color w:val="auto"/>
              </w:rPr>
            </w:pPr>
            <w:r>
              <w:rPr>
                <w:rFonts w:ascii="Times New Roman" w:cs="Times New Roman" w:eastAsia="Times New Roman" w:hAnsi="Times New Roman"/>
                <w:sz w:val="18"/>
                <w:szCs w:val="18"/>
                <w:b w:val="1"/>
                <w:bCs w:val="1"/>
                <w:color w:val="auto"/>
                <w:w w:val="99"/>
              </w:rPr>
              <w:t>CONDENSED CONSOLIDATED BALANCE SHEETS</w:t>
            </w: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020" w:type="dxa"/>
            <w:vAlign w:val="bottom"/>
            <w:gridSpan w:val="2"/>
          </w:tcPr>
          <w:p>
            <w:pPr>
              <w:jc w:val="center"/>
              <w:ind w:right="656"/>
              <w:spacing w:after="0"/>
              <w:rPr>
                <w:sz w:val="20"/>
                <w:szCs w:val="20"/>
                <w:color w:val="auto"/>
              </w:rPr>
            </w:pPr>
            <w:r>
              <w:rPr>
                <w:rFonts w:ascii="Times New Roman" w:cs="Times New Roman" w:eastAsia="Times New Roman" w:hAnsi="Times New Roman"/>
                <w:sz w:val="18"/>
                <w:szCs w:val="18"/>
                <w:b w:val="1"/>
                <w:bCs w:val="1"/>
                <w:color w:val="auto"/>
                <w:w w:val="99"/>
              </w:rPr>
              <w:t>(In Millions)</w:t>
            </w: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020" w:type="dxa"/>
            <w:vAlign w:val="bottom"/>
            <w:gridSpan w:val="2"/>
          </w:tcPr>
          <w:p>
            <w:pPr>
              <w:jc w:val="center"/>
              <w:ind w:right="656"/>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3"/>
        </w:trPr>
        <w:tc>
          <w:tcPr>
            <w:tcW w:w="4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4860" w:type="dxa"/>
            <w:vAlign w:val="bottom"/>
            <w:vMerge w:val="restart"/>
          </w:tcPr>
          <w:p>
            <w:pPr>
              <w:ind w:left="2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8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4"/>
        </w:trPr>
        <w:tc>
          <w:tcPr>
            <w:tcW w:w="5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155</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29"/>
        </w:trPr>
        <w:tc>
          <w:tcPr>
            <w:tcW w:w="4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2,479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425</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405</w:t>
            </w:r>
          </w:p>
        </w:tc>
        <w:tc>
          <w:tcPr>
            <w:tcW w:w="0" w:type="dxa"/>
            <w:vAlign w:val="bottom"/>
          </w:tcPr>
          <w:p>
            <w:pPr>
              <w:spacing w:after="0"/>
              <w:rPr>
                <w:sz w:val="1"/>
                <w:szCs w:val="1"/>
                <w:color w:val="auto"/>
              </w:rPr>
            </w:pPr>
          </w:p>
        </w:tc>
      </w:tr>
      <w:tr>
        <w:trPr>
          <w:trHeight w:val="191"/>
        </w:trPr>
        <w:tc>
          <w:tcPr>
            <w:tcW w:w="48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3,059</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3,069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14,298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14,419</w:t>
            </w:r>
          </w:p>
        </w:tc>
        <w:tc>
          <w:tcPr>
            <w:tcW w:w="0" w:type="dxa"/>
            <w:vAlign w:val="bottom"/>
          </w:tcPr>
          <w:p>
            <w:pPr>
              <w:spacing w:after="0"/>
              <w:rPr>
                <w:sz w:val="1"/>
                <w:szCs w:val="1"/>
                <w:color w:val="auto"/>
              </w:rPr>
            </w:pPr>
          </w:p>
        </w:tc>
      </w:tr>
      <w:tr>
        <w:trPr>
          <w:trHeight w:val="216"/>
        </w:trPr>
        <w:tc>
          <w:tcPr>
            <w:tcW w:w="4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9,034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868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898</w:t>
            </w:r>
          </w:p>
        </w:tc>
        <w:tc>
          <w:tcPr>
            <w:tcW w:w="0" w:type="dxa"/>
            <w:vAlign w:val="bottom"/>
          </w:tcPr>
          <w:p>
            <w:pPr>
              <w:spacing w:after="0"/>
              <w:rPr>
                <w:sz w:val="1"/>
                <w:szCs w:val="1"/>
                <w:color w:val="auto"/>
              </w:rPr>
            </w:pPr>
          </w:p>
        </w:tc>
      </w:tr>
      <w:tr>
        <w:trPr>
          <w:trHeight w:val="234"/>
        </w:trPr>
        <w:tc>
          <w:tcPr>
            <w:tcW w:w="4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1,960</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86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29,219</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29,097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-1835785</wp:posOffset>
            </wp:positionH>
            <wp:positionV relativeFrom="paragraph">
              <wp:posOffset>-1562735</wp:posOffset>
            </wp:positionV>
            <wp:extent cx="7132320" cy="146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-1835785</wp:posOffset>
            </wp:positionH>
            <wp:positionV relativeFrom="paragraph">
              <wp:posOffset>-1279525</wp:posOffset>
            </wp:positionV>
            <wp:extent cx="71323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-1835785</wp:posOffset>
            </wp:positionH>
            <wp:positionV relativeFrom="paragraph">
              <wp:posOffset>-1005205</wp:posOffset>
            </wp:positionV>
            <wp:extent cx="7132320" cy="146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-1835785</wp:posOffset>
            </wp:positionH>
            <wp:positionV relativeFrom="paragraph">
              <wp:posOffset>-713740</wp:posOffset>
            </wp:positionV>
            <wp:extent cx="71323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-1835785</wp:posOffset>
            </wp:positionH>
            <wp:positionV relativeFrom="paragraph">
              <wp:posOffset>-439420</wp:posOffset>
            </wp:positionV>
            <wp:extent cx="71323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-1835785</wp:posOffset>
            </wp:positionH>
            <wp:positionV relativeFrom="paragraph">
              <wp:posOffset>-156845</wp:posOffset>
            </wp:positionV>
            <wp:extent cx="7132320" cy="1631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LIABILITIES AND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3452495</wp:posOffset>
            </wp:positionH>
            <wp:positionV relativeFrom="paragraph">
              <wp:posOffset>-125095</wp:posOffset>
            </wp:positionV>
            <wp:extent cx="177419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774190" cy="8255"/>
                    </a:xfrm>
                    <a:prstGeom prst="rect">
                      <a:avLst/>
                    </a:prstGeom>
                    <a:noFill/>
                  </pic:spPr>
                </pic:pic>
              </a:graphicData>
            </a:graphic>
          </wp:anchor>
        </w:drawing>
      </w:r>
    </w:p>
    <w:p>
      <w:pPr>
        <w:spacing w:after="0" w:line="40" w:lineRule="exact"/>
        <w:rPr>
          <w:sz w:val="20"/>
          <w:szCs w:val="20"/>
          <w:color w:val="auto"/>
        </w:rPr>
      </w:pPr>
    </w:p>
    <w:p>
      <w:pPr>
        <w:sectPr>
          <w:pgSz w:w="11900" w:h="16838" w:orient="portrait"/>
          <w:cols w:equalWidth="0" w:num="2">
            <w:col w:w="2180" w:space="720"/>
            <w:col w:w="8340"/>
          </w:cols>
          <w:pgMar w:left="320" w:top="333" w:right="339" w:bottom="1440" w:gutter="0" w:footer="0" w:header="0"/>
        </w:sectPr>
      </w:pPr>
    </w:p>
    <w:tbl>
      <w:tblPr>
        <w:tblLayout w:type="fixed"/>
        <w:tblInd w:w="0" w:type="dxa"/>
        <w:tblCellMar>
          <w:top w:w="0" w:type="dxa"/>
          <w:left w:w="0" w:type="dxa"/>
          <w:bottom w:w="0" w:type="dxa"/>
          <w:right w:w="0" w:type="dxa"/>
        </w:tblCellMar>
      </w:tblPr>
      <w:tr>
        <w:trPr>
          <w:trHeight w:val="207"/>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9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6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 accrued liabilities and deferred revenues</w:t>
            </w:r>
          </w:p>
        </w:tc>
        <w:tc>
          <w:tcPr>
            <w:tcW w:w="2360" w:type="dxa"/>
            <w:vAlign w:val="bottom"/>
            <w:gridSpan w:val="2"/>
          </w:tcPr>
          <w:p>
            <w:pPr>
              <w:jc w:val="right"/>
              <w:ind w:right="25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3,371</w:t>
            </w:r>
          </w:p>
        </w:tc>
        <w:tc>
          <w:tcPr>
            <w:tcW w:w="420" w:type="dxa"/>
            <w:vAlign w:val="bottom"/>
            <w:gridSpan w:val="2"/>
          </w:tcPr>
          <w:p>
            <w:pPr>
              <w:jc w:val="right"/>
              <w:ind w:right="236"/>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3,374</w:t>
            </w:r>
          </w:p>
        </w:tc>
        <w:tc>
          <w:tcPr>
            <w:tcW w:w="80" w:type="dxa"/>
            <w:vAlign w:val="bottom"/>
          </w:tcPr>
          <w:p>
            <w:pPr>
              <w:spacing w:after="0"/>
              <w:rPr>
                <w:sz w:val="18"/>
                <w:szCs w:val="18"/>
                <w:color w:val="auto"/>
              </w:rPr>
            </w:pPr>
          </w:p>
        </w:tc>
      </w:tr>
      <w:tr>
        <w:trPr>
          <w:trHeight w:val="229"/>
        </w:trPr>
        <w:tc>
          <w:tcPr>
            <w:tcW w:w="6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9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435</w:t>
            </w: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708</w:t>
            </w:r>
          </w:p>
        </w:tc>
        <w:tc>
          <w:tcPr>
            <w:tcW w:w="80" w:type="dxa"/>
            <w:vAlign w:val="bottom"/>
            <w:shd w:val="clear" w:color="auto" w:fill="CCEEFF"/>
          </w:tcPr>
          <w:p>
            <w:pPr>
              <w:spacing w:after="0"/>
              <w:rPr>
                <w:sz w:val="19"/>
                <w:szCs w:val="19"/>
                <w:color w:val="auto"/>
              </w:rPr>
            </w:pPr>
          </w:p>
        </w:tc>
      </w:tr>
      <w:tr>
        <w:trPr>
          <w:trHeight w:val="209"/>
        </w:trPr>
        <w:tc>
          <w:tcPr>
            <w:tcW w:w="6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94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3,806</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less current portion</w:t>
            </w:r>
          </w:p>
        </w:tc>
        <w:tc>
          <w:tcPr>
            <w:tcW w:w="19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13,052</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12,697</w:t>
            </w:r>
          </w:p>
        </w:tc>
        <w:tc>
          <w:tcPr>
            <w:tcW w:w="80" w:type="dxa"/>
            <w:vAlign w:val="bottom"/>
            <w:shd w:val="clear" w:color="auto" w:fill="CCEEFF"/>
          </w:tcPr>
          <w:p>
            <w:pPr>
              <w:spacing w:after="0"/>
              <w:rPr>
                <w:sz w:val="18"/>
                <w:szCs w:val="18"/>
                <w:color w:val="auto"/>
              </w:rPr>
            </w:pPr>
          </w:p>
        </w:tc>
      </w:tr>
      <w:tr>
        <w:trPr>
          <w:trHeight w:val="229"/>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9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5,215</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5,192</w:t>
            </w:r>
          </w:p>
        </w:tc>
        <w:tc>
          <w:tcPr>
            <w:tcW w:w="80" w:type="dxa"/>
            <w:vAlign w:val="bottom"/>
          </w:tcPr>
          <w:p>
            <w:pPr>
              <w:spacing w:after="0"/>
              <w:rPr>
                <w:sz w:val="19"/>
                <w:szCs w:val="19"/>
                <w:color w:val="auto"/>
              </w:rPr>
            </w:pPr>
          </w:p>
        </w:tc>
      </w:tr>
      <w:tr>
        <w:trPr>
          <w:trHeight w:val="209"/>
        </w:trPr>
        <w:tc>
          <w:tcPr>
            <w:tcW w:w="6400" w:type="dxa"/>
            <w:vAlign w:val="bottom"/>
            <w:tcBorders>
              <w:top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liabilities</w:t>
            </w:r>
          </w:p>
        </w:tc>
        <w:tc>
          <w:tcPr>
            <w:tcW w:w="19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22,073</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21,971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0"/>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Equity:</w:t>
            </w:r>
          </w:p>
        </w:tc>
        <w:tc>
          <w:tcPr>
            <w:tcW w:w="1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Waste Management, Inc. stockholders’ equity</w:t>
            </w:r>
          </w:p>
        </w:tc>
        <w:tc>
          <w:tcPr>
            <w:tcW w:w="19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7,144</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7,124</w:t>
            </w:r>
          </w:p>
        </w:tc>
        <w:tc>
          <w:tcPr>
            <w:tcW w:w="80" w:type="dxa"/>
            <w:vAlign w:val="bottom"/>
            <w:shd w:val="clear" w:color="auto" w:fill="CCEEFF"/>
          </w:tcPr>
          <w:p>
            <w:pPr>
              <w:spacing w:after="0"/>
              <w:rPr>
                <w:sz w:val="18"/>
                <w:szCs w:val="18"/>
                <w:color w:val="auto"/>
              </w:rPr>
            </w:pPr>
          </w:p>
        </w:tc>
      </w:tr>
      <w:tr>
        <w:trPr>
          <w:trHeight w:val="230"/>
        </w:trPr>
        <w:tc>
          <w:tcPr>
            <w:tcW w:w="6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9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9"/>
                <w:szCs w:val="19"/>
                <w:color w:val="auto"/>
              </w:rPr>
            </w:pPr>
          </w:p>
        </w:tc>
      </w:tr>
      <w:tr>
        <w:trPr>
          <w:trHeight w:val="209"/>
        </w:trPr>
        <w:tc>
          <w:tcPr>
            <w:tcW w:w="640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equity</w:t>
            </w:r>
          </w:p>
        </w:tc>
        <w:tc>
          <w:tcPr>
            <w:tcW w:w="19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7,146</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23"/>
        </w:trPr>
        <w:tc>
          <w:tcPr>
            <w:tcW w:w="6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1940" w:type="dxa"/>
            <w:vAlign w:val="bottom"/>
          </w:tcPr>
          <w:p>
            <w:pPr>
              <w:spacing w:after="0"/>
              <w:rPr>
                <w:sz w:val="19"/>
                <w:szCs w:val="19"/>
                <w:color w:val="auto"/>
              </w:rPr>
            </w:pPr>
          </w:p>
        </w:tc>
        <w:tc>
          <w:tcPr>
            <w:tcW w:w="42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29,219</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29,097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4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2"/>
        </w:trPr>
        <w:tc>
          <w:tcPr>
            <w:tcW w:w="640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type w:val="continuous"/>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7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40" w:type="dxa"/>
            <w:vAlign w:val="bottom"/>
            <w:gridSpan w:val="7"/>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38"/>
        </w:trPr>
        <w:tc>
          <w:tcPr>
            <w:tcW w:w="77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4"/>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9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7720" w:type="dxa"/>
            <w:vAlign w:val="bottom"/>
            <w:tcBorders>
              <w:bottom w:val="single" w:sz="8" w:color="CCEEFF"/>
            </w:tcBorders>
          </w:tcPr>
          <w:p>
            <w:pPr>
              <w:spacing w:after="0"/>
              <w:rPr>
                <w:sz w:val="19"/>
                <w:szCs w:val="19"/>
                <w:color w:val="auto"/>
              </w:rPr>
            </w:pPr>
          </w:p>
        </w:tc>
        <w:tc>
          <w:tcPr>
            <w:tcW w:w="6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09"/>
        </w:trPr>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net income</w:t>
            </w:r>
          </w:p>
        </w:tc>
        <w:tc>
          <w:tcPr>
            <w:tcW w:w="88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514</w:t>
            </w:r>
          </w:p>
        </w:tc>
        <w:tc>
          <w:tcPr>
            <w:tcW w:w="34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80" w:type="dxa"/>
            <w:vAlign w:val="bottom"/>
          </w:tcPr>
          <w:p>
            <w:pPr>
              <w:spacing w:after="0"/>
              <w:rPr>
                <w:sz w:val="18"/>
                <w:szCs w:val="18"/>
                <w:color w:val="auto"/>
              </w:rPr>
            </w:pPr>
          </w:p>
        </w:tc>
      </w:tr>
      <w:tr>
        <w:trPr>
          <w:trHeight w:val="216"/>
        </w:trPr>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consolidated net income to net cash provided by operating activities:</w:t>
            </w: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482</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80" w:type="dxa"/>
            <w:vAlign w:val="bottom"/>
          </w:tcPr>
          <w:p>
            <w:pPr>
              <w:spacing w:after="0"/>
              <w:rPr>
                <w:sz w:val="18"/>
                <w:szCs w:val="18"/>
                <w:color w:val="auto"/>
              </w:rPr>
            </w:pPr>
          </w:p>
        </w:tc>
      </w:tr>
      <w:tr>
        <w:trPr>
          <w:trHeight w:val="216"/>
        </w:trPr>
        <w:tc>
          <w:tcPr>
            <w:tcW w:w="7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80</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80" w:type="dxa"/>
            <w:vAlign w:val="bottom"/>
            <w:shd w:val="clear" w:color="auto" w:fill="CCEEFF"/>
          </w:tcPr>
          <w:p>
            <w:pPr>
              <w:spacing w:after="0"/>
              <w:rPr>
                <w:sz w:val="18"/>
                <w:szCs w:val="18"/>
                <w:color w:val="auto"/>
              </w:rPr>
            </w:pPr>
          </w:p>
        </w:tc>
      </w:tr>
      <w:tr>
        <w:trPr>
          <w:trHeight w:val="229"/>
        </w:trPr>
        <w:tc>
          <w:tcPr>
            <w:tcW w:w="7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operating assets and liabilities, net of effects of acquisitions and divestitures</w:t>
            </w: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182</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80" w:type="dxa"/>
            <w:vAlign w:val="bottom"/>
          </w:tcPr>
          <w:p>
            <w:pPr>
              <w:spacing w:after="0"/>
              <w:rPr>
                <w:sz w:val="19"/>
                <w:szCs w:val="19"/>
                <w:color w:val="auto"/>
              </w:rPr>
            </w:pPr>
          </w:p>
        </w:tc>
      </w:tr>
      <w:tr>
        <w:trPr>
          <w:trHeight w:val="210"/>
        </w:trPr>
        <w:tc>
          <w:tcPr>
            <w:tcW w:w="7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6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1,258</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09"/>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Acquisitions of businesses, net of cash acquired</w:t>
            </w: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7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 expenditures</w:t>
            </w: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(418)</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(270)</w:t>
            </w:r>
          </w:p>
        </w:tc>
      </w:tr>
      <w:tr>
        <w:trPr>
          <w:trHeight w:val="216"/>
        </w:trPr>
        <w:tc>
          <w:tcPr>
            <w:tcW w:w="7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divestitures of businesses and other assets, net of cash divested</w:t>
            </w: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shd w:val="clear" w:color="auto" w:fill="CCEEFF"/>
          </w:tcPr>
          <w:p>
            <w:pPr>
              <w:spacing w:after="0"/>
              <w:rPr>
                <w:sz w:val="18"/>
                <w:szCs w:val="18"/>
                <w:color w:val="auto"/>
              </w:rPr>
            </w:pPr>
          </w:p>
        </w:tc>
      </w:tr>
      <w:tr>
        <w:trPr>
          <w:trHeight w:val="229"/>
        </w:trPr>
        <w:tc>
          <w:tcPr>
            <w:tcW w:w="7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net</w:t>
            </w: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(150)</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(72)</w:t>
            </w:r>
          </w:p>
        </w:tc>
      </w:tr>
      <w:tr>
        <w:trPr>
          <w:trHeight w:val="210"/>
        </w:trPr>
        <w:tc>
          <w:tcPr>
            <w:tcW w:w="7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6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320" w:type="dxa"/>
            <w:vAlign w:val="bottom"/>
            <w:tcBorders>
              <w:top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00" w:type="dxa"/>
            <w:vAlign w:val="bottom"/>
            <w:tcBorders>
              <w:top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09"/>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New borrowings</w:t>
            </w: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2,362</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Debt repayments</w:t>
            </w: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(2,471)</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(329)</w:t>
            </w:r>
          </w:p>
        </w:tc>
      </w:tr>
      <w:tr>
        <w:trPr>
          <w:trHeight w:val="216"/>
        </w:trPr>
        <w:tc>
          <w:tcPr>
            <w:tcW w:w="7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stock repurchase program</w:t>
            </w: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(250)</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(250)</w:t>
            </w:r>
          </w:p>
        </w:tc>
      </w:tr>
      <w:tr>
        <w:trPr>
          <w:trHeight w:val="216"/>
        </w:trPr>
        <w:tc>
          <w:tcPr>
            <w:tcW w:w="7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dividends</w:t>
            </w: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(275)</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(247)</w:t>
            </w:r>
          </w:p>
        </w:tc>
      </w:tr>
      <w:tr>
        <w:trPr>
          <w:trHeight w:val="216"/>
        </w:trPr>
        <w:tc>
          <w:tcPr>
            <w:tcW w:w="7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 of common stock options</w:t>
            </w: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shd w:val="clear" w:color="auto" w:fill="CCEEFF"/>
          </w:tcPr>
          <w:p>
            <w:pPr>
              <w:spacing w:after="0"/>
              <w:rPr>
                <w:sz w:val="18"/>
                <w:szCs w:val="18"/>
                <w:color w:val="auto"/>
              </w:rPr>
            </w:pPr>
          </w:p>
        </w:tc>
      </w:tr>
      <w:tr>
        <w:trPr>
          <w:trHeight w:val="216"/>
        </w:trPr>
        <w:tc>
          <w:tcPr>
            <w:tcW w:w="7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 payments associated with equity-based compensation transactions</w:t>
            </w: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(34)</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(28)</w:t>
            </w:r>
          </w:p>
        </w:tc>
      </w:tr>
      <w:tr>
        <w:trPr>
          <w:trHeight w:val="230"/>
        </w:trPr>
        <w:tc>
          <w:tcPr>
            <w:tcW w:w="7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net</w:t>
            </w:r>
          </w:p>
        </w:tc>
        <w:tc>
          <w:tcPr>
            <w:tcW w:w="6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shd w:val="clear" w:color="auto" w:fill="CCEEFF"/>
          </w:tcPr>
          <w:p>
            <w:pPr>
              <w:spacing w:after="0"/>
              <w:rPr>
                <w:sz w:val="19"/>
                <w:szCs w:val="19"/>
                <w:color w:val="auto"/>
              </w:rPr>
            </w:pPr>
          </w:p>
        </w:tc>
      </w:tr>
      <w:tr>
        <w:trPr>
          <w:trHeight w:val="209"/>
        </w:trPr>
        <w:tc>
          <w:tcPr>
            <w:tcW w:w="77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6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320" w:type="dxa"/>
            <w:vAlign w:val="bottom"/>
            <w:tcBorders>
              <w:bottom w:val="single" w:sz="8" w:color="CCEEFF"/>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(830</w:t>
            </w:r>
          </w:p>
        </w:tc>
        <w:tc>
          <w:tcPr>
            <w:tcW w:w="10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 and cash equivalents</w:t>
            </w:r>
          </w:p>
        </w:tc>
        <w:tc>
          <w:tcPr>
            <w:tcW w:w="6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0"/>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Increase (decrease) in cash, cash equivalents and restricted cash and cash equivalents</w:t>
            </w: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gridSpan w:val="2"/>
          </w:tcPr>
          <w:p>
            <w:pPr>
              <w:spacing w:after="0"/>
              <w:rPr>
                <w:sz w:val="18"/>
                <w:szCs w:val="18"/>
                <w:color w:val="auto"/>
              </w:rPr>
            </w:pPr>
          </w:p>
        </w:tc>
      </w:tr>
      <w:tr>
        <w:trPr>
          <w:trHeight w:val="230"/>
        </w:trPr>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and cash equivalents at beginning of period</w:t>
            </w:r>
          </w:p>
        </w:tc>
        <w:tc>
          <w:tcPr>
            <w:tcW w:w="6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194</w:t>
            </w: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80" w:type="dxa"/>
            <w:vAlign w:val="bottom"/>
            <w:shd w:val="clear" w:color="auto" w:fill="CCEEFF"/>
          </w:tcPr>
          <w:p>
            <w:pPr>
              <w:spacing w:after="0"/>
              <w:rPr>
                <w:sz w:val="19"/>
                <w:szCs w:val="19"/>
                <w:color w:val="auto"/>
              </w:rPr>
            </w:pPr>
          </w:p>
        </w:tc>
      </w:tr>
      <w:tr>
        <w:trPr>
          <w:trHeight w:val="223"/>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and cash equivalents at end of period</w:t>
            </w:r>
          </w:p>
        </w:tc>
        <w:tc>
          <w:tcPr>
            <w:tcW w:w="6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3"/>
        </w:trPr>
        <w:tc>
          <w:tcPr>
            <w:tcW w:w="77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40" w:type="dxa"/>
            <w:vAlign w:val="bottom"/>
          </w:tcPr>
          <w:p>
            <w:pPr>
              <w:spacing w:after="0"/>
              <w:rPr>
                <w:sz w:val="20"/>
                <w:szCs w:val="20"/>
                <w:color w:val="auto"/>
              </w:rPr>
            </w:pPr>
          </w:p>
        </w:tc>
        <w:tc>
          <w:tcPr>
            <w:tcW w:w="3280" w:type="dxa"/>
            <w:vAlign w:val="bottom"/>
            <w:gridSpan w:val="4"/>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w w:val="98"/>
              </w:rPr>
              <w:t>WASTE MANAGEMENT, INC.</w:t>
            </w: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3740" w:type="dxa"/>
            <w:vAlign w:val="bottom"/>
          </w:tcPr>
          <w:p>
            <w:pPr>
              <w:spacing w:after="0"/>
              <w:rPr>
                <w:sz w:val="24"/>
                <w:szCs w:val="24"/>
                <w:color w:val="auto"/>
              </w:rPr>
            </w:pPr>
          </w:p>
        </w:tc>
        <w:tc>
          <w:tcPr>
            <w:tcW w:w="3280" w:type="dxa"/>
            <w:vAlign w:val="bottom"/>
            <w:gridSpan w:val="4"/>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w w:val="98"/>
              </w:rPr>
              <w:t>SUMMARY DATA SHEET</w:t>
            </w: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740" w:type="dxa"/>
            <w:vAlign w:val="bottom"/>
          </w:tcPr>
          <w:p>
            <w:pPr>
              <w:spacing w:after="0"/>
              <w:rPr>
                <w:sz w:val="18"/>
                <w:szCs w:val="18"/>
                <w:color w:val="auto"/>
              </w:rPr>
            </w:pPr>
          </w:p>
        </w:tc>
        <w:tc>
          <w:tcPr>
            <w:tcW w:w="2780" w:type="dxa"/>
            <w:vAlign w:val="bottom"/>
            <w:gridSpan w:val="2"/>
          </w:tcPr>
          <w:p>
            <w:pPr>
              <w:jc w:val="center"/>
              <w:ind w:left="890"/>
              <w:spacing w:after="0"/>
              <w:rPr>
                <w:sz w:val="20"/>
                <w:szCs w:val="20"/>
                <w:color w:val="auto"/>
              </w:rPr>
            </w:pPr>
            <w:r>
              <w:rPr>
                <w:rFonts w:ascii="Times New Roman" w:cs="Times New Roman" w:eastAsia="Times New Roman" w:hAnsi="Times New Roman"/>
                <w:sz w:val="18"/>
                <w:szCs w:val="18"/>
                <w:b w:val="1"/>
                <w:bCs w:val="1"/>
                <w:color w:val="auto"/>
                <w:w w:val="99"/>
              </w:rPr>
              <w:t>(In Millions)</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740" w:type="dxa"/>
            <w:vAlign w:val="bottom"/>
          </w:tcPr>
          <w:p>
            <w:pPr>
              <w:spacing w:after="0"/>
              <w:rPr>
                <w:sz w:val="20"/>
                <w:szCs w:val="20"/>
                <w:color w:val="auto"/>
              </w:rPr>
            </w:pPr>
          </w:p>
        </w:tc>
        <w:tc>
          <w:tcPr>
            <w:tcW w:w="2780" w:type="dxa"/>
            <w:vAlign w:val="bottom"/>
            <w:gridSpan w:val="2"/>
          </w:tcPr>
          <w:p>
            <w:pPr>
              <w:jc w:val="center"/>
              <w:ind w:left="89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Revenues by Line of Business</w:t>
            </w:r>
          </w:p>
        </w:tc>
        <w:tc>
          <w:tcPr>
            <w:tcW w:w="1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37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20" w:type="dxa"/>
            <w:vAlign w:val="bottom"/>
            <w:gridSpan w:val="10"/>
          </w:tcPr>
          <w:p>
            <w:pPr>
              <w:ind w:left="3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238"/>
        </w:trPr>
        <w:tc>
          <w:tcPr>
            <w:tcW w:w="37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20" w:type="dxa"/>
            <w:vAlign w:val="bottom"/>
            <w:gridSpan w:val="10"/>
          </w:tcPr>
          <w:p>
            <w:pPr>
              <w:ind w:left="72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0" w:type="dxa"/>
            <w:vAlign w:val="bottom"/>
          </w:tcPr>
          <w:p>
            <w:pPr>
              <w:spacing w:after="0"/>
              <w:rPr>
                <w:sz w:val="1"/>
                <w:szCs w:val="1"/>
                <w:color w:val="auto"/>
              </w:rPr>
            </w:pPr>
          </w:p>
        </w:tc>
      </w:tr>
      <w:tr>
        <w:trPr>
          <w:trHeight w:val="223"/>
        </w:trPr>
        <w:tc>
          <w:tcPr>
            <w:tcW w:w="3740" w:type="dxa"/>
            <w:vAlign w:val="bottom"/>
            <w:tcBorders>
              <w:bottom w:val="single" w:sz="8" w:color="CCEEFF"/>
            </w:tcBorders>
          </w:tcPr>
          <w:p>
            <w:pPr>
              <w:spacing w:after="0"/>
              <w:rPr>
                <w:sz w:val="19"/>
                <w:szCs w:val="19"/>
                <w:color w:val="auto"/>
              </w:rPr>
            </w:pPr>
          </w:p>
        </w:tc>
        <w:tc>
          <w:tcPr>
            <w:tcW w:w="182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CCEEFF"/>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60" w:type="dxa"/>
            <w:vAlign w:val="bottom"/>
            <w:tcBorders>
              <w:top w:val="single" w:sz="8" w:color="auto"/>
              <w:bottom w:val="single" w:sz="8" w:color="CCEEFF"/>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w:t>
            </w:r>
          </w:p>
        </w:tc>
        <w:tc>
          <w:tcPr>
            <w:tcW w:w="18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Industrial</w:t>
            </w:r>
          </w:p>
        </w:tc>
        <w:tc>
          <w:tcPr>
            <w:tcW w:w="1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836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743</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Residential</w:t>
            </w:r>
          </w:p>
        </w:tc>
        <w:tc>
          <w:tcPr>
            <w:tcW w:w="18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805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782</w:t>
            </w:r>
          </w:p>
        </w:tc>
        <w:tc>
          <w:tcPr>
            <w:tcW w:w="0" w:type="dxa"/>
            <w:vAlign w:val="bottom"/>
          </w:tcPr>
          <w:p>
            <w:pPr>
              <w:spacing w:after="0"/>
              <w:rPr>
                <w:sz w:val="1"/>
                <w:szCs w:val="1"/>
                <w:color w:val="auto"/>
              </w:rPr>
            </w:pPr>
          </w:p>
        </w:tc>
      </w:tr>
      <w:tr>
        <w:trPr>
          <w:trHeight w:val="229"/>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Other collection</w:t>
            </w:r>
          </w:p>
        </w:tc>
        <w:tc>
          <w:tcPr>
            <w:tcW w:w="18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10"/>
        </w:trPr>
        <w:tc>
          <w:tcPr>
            <w:tcW w:w="374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collection</w:t>
            </w:r>
          </w:p>
        </w:tc>
        <w:tc>
          <w:tcPr>
            <w:tcW w:w="18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3,081</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Landfill</w:t>
            </w:r>
          </w:p>
        </w:tc>
        <w:tc>
          <w:tcPr>
            <w:tcW w:w="1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1,051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915</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w:t>
            </w:r>
          </w:p>
        </w:tc>
        <w:tc>
          <w:tcPr>
            <w:tcW w:w="18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486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465</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Recycling</w:t>
            </w:r>
          </w:p>
        </w:tc>
        <w:tc>
          <w:tcPr>
            <w:tcW w:w="1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453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342</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8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575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477</w:t>
            </w:r>
          </w:p>
        </w:tc>
        <w:tc>
          <w:tcPr>
            <w:tcW w:w="0" w:type="dxa"/>
            <w:vAlign w:val="bottom"/>
          </w:tcPr>
          <w:p>
            <w:pPr>
              <w:spacing w:after="0"/>
              <w:rPr>
                <w:sz w:val="1"/>
                <w:szCs w:val="1"/>
                <w:color w:val="auto"/>
              </w:rPr>
            </w:pPr>
          </w:p>
        </w:tc>
      </w:tr>
      <w:tr>
        <w:trPr>
          <w:trHeight w:val="270"/>
        </w:trPr>
        <w:tc>
          <w:tcPr>
            <w:tcW w:w="3740" w:type="dxa"/>
            <w:vAlign w:val="bottom"/>
          </w:tcPr>
          <w:p>
            <w:pPr>
              <w:spacing w:after="0" w:line="270" w:lineRule="exact"/>
              <w:rPr>
                <w:sz w:val="20"/>
                <w:szCs w:val="20"/>
                <w:color w:val="auto"/>
              </w:rPr>
            </w:pPr>
            <w:r>
              <w:rPr>
                <w:rFonts w:ascii="Times New Roman" w:cs="Times New Roman" w:eastAsia="Times New Roman" w:hAnsi="Times New Roman"/>
                <w:sz w:val="18"/>
                <w:szCs w:val="18"/>
                <w:color w:val="auto"/>
              </w:rPr>
              <w:t xml:space="preserve">Intercompany </w:t>
            </w:r>
            <w:r>
              <w:rPr>
                <w:rFonts w:ascii="Times New Roman" w:cs="Times New Roman" w:eastAsia="Times New Roman" w:hAnsi="Times New Roman"/>
                <w:sz w:val="29"/>
                <w:szCs w:val="29"/>
                <w:color w:val="auto"/>
                <w:vertAlign w:val="superscript"/>
              </w:rPr>
              <w:t>(a)</w:t>
            </w:r>
          </w:p>
        </w:tc>
        <w:tc>
          <w:tcPr>
            <w:tcW w:w="18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(985)</w:t>
            </w: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(859)</w:t>
            </w:r>
          </w:p>
        </w:tc>
        <w:tc>
          <w:tcPr>
            <w:tcW w:w="0" w:type="dxa"/>
            <w:vAlign w:val="bottom"/>
          </w:tcPr>
          <w:p>
            <w:pPr>
              <w:spacing w:after="0"/>
              <w:rPr>
                <w:sz w:val="1"/>
                <w:szCs w:val="1"/>
                <w:color w:val="auto"/>
              </w:rPr>
            </w:pPr>
          </w:p>
        </w:tc>
      </w:tr>
      <w:tr>
        <w:trPr>
          <w:trHeight w:val="223"/>
        </w:trPr>
        <w:tc>
          <w:tcPr>
            <w:tcW w:w="374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820" w:type="dxa"/>
            <w:vAlign w:val="bottom"/>
            <w:tcBorders>
              <w:top w:val="single" w:sz="8" w:color="CCEEFF"/>
              <w:bottom w:val="single" w:sz="8" w:color="CCEEFF"/>
            </w:tcBorders>
            <w:shd w:val="clear" w:color="auto" w:fill="CCEEFF"/>
          </w:tcPr>
          <w:p>
            <w:pPr>
              <w:spacing w:after="0"/>
              <w:rPr>
                <w:sz w:val="19"/>
                <w:szCs w:val="19"/>
                <w:color w:val="auto"/>
              </w:rPr>
            </w:pPr>
          </w:p>
        </w:tc>
        <w:tc>
          <w:tcPr>
            <w:tcW w:w="96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4,661</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Internal Revenue Growth</w:t>
            </w:r>
          </w:p>
        </w:tc>
        <w:tc>
          <w:tcPr>
            <w:tcW w:w="18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740" w:type="dxa"/>
            <w:vAlign w:val="bottom"/>
            <w:vMerge w:val="continue"/>
          </w:tcPr>
          <w:p>
            <w:pPr>
              <w:spacing w:after="0"/>
              <w:rPr>
                <w:sz w:val="24"/>
                <w:szCs w:val="24"/>
                <w:color w:val="auto"/>
              </w:rPr>
            </w:pPr>
          </w:p>
        </w:tc>
        <w:tc>
          <w:tcPr>
            <w:tcW w:w="1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37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20" w:type="dxa"/>
            <w:vAlign w:val="bottom"/>
            <w:gridSpan w:val="8"/>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Period-to-Period Change for the</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7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20" w:type="dxa"/>
            <w:vAlign w:val="bottom"/>
            <w:gridSpan w:val="8"/>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7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8"/>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March 31, 2022 vs. 2021</w:t>
            </w:r>
          </w:p>
        </w:tc>
        <w:tc>
          <w:tcPr>
            <w:tcW w:w="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374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0" w:type="dxa"/>
            <w:vAlign w:val="bottom"/>
            <w:gridSpan w:val="4"/>
          </w:tcPr>
          <w:p>
            <w:pPr>
              <w:jc w:val="center"/>
              <w:ind w:right="294"/>
              <w:spacing w:after="0" w:line="188" w:lineRule="exact"/>
              <w:rPr>
                <w:sz w:val="20"/>
                <w:szCs w:val="20"/>
                <w:color w:val="auto"/>
              </w:rPr>
            </w:pPr>
            <w:r>
              <w:rPr>
                <w:rFonts w:ascii="Times New Roman" w:cs="Times New Roman" w:eastAsia="Times New Roman" w:hAnsi="Times New Roman"/>
                <w:sz w:val="18"/>
                <w:szCs w:val="18"/>
                <w:b w:val="1"/>
                <w:bCs w:val="1"/>
                <w:color w:val="auto"/>
                <w:w w:val="97"/>
              </w:rPr>
              <w:t>As a % of</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6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As a % of</w:t>
            </w:r>
          </w:p>
        </w:tc>
        <w:tc>
          <w:tcPr>
            <w:tcW w:w="16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37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gridSpan w:val="4"/>
          </w:tcPr>
          <w:p>
            <w:pPr>
              <w:jc w:val="center"/>
              <w:ind w:right="294"/>
              <w:spacing w:after="0"/>
              <w:rPr>
                <w:sz w:val="20"/>
                <w:szCs w:val="20"/>
                <w:color w:val="auto"/>
              </w:rPr>
            </w:pPr>
            <w:r>
              <w:rPr>
                <w:rFonts w:ascii="Times New Roman" w:cs="Times New Roman" w:eastAsia="Times New Roman" w:hAnsi="Times New Roman"/>
                <w:sz w:val="18"/>
                <w:szCs w:val="18"/>
                <w:b w:val="1"/>
                <w:bCs w:val="1"/>
                <w:color w:val="auto"/>
                <w:w w:val="98"/>
              </w:rPr>
              <w:t>Related</w:t>
            </w: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75"/>
        </w:trPr>
        <w:tc>
          <w:tcPr>
            <w:tcW w:w="3740" w:type="dxa"/>
            <w:vAlign w:val="bottom"/>
            <w:tcBorders>
              <w:bottom w:val="single" w:sz="8" w:color="CCEEFF"/>
            </w:tcBorders>
          </w:tcPr>
          <w:p>
            <w:pPr>
              <w:spacing w:after="0"/>
              <w:rPr>
                <w:sz w:val="23"/>
                <w:szCs w:val="23"/>
                <w:color w:val="auto"/>
              </w:rPr>
            </w:pPr>
          </w:p>
        </w:tc>
        <w:tc>
          <w:tcPr>
            <w:tcW w:w="1820" w:type="dxa"/>
            <w:vAlign w:val="bottom"/>
            <w:tcBorders>
              <w:bottom w:val="single" w:sz="8" w:color="CCEEFF"/>
            </w:tcBorders>
          </w:tcPr>
          <w:p>
            <w:pPr>
              <w:spacing w:after="0"/>
              <w:rPr>
                <w:sz w:val="23"/>
                <w:szCs w:val="23"/>
                <w:color w:val="auto"/>
              </w:rPr>
            </w:pPr>
          </w:p>
        </w:tc>
        <w:tc>
          <w:tcPr>
            <w:tcW w:w="96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80" w:type="dxa"/>
            <w:vAlign w:val="bottom"/>
            <w:tcBorders>
              <w:bottom w:val="single" w:sz="8" w:color="auto"/>
            </w:tcBorders>
          </w:tcPr>
          <w:p>
            <w:pPr>
              <w:spacing w:after="0"/>
              <w:rPr>
                <w:sz w:val="23"/>
                <w:szCs w:val="23"/>
                <w:color w:val="auto"/>
              </w:rPr>
            </w:pPr>
          </w:p>
        </w:tc>
        <w:tc>
          <w:tcPr>
            <w:tcW w:w="220" w:type="dxa"/>
            <w:vAlign w:val="bottom"/>
            <w:tcBorders>
              <w:bottom w:val="single" w:sz="8" w:color="CCEEFF"/>
            </w:tcBorders>
          </w:tcPr>
          <w:p>
            <w:pPr>
              <w:spacing w:after="0"/>
              <w:rPr>
                <w:sz w:val="23"/>
                <w:szCs w:val="23"/>
                <w:color w:val="auto"/>
              </w:rPr>
            </w:pPr>
          </w:p>
        </w:tc>
        <w:tc>
          <w:tcPr>
            <w:tcW w:w="1220" w:type="dxa"/>
            <w:vAlign w:val="bottom"/>
            <w:tcBorders>
              <w:bottom w:val="single" w:sz="8" w:color="auto"/>
            </w:tcBorders>
          </w:tcPr>
          <w:p>
            <w:pPr>
              <w:jc w:val="center"/>
              <w:spacing w:after="0" w:line="276" w:lineRule="exact"/>
              <w:rPr>
                <w:sz w:val="20"/>
                <w:szCs w:val="20"/>
                <w:color w:val="auto"/>
              </w:rPr>
            </w:pPr>
            <w:r>
              <w:rPr>
                <w:rFonts w:ascii="Times New Roman" w:cs="Times New Roman" w:eastAsia="Times New Roman" w:hAnsi="Times New Roman"/>
                <w:sz w:val="18"/>
                <w:szCs w:val="18"/>
                <w:b w:val="1"/>
                <w:bCs w:val="1"/>
                <w:color w:val="auto"/>
                <w:w w:val="95"/>
              </w:rPr>
              <w:t>Business</w:t>
            </w:r>
            <w:r>
              <w:rPr>
                <w:rFonts w:ascii="Times New Roman" w:cs="Times New Roman" w:eastAsia="Times New Roman" w:hAnsi="Times New Roman"/>
                <w:sz w:val="29"/>
                <w:szCs w:val="29"/>
                <w:b w:val="1"/>
                <w:bCs w:val="1"/>
                <w:color w:val="auto"/>
                <w:w w:val="95"/>
                <w:vertAlign w:val="superscript"/>
              </w:rPr>
              <w:t>(b)</w:t>
            </w:r>
          </w:p>
        </w:tc>
        <w:tc>
          <w:tcPr>
            <w:tcW w:w="280" w:type="dxa"/>
            <w:vAlign w:val="bottom"/>
            <w:tcBorders>
              <w:bottom w:val="single" w:sz="8" w:color="CCEEFF"/>
            </w:tcBorders>
            <w:gridSpan w:val="2"/>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gridSpan w:val="3"/>
          </w:tcPr>
          <w:p>
            <w:pPr>
              <w:ind w:left="2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Borders>
              <w:bottom w:val="single" w:sz="8" w:color="CCEEFF"/>
            </w:tcBorders>
          </w:tcPr>
          <w:p>
            <w:pPr>
              <w:spacing w:after="0"/>
              <w:rPr>
                <w:sz w:val="23"/>
                <w:szCs w:val="23"/>
                <w:color w:val="auto"/>
              </w:rPr>
            </w:pPr>
          </w:p>
        </w:tc>
        <w:tc>
          <w:tcPr>
            <w:tcW w:w="60" w:type="dxa"/>
            <w:vAlign w:val="bottom"/>
            <w:tcBorders>
              <w:bottom w:val="single" w:sz="8" w:color="CCEEFF"/>
            </w:tcBorders>
          </w:tcPr>
          <w:p>
            <w:pPr>
              <w:spacing w:after="0"/>
              <w:rPr>
                <w:sz w:val="23"/>
                <w:szCs w:val="23"/>
                <w:color w:val="auto"/>
              </w:rPr>
            </w:pPr>
          </w:p>
        </w:tc>
        <w:tc>
          <w:tcPr>
            <w:tcW w:w="60" w:type="dxa"/>
            <w:vAlign w:val="bottom"/>
            <w:tcBorders>
              <w:bottom w:val="single" w:sz="8" w:color="CCEEFF"/>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center"/>
              <w:spacing w:after="0" w:line="276" w:lineRule="exact"/>
              <w:rPr>
                <w:sz w:val="20"/>
                <w:szCs w:val="20"/>
                <w:color w:val="auto"/>
              </w:rPr>
            </w:pPr>
            <w:r>
              <w:rPr>
                <w:rFonts w:ascii="Times New Roman" w:cs="Times New Roman" w:eastAsia="Times New Roman" w:hAnsi="Times New Roman"/>
                <w:sz w:val="18"/>
                <w:szCs w:val="18"/>
                <w:b w:val="1"/>
                <w:bCs w:val="1"/>
                <w:color w:val="auto"/>
                <w:w w:val="95"/>
              </w:rPr>
              <w:t>Company</w:t>
            </w:r>
            <w:r>
              <w:rPr>
                <w:rFonts w:ascii="Times New Roman" w:cs="Times New Roman" w:eastAsia="Times New Roman" w:hAnsi="Times New Roman"/>
                <w:sz w:val="29"/>
                <w:szCs w:val="29"/>
                <w:b w:val="1"/>
                <w:bCs w:val="1"/>
                <w:color w:val="auto"/>
                <w:w w:val="95"/>
                <w:vertAlign w:val="superscript"/>
              </w:rPr>
              <w:t>(c)</w:t>
            </w:r>
          </w:p>
        </w:tc>
        <w:tc>
          <w:tcPr>
            <w:tcW w:w="160" w:type="dxa"/>
            <w:vAlign w:val="bottom"/>
            <w:tcBorders>
              <w:bottom w:val="single" w:sz="8" w:color="CCEEFF"/>
            </w:tcBorders>
            <w:gridSpan w:val="2"/>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Collection and disposal</w:t>
            </w:r>
          </w:p>
        </w:tc>
        <w:tc>
          <w:tcPr>
            <w:tcW w:w="1820" w:type="dxa"/>
            <w:vAlign w:val="bottom"/>
            <w:shd w:val="clear" w:color="auto" w:fill="CCEEFF"/>
          </w:tcPr>
          <w:p>
            <w:pPr>
              <w:spacing w:after="0"/>
              <w:rPr>
                <w:sz w:val="18"/>
                <w:szCs w:val="18"/>
                <w:color w:val="auto"/>
              </w:rPr>
            </w:pPr>
          </w:p>
        </w:tc>
        <w:tc>
          <w:tcPr>
            <w:tcW w:w="960" w:type="dxa"/>
            <w:vAlign w:val="bottom"/>
            <w:shd w:val="clear" w:color="auto" w:fill="CCEEFF"/>
          </w:tcPr>
          <w:p>
            <w:pPr>
              <w:jc w:val="center"/>
              <w:ind w:right="75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197</w:t>
            </w:r>
          </w:p>
        </w:tc>
        <w:tc>
          <w:tcPr>
            <w:tcW w:w="22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374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Recycling commodities</w:t>
            </w:r>
            <w:r>
              <w:rPr>
                <w:rFonts w:ascii="Times New Roman" w:cs="Times New Roman" w:eastAsia="Times New Roman" w:hAnsi="Times New Roman"/>
                <w:sz w:val="29"/>
                <w:szCs w:val="29"/>
                <w:color w:val="auto"/>
                <w:vertAlign w:val="superscript"/>
              </w:rPr>
              <w:t>(d)</w:t>
            </w:r>
          </w:p>
        </w:tc>
        <w:tc>
          <w:tcPr>
            <w:tcW w:w="18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6"/>
              </w:rPr>
              <w:t>116</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35.7</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740" w:type="dxa"/>
            <w:vAlign w:val="bottom"/>
            <w:shd w:val="clear" w:color="auto" w:fill="CCEEFF"/>
          </w:tcPr>
          <w:p>
            <w:pPr>
              <w:spacing w:after="0" w:line="270" w:lineRule="exact"/>
              <w:rPr>
                <w:sz w:val="20"/>
                <w:szCs w:val="20"/>
                <w:color w:val="auto"/>
              </w:rPr>
            </w:pPr>
            <w:r>
              <w:rPr>
                <w:rFonts w:ascii="Times New Roman" w:cs="Times New Roman" w:eastAsia="Times New Roman" w:hAnsi="Times New Roman"/>
                <w:sz w:val="18"/>
                <w:szCs w:val="18"/>
                <w:color w:val="auto"/>
              </w:rPr>
              <w:t>Fuel surcharges and other</w:t>
            </w:r>
            <w:r>
              <w:rPr>
                <w:rFonts w:ascii="Times New Roman" w:cs="Times New Roman" w:eastAsia="Times New Roman" w:hAnsi="Times New Roman"/>
                <w:sz w:val="29"/>
                <w:szCs w:val="29"/>
                <w:color w:val="auto"/>
                <w:vertAlign w:val="superscript"/>
              </w:rPr>
              <w:t>(e)</w:t>
            </w:r>
          </w:p>
        </w:tc>
        <w:tc>
          <w:tcPr>
            <w:tcW w:w="182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90</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46.5</w:t>
            </w:r>
          </w:p>
        </w:tc>
        <w:tc>
          <w:tcPr>
            <w:tcW w:w="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3740" w:type="dxa"/>
            <w:vAlign w:val="bottom"/>
          </w:tcPr>
          <w:p>
            <w:pPr>
              <w:ind w:left="120"/>
              <w:spacing w:after="0" w:line="236" w:lineRule="exact"/>
              <w:rPr>
                <w:sz w:val="20"/>
                <w:szCs w:val="20"/>
                <w:color w:val="auto"/>
              </w:rPr>
            </w:pPr>
            <w:r>
              <w:rPr>
                <w:rFonts w:ascii="Times New Roman" w:cs="Times New Roman" w:eastAsia="Times New Roman" w:hAnsi="Times New Roman"/>
                <w:sz w:val="17"/>
                <w:szCs w:val="17"/>
                <w:color w:val="auto"/>
              </w:rPr>
              <w:t>Total average yield</w:t>
            </w:r>
            <w:r>
              <w:rPr>
                <w:rFonts w:ascii="Times New Roman" w:cs="Times New Roman" w:eastAsia="Times New Roman" w:hAnsi="Times New Roman"/>
                <w:sz w:val="27"/>
                <w:szCs w:val="27"/>
                <w:color w:val="auto"/>
                <w:vertAlign w:val="superscript"/>
              </w:rPr>
              <w:t>(f)</w:t>
            </w:r>
          </w:p>
        </w:tc>
        <w:tc>
          <w:tcPr>
            <w:tcW w:w="1820" w:type="dxa"/>
            <w:vAlign w:val="bottom"/>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403</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70"/>
        </w:trPr>
        <w:tc>
          <w:tcPr>
            <w:tcW w:w="3740" w:type="dxa"/>
            <w:vAlign w:val="bottom"/>
            <w:shd w:val="clear" w:color="auto" w:fill="CCEEFF"/>
          </w:tcPr>
          <w:p>
            <w:pPr>
              <w:ind w:left="120"/>
              <w:spacing w:after="0" w:line="270" w:lineRule="exact"/>
              <w:rPr>
                <w:sz w:val="20"/>
                <w:szCs w:val="20"/>
                <w:color w:val="auto"/>
              </w:rPr>
            </w:pPr>
            <w:r>
              <w:rPr>
                <w:rFonts w:ascii="Times New Roman" w:cs="Times New Roman" w:eastAsia="Times New Roman" w:hAnsi="Times New Roman"/>
                <w:sz w:val="18"/>
                <w:szCs w:val="18"/>
                <w:color w:val="auto"/>
              </w:rPr>
              <w:t>Volume</w:t>
            </w:r>
            <w:r>
              <w:rPr>
                <w:rFonts w:ascii="Times New Roman" w:cs="Times New Roman" w:eastAsia="Times New Roman" w:hAnsi="Times New Roman"/>
                <w:sz w:val="29"/>
                <w:szCs w:val="29"/>
                <w:color w:val="auto"/>
                <w:vertAlign w:val="superscript"/>
              </w:rPr>
              <w:t>(e)</w:t>
            </w:r>
          </w:p>
        </w:tc>
        <w:tc>
          <w:tcPr>
            <w:tcW w:w="182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2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148</w:t>
            </w:r>
          </w:p>
        </w:tc>
        <w:tc>
          <w:tcPr>
            <w:tcW w:w="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9"/>
        </w:trPr>
        <w:tc>
          <w:tcPr>
            <w:tcW w:w="3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Internal revenue growth</w:t>
            </w:r>
          </w:p>
        </w:tc>
        <w:tc>
          <w:tcPr>
            <w:tcW w:w="1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Acquisitions</w:t>
            </w:r>
          </w:p>
        </w:tc>
        <w:tc>
          <w:tcPr>
            <w:tcW w:w="18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Divestitures</w:t>
            </w:r>
          </w:p>
        </w:tc>
        <w:tc>
          <w:tcPr>
            <w:tcW w:w="1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30"/>
        </w:trPr>
        <w:tc>
          <w:tcPr>
            <w:tcW w:w="3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8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8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gridSpan w:val="2"/>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260" w:type="dxa"/>
            <w:vAlign w:val="bottom"/>
            <w:tcBorders>
              <w:bottom w:val="single" w:sz="8" w:color="auto"/>
            </w:tcBorders>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37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00" w:type="dxa"/>
            <w:vAlign w:val="bottom"/>
            <w:gridSpan w:val="1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Period-to-Period Change for the</w:t>
            </w:r>
          </w:p>
        </w:tc>
        <w:tc>
          <w:tcPr>
            <w:tcW w:w="0" w:type="dxa"/>
            <w:vAlign w:val="bottom"/>
          </w:tcPr>
          <w:p>
            <w:pPr>
              <w:spacing w:after="0"/>
              <w:rPr>
                <w:sz w:val="1"/>
                <w:szCs w:val="1"/>
                <w:color w:val="auto"/>
              </w:rPr>
            </w:pPr>
          </w:p>
        </w:tc>
      </w:tr>
      <w:tr>
        <w:trPr>
          <w:trHeight w:val="230"/>
        </w:trPr>
        <w:tc>
          <w:tcPr>
            <w:tcW w:w="37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gridSpan w:val="10"/>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0" w:type="dxa"/>
            <w:vAlign w:val="bottom"/>
          </w:tcPr>
          <w:p>
            <w:pPr>
              <w:spacing w:after="0"/>
              <w:rPr>
                <w:sz w:val="1"/>
                <w:szCs w:val="1"/>
                <w:color w:val="auto"/>
              </w:rPr>
            </w:pPr>
          </w:p>
        </w:tc>
      </w:tr>
      <w:tr>
        <w:trPr>
          <w:trHeight w:val="238"/>
        </w:trPr>
        <w:tc>
          <w:tcPr>
            <w:tcW w:w="37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20" w:type="dxa"/>
            <w:vAlign w:val="bottom"/>
            <w:gridSpan w:val="10"/>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9"/>
              </w:rPr>
              <w:t>March 31, 2022 vs. 2021</w:t>
            </w:r>
          </w:p>
        </w:tc>
        <w:tc>
          <w:tcPr>
            <w:tcW w:w="0" w:type="dxa"/>
            <w:vAlign w:val="bottom"/>
          </w:tcPr>
          <w:p>
            <w:pPr>
              <w:spacing w:after="0"/>
              <w:rPr>
                <w:sz w:val="1"/>
                <w:szCs w:val="1"/>
                <w:color w:val="auto"/>
              </w:rPr>
            </w:pPr>
          </w:p>
        </w:tc>
      </w:tr>
      <w:tr>
        <w:trPr>
          <w:trHeight w:val="250"/>
        </w:trPr>
        <w:tc>
          <w:tcPr>
            <w:tcW w:w="374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2560" w:type="dxa"/>
            <w:vAlign w:val="bottom"/>
            <w:tcBorders>
              <w:top w:val="single" w:sz="8" w:color="auto"/>
              <w:bottom w:val="single" w:sz="8" w:color="auto"/>
            </w:tcBorders>
            <w:gridSpan w:val="9"/>
          </w:tcPr>
          <w:p>
            <w:pPr>
              <w:jc w:val="center"/>
              <w:ind w:right="190"/>
              <w:spacing w:after="0" w:line="250" w:lineRule="exact"/>
              <w:rPr>
                <w:sz w:val="20"/>
                <w:szCs w:val="20"/>
                <w:color w:val="auto"/>
              </w:rPr>
            </w:pPr>
            <w:r>
              <w:rPr>
                <w:rFonts w:ascii="Times New Roman" w:cs="Times New Roman" w:eastAsia="Times New Roman" w:hAnsi="Times New Roman"/>
                <w:sz w:val="17"/>
                <w:szCs w:val="17"/>
                <w:b w:val="1"/>
                <w:bCs w:val="1"/>
                <w:color w:val="auto"/>
              </w:rPr>
              <w:t>As a % of Related Business</w:t>
            </w:r>
            <w:r>
              <w:rPr>
                <w:rFonts w:ascii="Times New Roman" w:cs="Times New Roman" w:eastAsia="Times New Roman" w:hAnsi="Times New Roman"/>
                <w:sz w:val="28"/>
                <w:szCs w:val="28"/>
                <w:b w:val="1"/>
                <w:bCs w:val="1"/>
                <w:color w:val="auto"/>
                <w:vertAlign w:val="superscript"/>
              </w:rPr>
              <w:t>(b)</w:t>
            </w:r>
          </w:p>
        </w:tc>
        <w:tc>
          <w:tcPr>
            <w:tcW w:w="16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740" w:type="dxa"/>
            <w:vAlign w:val="bottom"/>
            <w:tcBorders>
              <w:bottom w:val="single" w:sz="8" w:color="CCEEFF"/>
            </w:tcBorders>
          </w:tcPr>
          <w:p>
            <w:pPr>
              <w:spacing w:after="0"/>
              <w:rPr>
                <w:sz w:val="21"/>
                <w:szCs w:val="21"/>
                <w:color w:val="auto"/>
              </w:rPr>
            </w:pPr>
          </w:p>
        </w:tc>
        <w:tc>
          <w:tcPr>
            <w:tcW w:w="1820" w:type="dxa"/>
            <w:vAlign w:val="bottom"/>
            <w:tcBorders>
              <w:bottom w:val="single" w:sz="8" w:color="CCEEFF"/>
            </w:tcBorders>
          </w:tcPr>
          <w:p>
            <w:pPr>
              <w:spacing w:after="0"/>
              <w:rPr>
                <w:sz w:val="21"/>
                <w:szCs w:val="21"/>
                <w:color w:val="auto"/>
              </w:rPr>
            </w:pPr>
          </w:p>
        </w:tc>
        <w:tc>
          <w:tcPr>
            <w:tcW w:w="960" w:type="dxa"/>
            <w:vAlign w:val="bottom"/>
            <w:tcBorders>
              <w:bottom w:val="single" w:sz="8" w:color="CCEEFF"/>
            </w:tcBorders>
          </w:tcPr>
          <w:p>
            <w:pPr>
              <w:spacing w:after="0"/>
              <w:rPr>
                <w:sz w:val="21"/>
                <w:szCs w:val="21"/>
                <w:color w:val="auto"/>
              </w:rPr>
            </w:pPr>
          </w:p>
        </w:tc>
        <w:tc>
          <w:tcPr>
            <w:tcW w:w="28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12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Yield</w:t>
            </w:r>
          </w:p>
        </w:tc>
        <w:tc>
          <w:tcPr>
            <w:tcW w:w="360" w:type="dxa"/>
            <w:vAlign w:val="bottom"/>
            <w:tcBorders>
              <w:bottom w:val="single" w:sz="8" w:color="CCEEFF"/>
            </w:tcBorders>
            <w:gridSpan w:val="3"/>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50"/>
              <w:spacing w:after="0" w:line="250" w:lineRule="exact"/>
              <w:rPr>
                <w:sz w:val="20"/>
                <w:szCs w:val="20"/>
                <w:color w:val="auto"/>
              </w:rPr>
            </w:pPr>
            <w:r>
              <w:rPr>
                <w:rFonts w:ascii="Times New Roman" w:cs="Times New Roman" w:eastAsia="Times New Roman" w:hAnsi="Times New Roman"/>
                <w:sz w:val="17"/>
                <w:szCs w:val="17"/>
                <w:b w:val="1"/>
                <w:bCs w:val="1"/>
                <w:color w:val="auto"/>
              </w:rPr>
              <w:t>Volume</w:t>
            </w:r>
            <w:r>
              <w:rPr>
                <w:rFonts w:ascii="Times New Roman" w:cs="Times New Roman" w:eastAsia="Times New Roman" w:hAnsi="Times New Roman"/>
                <w:sz w:val="28"/>
                <w:szCs w:val="28"/>
                <w:b w:val="1"/>
                <w:bCs w:val="1"/>
                <w:color w:val="auto"/>
                <w:vertAlign w:val="superscript"/>
              </w:rPr>
              <w:t>(g)</w:t>
            </w:r>
          </w:p>
        </w:tc>
        <w:tc>
          <w:tcPr>
            <w:tcW w:w="160" w:type="dxa"/>
            <w:vAlign w:val="bottom"/>
            <w:tcBorders>
              <w:bottom w:val="single" w:sz="8" w:color="CCEEFF"/>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w:t>
            </w:r>
          </w:p>
        </w:tc>
        <w:tc>
          <w:tcPr>
            <w:tcW w:w="18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Industrial</w:t>
            </w:r>
          </w:p>
        </w:tc>
        <w:tc>
          <w:tcPr>
            <w:tcW w:w="1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7.7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Residential</w:t>
            </w:r>
          </w:p>
        </w:tc>
        <w:tc>
          <w:tcPr>
            <w:tcW w:w="18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5.0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16"/>
        </w:trPr>
        <w:tc>
          <w:tcPr>
            <w:tcW w:w="3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collection</w:t>
            </w:r>
          </w:p>
        </w:tc>
        <w:tc>
          <w:tcPr>
            <w:tcW w:w="1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6.7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MSW</w:t>
            </w:r>
          </w:p>
        </w:tc>
        <w:tc>
          <w:tcPr>
            <w:tcW w:w="18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5.1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Transfer</w:t>
            </w:r>
          </w:p>
        </w:tc>
        <w:tc>
          <w:tcPr>
            <w:tcW w:w="1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3.3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collection and disposal</w:t>
            </w:r>
          </w:p>
        </w:tc>
        <w:tc>
          <w:tcPr>
            <w:tcW w:w="18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72" w:lineRule="exact"/>
        <w:rPr>
          <w:sz w:val="20"/>
          <w:szCs w:val="20"/>
          <w:color w:val="auto"/>
        </w:rPr>
      </w:pPr>
    </w:p>
    <w:p>
      <w:pPr>
        <w:ind w:left="340" w:hanging="332"/>
        <w:spacing w:after="0"/>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Intercompany revenues between lines of business are eliminated in the Condensed Consolidated Financial Statements included herein.</w:t>
      </w:r>
    </w:p>
    <w:p>
      <w:pPr>
        <w:spacing w:after="0" w:line="27" w:lineRule="exact"/>
        <w:rPr>
          <w:rFonts w:ascii="Times New Roman" w:cs="Times New Roman" w:eastAsia="Times New Roman" w:hAnsi="Times New Roman"/>
          <w:sz w:val="18"/>
          <w:szCs w:val="18"/>
          <w:color w:val="auto"/>
        </w:rPr>
      </w:pPr>
    </w:p>
    <w:p>
      <w:pPr>
        <w:ind w:left="340" w:hanging="332"/>
        <w:spacing w:after="0" w:line="250"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by dividing the increase or decrease for the current year period by the prior year period’s related business revenue adjusted to exclude the impacts of divestitures for the current year period.</w:t>
      </w:r>
    </w:p>
    <w:p>
      <w:pPr>
        <w:ind w:left="340" w:hanging="332"/>
        <w:spacing w:after="0" w:line="250"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by dividing the increase or decrease for the current year period by the prior year period’s total Company revenue adjusted to exclude the impacts of divestitures for the current year period.</w:t>
      </w:r>
    </w:p>
    <w:p>
      <w:pPr>
        <w:ind w:left="340" w:hanging="332"/>
        <w:spacing w:after="0"/>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combined impact of commodity price variability and changes in fees.</w:t>
      </w:r>
    </w:p>
    <w:p>
      <w:pPr>
        <w:spacing w:after="0" w:line="9" w:lineRule="exact"/>
        <w:rPr>
          <w:rFonts w:ascii="Times New Roman" w:cs="Times New Roman" w:eastAsia="Times New Roman" w:hAnsi="Times New Roman"/>
          <w:sz w:val="18"/>
          <w:szCs w:val="18"/>
          <w:color w:val="auto"/>
        </w:rPr>
      </w:pPr>
    </w:p>
    <w:p>
      <w:pPr>
        <w:ind w:left="340" w:hanging="332"/>
        <w:spacing w:after="0" w:line="250"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Beginning in the fourth quarter of 2021, includes changes in our revenue attributable to our WM Renewable Energy business. We have revised our prior year results to conform with the current year presentation.</w:t>
      </w:r>
    </w:p>
    <w:p>
      <w:pPr>
        <w:ind w:left="340" w:hanging="332"/>
        <w:spacing w:after="0"/>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herein represent the changes in our revenue attributable to average yield for the total Company.</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Workday adjusted volume impact.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104"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8"/>
        </w:trPr>
        <w:tc>
          <w:tcPr>
            <w:tcW w:w="8240" w:type="dxa"/>
            <w:vAlign w:val="bottom"/>
          </w:tcPr>
          <w:p>
            <w:pPr>
              <w:jc w:val="center"/>
              <w:ind w:left="2910"/>
              <w:spacing w:after="0"/>
              <w:rPr>
                <w:sz w:val="20"/>
                <w:szCs w:val="20"/>
                <w:color w:val="auto"/>
              </w:rPr>
            </w:pPr>
            <w:r>
              <w:rPr>
                <w:rFonts w:ascii="Times New Roman" w:cs="Times New Roman" w:eastAsia="Times New Roman" w:hAnsi="Times New Roman"/>
                <w:sz w:val="18"/>
                <w:szCs w:val="18"/>
                <w:b w:val="1"/>
                <w:bCs w:val="1"/>
                <w:color w:val="auto"/>
                <w:w w:val="98"/>
              </w:rPr>
              <w:t>WASTE MANAGEMENT, INC.</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0"/>
        </w:trPr>
        <w:tc>
          <w:tcPr>
            <w:tcW w:w="8240" w:type="dxa"/>
            <w:vAlign w:val="bottom"/>
          </w:tcPr>
          <w:p>
            <w:pPr>
              <w:jc w:val="center"/>
              <w:ind w:left="2910"/>
              <w:spacing w:after="0"/>
              <w:rPr>
                <w:sz w:val="20"/>
                <w:szCs w:val="20"/>
                <w:color w:val="auto"/>
              </w:rPr>
            </w:pPr>
            <w:r>
              <w:rPr>
                <w:rFonts w:ascii="Times New Roman" w:cs="Times New Roman" w:eastAsia="Times New Roman" w:hAnsi="Times New Roman"/>
                <w:sz w:val="18"/>
                <w:szCs w:val="18"/>
                <w:b w:val="1"/>
                <w:bCs w:val="1"/>
                <w:color w:val="auto"/>
                <w:w w:val="98"/>
              </w:rPr>
              <w:t>SUMMARY DATA SHEET</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8240" w:type="dxa"/>
            <w:vAlign w:val="bottom"/>
          </w:tcPr>
          <w:p>
            <w:pPr>
              <w:jc w:val="center"/>
              <w:ind w:left="2910"/>
              <w:spacing w:after="0"/>
              <w:rPr>
                <w:sz w:val="20"/>
                <w:szCs w:val="20"/>
                <w:color w:val="auto"/>
              </w:rPr>
            </w:pPr>
            <w:r>
              <w:rPr>
                <w:rFonts w:ascii="Times New Roman" w:cs="Times New Roman" w:eastAsia="Times New Roman" w:hAnsi="Times New Roman"/>
                <w:sz w:val="18"/>
                <w:szCs w:val="18"/>
                <w:b w:val="1"/>
                <w:bCs w:val="1"/>
                <w:color w:val="auto"/>
                <w:w w:val="99"/>
              </w:rPr>
              <w:t>(In Millions)</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8"/>
        </w:trPr>
        <w:tc>
          <w:tcPr>
            <w:tcW w:w="8240" w:type="dxa"/>
            <w:vAlign w:val="bottom"/>
          </w:tcPr>
          <w:p>
            <w:pPr>
              <w:jc w:val="center"/>
              <w:ind w:left="291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595"/>
        </w:trPr>
        <w:tc>
          <w:tcPr>
            <w:tcW w:w="8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Free Cash Flow</w:t>
            </w:r>
            <w:r>
              <w:rPr>
                <w:rFonts w:ascii="Times New Roman" w:cs="Times New Roman" w:eastAsia="Times New Roman" w:hAnsi="Times New Roman"/>
                <w:sz w:val="29"/>
                <w:szCs w:val="29"/>
                <w:b w:val="1"/>
                <w:bCs w:val="1"/>
                <w:color w:val="auto"/>
                <w:vertAlign w:val="superscript"/>
              </w:rPr>
              <w:t>(a)</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00"/>
        </w:trPr>
        <w:tc>
          <w:tcPr>
            <w:tcW w:w="8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80" w:type="dxa"/>
            <w:vAlign w:val="bottom"/>
            <w:gridSpan w:val="8"/>
          </w:tcPr>
          <w:p>
            <w:pPr>
              <w:jc w:val="center"/>
              <w:ind w:left="332"/>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8"/>
        </w:trPr>
        <w:tc>
          <w:tcPr>
            <w:tcW w:w="8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7"/>
          </w:tcPr>
          <w:p>
            <w:pPr>
              <w:jc w:val="center"/>
              <w:ind w:right="316"/>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3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8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9"/>
        </w:trPr>
        <w:tc>
          <w:tcPr>
            <w:tcW w:w="8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ind w:right="632"/>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1,258</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gridSpan w:val="2"/>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ind w:right="636"/>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1,120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Capital expenditures to support the business</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(371)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(259)</w:t>
            </w:r>
          </w:p>
        </w:tc>
      </w:tr>
      <w:tr>
        <w:trPr>
          <w:trHeight w:val="230"/>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divestitures of businesses and other assets, net of cash divested</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shd w:val="clear" w:color="auto" w:fill="CCEEFF"/>
          </w:tcPr>
          <w:p>
            <w:pPr>
              <w:spacing w:after="0"/>
              <w:rPr>
                <w:sz w:val="19"/>
                <w:szCs w:val="19"/>
                <w:color w:val="auto"/>
              </w:rPr>
            </w:pPr>
          </w:p>
        </w:tc>
      </w:tr>
      <w:tr>
        <w:trPr>
          <w:trHeight w:val="209"/>
        </w:trPr>
        <w:tc>
          <w:tcPr>
            <w:tcW w:w="8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Free cash flow without sustainability growth investments</w:t>
            </w:r>
          </w:p>
        </w:tc>
        <w:tc>
          <w:tcPr>
            <w:tcW w:w="10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892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876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9"/>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expenditures - sustainability growth investments</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52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w:t>
            </w:r>
          </w:p>
        </w:tc>
      </w:tr>
      <w:tr>
        <w:trPr>
          <w:trHeight w:val="223"/>
        </w:trPr>
        <w:tc>
          <w:tcPr>
            <w:tcW w:w="8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Free cash flow</w:t>
            </w:r>
          </w:p>
        </w:tc>
        <w:tc>
          <w:tcPr>
            <w:tcW w:w="10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ind w:right="632"/>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845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636"/>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865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8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04"/>
        </w:trPr>
        <w:tc>
          <w:tcPr>
            <w:tcW w:w="8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80" w:type="dxa"/>
            <w:vAlign w:val="bottom"/>
            <w:gridSpan w:val="8"/>
          </w:tcPr>
          <w:p>
            <w:pPr>
              <w:jc w:val="right"/>
              <w:ind w:right="156"/>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8"/>
        </w:trPr>
        <w:tc>
          <w:tcPr>
            <w:tcW w:w="8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7"/>
          </w:tcPr>
          <w:p>
            <w:pPr>
              <w:jc w:val="right"/>
              <w:ind w:right="576"/>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36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8240" w:type="dxa"/>
            <w:vAlign w:val="bottom"/>
          </w:tcPr>
          <w:p>
            <w:pPr>
              <w:spacing w:after="0"/>
              <w:rPr>
                <w:sz w:val="19"/>
                <w:szCs w:val="19"/>
                <w:color w:val="auto"/>
              </w:rPr>
            </w:pPr>
          </w:p>
        </w:tc>
        <w:tc>
          <w:tcPr>
            <w:tcW w:w="90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2022</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9"/>
        </w:trPr>
        <w:tc>
          <w:tcPr>
            <w:tcW w:w="8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Data</w:t>
            </w: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Internalization of waste, based on disposal costs</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w w:val="98"/>
              </w:rPr>
              <w:t>68.4%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68.0%</w:t>
            </w:r>
          </w:p>
        </w:tc>
      </w:tr>
      <w:tr>
        <w:trPr>
          <w:trHeight w:val="216"/>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Landfill amortizable tons (in millions)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56"/>
        </w:trPr>
        <w:tc>
          <w:tcPr>
            <w:tcW w:w="8240" w:type="dxa"/>
            <w:vAlign w:val="bottom"/>
          </w:tcPr>
          <w:p>
            <w:pPr>
              <w:spacing w:after="0" w:line="256" w:lineRule="exact"/>
              <w:rPr>
                <w:sz w:val="20"/>
                <w:szCs w:val="20"/>
                <w:color w:val="auto"/>
              </w:rPr>
            </w:pPr>
            <w:r>
              <w:rPr>
                <w:rFonts w:ascii="Times New Roman" w:cs="Times New Roman" w:eastAsia="Times New Roman" w:hAnsi="Times New Roman"/>
                <w:sz w:val="18"/>
                <w:szCs w:val="18"/>
                <w:b w:val="1"/>
                <w:bCs w:val="1"/>
                <w:color w:val="auto"/>
              </w:rPr>
              <w:t>Acquisition Summary</w:t>
            </w:r>
            <w:r>
              <w:rPr>
                <w:rFonts w:ascii="Times New Roman" w:cs="Times New Roman" w:eastAsia="Times New Roman" w:hAnsi="Times New Roman"/>
                <w:sz w:val="29"/>
                <w:szCs w:val="29"/>
                <w:b w:val="1"/>
                <w:bCs w:val="1"/>
                <w:color w:val="auto"/>
                <w:vertAlign w:val="superscript"/>
              </w:rPr>
              <w:t>(b)</w:t>
            </w: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16"/>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annualized revenue acquired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Total consideration, net of cash acquired</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acquisitions consummated during the period, net of cash acquired</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198"/>
        </w:trPr>
        <w:tc>
          <w:tcPr>
            <w:tcW w:w="82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Cash paid for acquisitions including contingent consideration and other items from prior periods, net of cash</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acquired</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8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Landfill Amortization and Accretion Expenses:</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23"/>
        </w:trPr>
        <w:tc>
          <w:tcPr>
            <w:tcW w:w="8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80" w:type="dxa"/>
            <w:vAlign w:val="bottom"/>
            <w:gridSpan w:val="8"/>
          </w:tcPr>
          <w:p>
            <w:pPr>
              <w:jc w:val="center"/>
              <w:ind w:left="332"/>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8"/>
        </w:trPr>
        <w:tc>
          <w:tcPr>
            <w:tcW w:w="8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7"/>
          </w:tcPr>
          <w:p>
            <w:pPr>
              <w:jc w:val="center"/>
              <w:ind w:right="316"/>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3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8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0"/>
        </w:trPr>
        <w:tc>
          <w:tcPr>
            <w:tcW w:w="8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Landfill amortization expense:</w:t>
            </w:r>
          </w:p>
        </w:tc>
        <w:tc>
          <w:tcPr>
            <w:tcW w:w="1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8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Cost basis of landfill assets</w:t>
            </w:r>
          </w:p>
        </w:tc>
        <w:tc>
          <w:tcPr>
            <w:tcW w:w="900" w:type="dxa"/>
            <w:vAlign w:val="bottom"/>
            <w:gridSpan w:val="2"/>
          </w:tcPr>
          <w:p>
            <w:pPr>
              <w:jc w:val="right"/>
              <w:ind w:right="632"/>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134</w:t>
            </w:r>
          </w:p>
        </w:tc>
        <w:tc>
          <w:tcPr>
            <w:tcW w:w="980" w:type="dxa"/>
            <w:vAlign w:val="bottom"/>
            <w:gridSpan w:val="4"/>
          </w:tcPr>
          <w:p>
            <w:pPr>
              <w:jc w:val="right"/>
              <w:ind w:right="636"/>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123</w:t>
            </w:r>
          </w:p>
        </w:tc>
        <w:tc>
          <w:tcPr>
            <w:tcW w:w="80" w:type="dxa"/>
            <w:vAlign w:val="bottom"/>
          </w:tcPr>
          <w:p>
            <w:pPr>
              <w:spacing w:after="0"/>
              <w:rPr>
                <w:sz w:val="18"/>
                <w:szCs w:val="18"/>
                <w:color w:val="auto"/>
              </w:rPr>
            </w:pPr>
          </w:p>
        </w:tc>
      </w:tr>
      <w:tr>
        <w:trPr>
          <w:trHeight w:val="230"/>
        </w:trPr>
        <w:tc>
          <w:tcPr>
            <w:tcW w:w="8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Asset retirement costs</w:t>
            </w:r>
          </w:p>
        </w:tc>
        <w:tc>
          <w:tcPr>
            <w:tcW w:w="10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36"/>
        </w:trPr>
        <w:tc>
          <w:tcPr>
            <w:tcW w:w="8240" w:type="dxa"/>
            <w:vAlign w:val="bottom"/>
          </w:tcPr>
          <w:p>
            <w:pPr>
              <w:ind w:left="220"/>
              <w:spacing w:after="0" w:line="236" w:lineRule="exact"/>
              <w:rPr>
                <w:sz w:val="20"/>
                <w:szCs w:val="20"/>
                <w:color w:val="auto"/>
              </w:rPr>
            </w:pPr>
            <w:r>
              <w:rPr>
                <w:rFonts w:ascii="Times New Roman" w:cs="Times New Roman" w:eastAsia="Times New Roman" w:hAnsi="Times New Roman"/>
                <w:sz w:val="17"/>
                <w:szCs w:val="17"/>
                <w:color w:val="auto"/>
              </w:rPr>
              <w:t>Total landfill amortization expense</w:t>
            </w:r>
            <w:r>
              <w:rPr>
                <w:rFonts w:ascii="Times New Roman" w:cs="Times New Roman" w:eastAsia="Times New Roman" w:hAnsi="Times New Roman"/>
                <w:sz w:val="27"/>
                <w:szCs w:val="27"/>
                <w:color w:val="auto"/>
                <w:vertAlign w:val="superscript"/>
              </w:rPr>
              <w:t>(c)</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157</w:t>
            </w:r>
          </w:p>
        </w:tc>
        <w:tc>
          <w:tcPr>
            <w:tcW w:w="80" w:type="dxa"/>
            <w:vAlign w:val="bottom"/>
          </w:tcPr>
          <w:p>
            <w:pPr>
              <w:spacing w:after="0"/>
              <w:rPr>
                <w:sz w:val="20"/>
                <w:szCs w:val="20"/>
                <w:color w:val="auto"/>
              </w:rPr>
            </w:pPr>
          </w:p>
        </w:tc>
      </w:tr>
      <w:tr>
        <w:trPr>
          <w:trHeight w:val="230"/>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Accretion expense</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shd w:val="clear" w:color="auto" w:fill="CCEEFF"/>
          </w:tcPr>
          <w:p>
            <w:pPr>
              <w:spacing w:after="0"/>
              <w:rPr>
                <w:sz w:val="19"/>
                <w:szCs w:val="19"/>
                <w:color w:val="auto"/>
              </w:rPr>
            </w:pPr>
          </w:p>
        </w:tc>
      </w:tr>
      <w:tr>
        <w:trPr>
          <w:trHeight w:val="223"/>
        </w:trPr>
        <w:tc>
          <w:tcPr>
            <w:tcW w:w="8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Landfill amortization and accretion expense</w:t>
            </w:r>
          </w:p>
        </w:tc>
        <w:tc>
          <w:tcPr>
            <w:tcW w:w="100" w:type="dxa"/>
            <w:vAlign w:val="bottom"/>
          </w:tcPr>
          <w:p>
            <w:pPr>
              <w:spacing w:after="0"/>
              <w:rPr>
                <w:sz w:val="19"/>
                <w:szCs w:val="19"/>
                <w:color w:val="auto"/>
              </w:rPr>
            </w:pPr>
          </w:p>
        </w:tc>
        <w:tc>
          <w:tcPr>
            <w:tcW w:w="800" w:type="dxa"/>
            <w:vAlign w:val="bottom"/>
            <w:tcBorders>
              <w:top w:val="single" w:sz="8" w:color="auto"/>
            </w:tcBorders>
          </w:tcPr>
          <w:p>
            <w:pPr>
              <w:jc w:val="right"/>
              <w:ind w:right="632"/>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60" w:type="dxa"/>
            <w:vAlign w:val="bottom"/>
          </w:tcPr>
          <w:p>
            <w:pPr>
              <w:spacing w:after="0"/>
              <w:rPr>
                <w:sz w:val="19"/>
                <w:szCs w:val="19"/>
                <w:color w:val="auto"/>
              </w:rPr>
            </w:pPr>
          </w:p>
        </w:tc>
        <w:tc>
          <w:tcPr>
            <w:tcW w:w="180" w:type="dxa"/>
            <w:vAlign w:val="bottom"/>
            <w:gridSpan w:val="3"/>
          </w:tcPr>
          <w:p>
            <w:pPr>
              <w:spacing w:after="0"/>
              <w:rPr>
                <w:sz w:val="19"/>
                <w:szCs w:val="19"/>
                <w:color w:val="auto"/>
              </w:rPr>
            </w:pPr>
          </w:p>
        </w:tc>
        <w:tc>
          <w:tcPr>
            <w:tcW w:w="800" w:type="dxa"/>
            <w:vAlign w:val="bottom"/>
            <w:tcBorders>
              <w:top w:val="single" w:sz="8" w:color="auto"/>
            </w:tcBorders>
          </w:tcPr>
          <w:p>
            <w:pPr>
              <w:jc w:val="right"/>
              <w:ind w:right="636"/>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8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72" w:lineRule="exact"/>
        <w:rPr>
          <w:sz w:val="20"/>
          <w:szCs w:val="20"/>
          <w:color w:val="auto"/>
        </w:rPr>
      </w:pPr>
    </w:p>
    <w:p>
      <w:pPr>
        <w:jc w:val="both"/>
        <w:ind w:left="340" w:hanging="332"/>
        <w:spacing w:after="0" w:line="257"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summary of free cash flow has been prepared to highlight and facilitate understanding of the principal cash flow elements. Free cash flow is not a measure of financial performance under generally accepted accounting principles and is not intended to replace the consolidated statement of cash flows that was prepared in accordance with generally accepted accounting principles.</w:t>
      </w:r>
    </w:p>
    <w:p>
      <w:pPr>
        <w:spacing w:after="0" w:line="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amounts associated with business acquisitions consummated during the applicable period except where noted.</w:t>
      </w:r>
    </w:p>
    <w:p>
      <w:pPr>
        <w:spacing w:after="0" w:line="9" w:lineRule="exact"/>
        <w:rPr>
          <w:rFonts w:ascii="Times New Roman" w:cs="Times New Roman" w:eastAsia="Times New Roman" w:hAnsi="Times New Roman"/>
          <w:sz w:val="18"/>
          <w:szCs w:val="18"/>
          <w:color w:val="auto"/>
        </w:rPr>
      </w:pPr>
    </w:p>
    <w:p>
      <w:pPr>
        <w:ind w:left="340" w:right="20" w:hanging="332"/>
        <w:spacing w:after="0" w:line="260"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in landfill amortization was driven by landfill volume increases and changes in estimates, which includes changes in the anticipated timing of capping, closure and post-closure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272415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CERTAIN NON-GAAP MEASURES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560" w:type="dxa"/>
            <w:vAlign w:val="bottom"/>
            <w:tcBorders>
              <w:bottom w:val="single" w:sz="8" w:color="auto"/>
            </w:tcBorders>
            <w:gridSpan w:val="8"/>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Three Months Ended March 31, 2022</w:t>
            </w: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4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3"/>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Income from</w:t>
            </w:r>
          </w:p>
        </w:tc>
        <w:tc>
          <w:tcPr>
            <w:tcW w:w="160" w:type="dxa"/>
            <w:vAlign w:val="bottom"/>
          </w:tcPr>
          <w:p>
            <w:pPr>
              <w:spacing w:after="0"/>
              <w:rPr>
                <w:sz w:val="16"/>
                <w:szCs w:val="16"/>
                <w:color w:val="auto"/>
              </w:rPr>
            </w:pPr>
          </w:p>
        </w:tc>
        <w:tc>
          <w:tcPr>
            <w:tcW w:w="1060" w:type="dxa"/>
            <w:vAlign w:val="bottom"/>
            <w:gridSpan w:val="2"/>
          </w:tcPr>
          <w:p>
            <w:pPr>
              <w:ind w:left="60"/>
              <w:spacing w:after="0" w:line="188" w:lineRule="exact"/>
              <w:rPr>
                <w:sz w:val="20"/>
                <w:szCs w:val="20"/>
                <w:color w:val="auto"/>
              </w:rPr>
            </w:pPr>
            <w:r>
              <w:rPr>
                <w:rFonts w:ascii="Times New Roman" w:cs="Times New Roman" w:eastAsia="Times New Roman" w:hAnsi="Times New Roman"/>
                <w:sz w:val="18"/>
                <w:szCs w:val="18"/>
                <w:b w:val="1"/>
                <w:bCs w:val="1"/>
                <w:color w:val="auto"/>
              </w:rPr>
              <w:t>Pre-tax</w:t>
            </w:r>
          </w:p>
        </w:tc>
        <w:tc>
          <w:tcPr>
            <w:tcW w:w="120" w:type="dxa"/>
            <w:vAlign w:val="bottom"/>
          </w:tcPr>
          <w:p>
            <w:pPr>
              <w:spacing w:after="0"/>
              <w:rPr>
                <w:sz w:val="16"/>
                <w:szCs w:val="16"/>
                <w:color w:val="auto"/>
              </w:rPr>
            </w:pPr>
          </w:p>
        </w:tc>
        <w:tc>
          <w:tcPr>
            <w:tcW w:w="1160" w:type="dxa"/>
            <w:vAlign w:val="bottom"/>
            <w:gridSpan w:val="2"/>
          </w:tcPr>
          <w:p>
            <w:pPr>
              <w:jc w:val="center"/>
              <w:ind w:right="325"/>
              <w:spacing w:after="0" w:line="188" w:lineRule="exact"/>
              <w:rPr>
                <w:sz w:val="20"/>
                <w:szCs w:val="20"/>
                <w:color w:val="auto"/>
              </w:rPr>
            </w:pPr>
            <w:r>
              <w:rPr>
                <w:rFonts w:ascii="Times New Roman" w:cs="Times New Roman" w:eastAsia="Times New Roman" w:hAnsi="Times New Roman"/>
                <w:sz w:val="18"/>
                <w:szCs w:val="18"/>
                <w:b w:val="1"/>
                <w:bCs w:val="1"/>
                <w:color w:val="auto"/>
                <w:w w:val="93"/>
              </w:rPr>
              <w:t>Tax</w:t>
            </w:r>
          </w:p>
        </w:tc>
        <w:tc>
          <w:tcPr>
            <w:tcW w:w="120" w:type="dxa"/>
            <w:vAlign w:val="bottom"/>
          </w:tcPr>
          <w:p>
            <w:pPr>
              <w:spacing w:after="0"/>
              <w:rPr>
                <w:sz w:val="16"/>
                <w:szCs w:val="16"/>
                <w:color w:val="auto"/>
              </w:rPr>
            </w:pPr>
          </w:p>
        </w:tc>
        <w:tc>
          <w:tcPr>
            <w:tcW w:w="1100" w:type="dxa"/>
            <w:vAlign w:val="bottom"/>
            <w:gridSpan w:val="2"/>
          </w:tcPr>
          <w:p>
            <w:pPr>
              <w:jc w:val="center"/>
              <w:ind w:right="320"/>
              <w:spacing w:after="0" w:line="188" w:lineRule="exact"/>
              <w:rPr>
                <w:sz w:val="20"/>
                <w:szCs w:val="20"/>
                <w:color w:val="auto"/>
              </w:rPr>
            </w:pPr>
            <w:r>
              <w:rPr>
                <w:rFonts w:ascii="Times New Roman" w:cs="Times New Roman" w:eastAsia="Times New Roman" w:hAnsi="Times New Roman"/>
                <w:sz w:val="18"/>
                <w:szCs w:val="18"/>
                <w:b w:val="1"/>
                <w:bCs w:val="1"/>
                <w:color w:val="auto"/>
                <w:w w:val="96"/>
              </w:rPr>
              <w:t>Net</w:t>
            </w:r>
          </w:p>
        </w:tc>
        <w:tc>
          <w:tcPr>
            <w:tcW w:w="100" w:type="dxa"/>
            <w:vAlign w:val="bottom"/>
          </w:tcPr>
          <w:p>
            <w:pPr>
              <w:spacing w:after="0"/>
              <w:rPr>
                <w:sz w:val="16"/>
                <w:szCs w:val="16"/>
                <w:color w:val="auto"/>
              </w:rPr>
            </w:pPr>
          </w:p>
        </w:tc>
        <w:tc>
          <w:tcPr>
            <w:tcW w:w="1020" w:type="dxa"/>
            <w:vAlign w:val="bottom"/>
          </w:tcPr>
          <w:p>
            <w:pPr>
              <w:jc w:val="center"/>
              <w:ind w:right="10"/>
              <w:spacing w:after="0" w:line="188" w:lineRule="exact"/>
              <w:rPr>
                <w:sz w:val="20"/>
                <w:szCs w:val="20"/>
                <w:color w:val="auto"/>
              </w:rPr>
            </w:pPr>
            <w:r>
              <w:rPr>
                <w:rFonts w:ascii="Times New Roman" w:cs="Times New Roman" w:eastAsia="Times New Roman" w:hAnsi="Times New Roman"/>
                <w:sz w:val="18"/>
                <w:szCs w:val="18"/>
                <w:b w:val="1"/>
                <w:bCs w:val="1"/>
                <w:color w:val="auto"/>
                <w:w w:val="99"/>
              </w:rPr>
              <w:t>Diluted Per</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2"/>
              </w:rPr>
              <w:t>Income</w:t>
            </w:r>
            <w:r>
              <w:rPr>
                <w:rFonts w:ascii="Times New Roman" w:cs="Times New Roman" w:eastAsia="Times New Roman" w:hAnsi="Times New Roman"/>
                <w:sz w:val="29"/>
                <w:szCs w:val="29"/>
                <w:b w:val="1"/>
                <w:bCs w:val="1"/>
                <w:color w:val="auto"/>
                <w:w w:val="92"/>
                <w:vertAlign w:val="superscript"/>
              </w:rPr>
              <w:t>(a)</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Share</w:t>
            </w:r>
          </w:p>
        </w:tc>
        <w:tc>
          <w:tcPr>
            <w:tcW w:w="0" w:type="dxa"/>
            <w:vAlign w:val="bottom"/>
          </w:tcPr>
          <w:p>
            <w:pPr>
              <w:spacing w:after="0"/>
              <w:rPr>
                <w:sz w:val="1"/>
                <w:szCs w:val="1"/>
                <w:color w:val="auto"/>
              </w:rPr>
            </w:pPr>
          </w:p>
        </w:tc>
      </w:tr>
      <w:tr>
        <w:trPr>
          <w:trHeight w:val="238"/>
        </w:trPr>
        <w:tc>
          <w:tcPr>
            <w:tcW w:w="4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Operations</w:t>
            </w:r>
          </w:p>
        </w:tc>
        <w:tc>
          <w:tcPr>
            <w:tcW w:w="160" w:type="dxa"/>
            <w:vAlign w:val="bottom"/>
          </w:tcPr>
          <w:p>
            <w:pPr>
              <w:spacing w:after="0"/>
              <w:rPr>
                <w:sz w:val="20"/>
                <w:szCs w:val="20"/>
                <w:color w:val="auto"/>
              </w:rPr>
            </w:pP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120" w:type="dxa"/>
            <w:vAlign w:val="bottom"/>
          </w:tcPr>
          <w:p>
            <w:pPr>
              <w:spacing w:after="0"/>
              <w:rPr>
                <w:sz w:val="20"/>
                <w:szCs w:val="20"/>
                <w:color w:val="auto"/>
              </w:rPr>
            </w:pPr>
          </w:p>
        </w:tc>
        <w:tc>
          <w:tcPr>
            <w:tcW w:w="1160" w:type="dxa"/>
            <w:vAlign w:val="bottom"/>
            <w:gridSpan w:val="2"/>
          </w:tcPr>
          <w:p>
            <w:pPr>
              <w:jc w:val="center"/>
              <w:ind w:right="325"/>
              <w:spacing w:after="0"/>
              <w:rPr>
                <w:sz w:val="20"/>
                <w:szCs w:val="20"/>
                <w:color w:val="auto"/>
              </w:rPr>
            </w:pPr>
            <w:r>
              <w:rPr>
                <w:rFonts w:ascii="Times New Roman" w:cs="Times New Roman" w:eastAsia="Times New Roman" w:hAnsi="Times New Roman"/>
                <w:sz w:val="18"/>
                <w:szCs w:val="18"/>
                <w:b w:val="1"/>
                <w:bCs w:val="1"/>
                <w:color w:val="auto"/>
                <w:w w:val="99"/>
              </w:rPr>
              <w:t>Expense</w:t>
            </w:r>
          </w:p>
        </w:tc>
        <w:tc>
          <w:tcPr>
            <w:tcW w:w="120" w:type="dxa"/>
            <w:vAlign w:val="bottom"/>
          </w:tcPr>
          <w:p>
            <w:pPr>
              <w:spacing w:after="0"/>
              <w:rPr>
                <w:sz w:val="20"/>
                <w:szCs w:val="20"/>
                <w:color w:val="auto"/>
              </w:rPr>
            </w:pPr>
          </w:p>
        </w:tc>
        <w:tc>
          <w:tcPr>
            <w:tcW w:w="110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0" w:type="dxa"/>
            <w:vAlign w:val="bottom"/>
          </w:tcPr>
          <w:p>
            <w:pPr>
              <w:spacing w:after="0"/>
              <w:rPr>
                <w:sz w:val="1"/>
                <w:szCs w:val="1"/>
                <w:color w:val="auto"/>
              </w:rPr>
            </w:pPr>
          </w:p>
        </w:tc>
      </w:tr>
      <w:tr>
        <w:trPr>
          <w:trHeight w:val="209"/>
        </w:trPr>
        <w:tc>
          <w:tcPr>
            <w:tcW w:w="4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reported amounts</w:t>
            </w:r>
          </w:p>
        </w:tc>
        <w:tc>
          <w:tcPr>
            <w:tcW w:w="1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768</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671</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157</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513</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94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Enterprise resource planning system implementation-related</w:t>
            </w: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costs</w:t>
            </w:r>
          </w:p>
        </w:tc>
        <w:tc>
          <w:tcPr>
            <w:tcW w:w="1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05"/>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Advanced Disposal integration-related costs</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8"/>
                <w:szCs w:val="18"/>
                <w:color w:val="auto"/>
              </w:rPr>
            </w:pPr>
          </w:p>
        </w:tc>
        <w:tc>
          <w:tcPr>
            <w:tcW w:w="1160" w:type="dxa"/>
            <w:vAlign w:val="bottom"/>
            <w:gridSpan w:val="2"/>
          </w:tcPr>
          <w:p>
            <w:pPr>
              <w:jc w:val="right"/>
              <w:ind w:right="205"/>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940" w:type="dxa"/>
            <w:vAlign w:val="bottom"/>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color w:val="auto"/>
              </w:rPr>
              <w:t>Other, net</w:t>
            </w:r>
            <w:r>
              <w:rPr>
                <w:rFonts w:ascii="Times New Roman" w:cs="Times New Roman" w:eastAsia="Times New Roman" w:hAnsi="Times New Roman"/>
                <w:sz w:val="29"/>
                <w:szCs w:val="29"/>
                <w:color w:val="auto"/>
                <w:vertAlign w:val="superscript"/>
              </w:rPr>
              <w:t>(c)</w:t>
            </w:r>
          </w:p>
        </w:tc>
        <w:tc>
          <w:tcPr>
            <w:tcW w:w="14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205"/>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4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0.06</w:t>
            </w:r>
          </w:p>
        </w:tc>
        <w:tc>
          <w:tcPr>
            <w:tcW w:w="0" w:type="dxa"/>
            <w:vAlign w:val="bottom"/>
          </w:tcPr>
          <w:p>
            <w:pPr>
              <w:spacing w:after="0"/>
              <w:rPr>
                <w:sz w:val="1"/>
                <w:szCs w:val="1"/>
                <w:color w:val="auto"/>
              </w:rPr>
            </w:pPr>
          </w:p>
        </w:tc>
      </w:tr>
      <w:tr>
        <w:trPr>
          <w:trHeight w:val="223"/>
        </w:trPr>
        <w:tc>
          <w:tcPr>
            <w:tcW w:w="49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adjusted amounts</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165</w:t>
            </w:r>
          </w:p>
        </w:tc>
        <w:tc>
          <w:tcPr>
            <w:tcW w:w="2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(b)</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4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40" w:type="dxa"/>
            <w:vAlign w:val="bottom"/>
            <w:tcBorders>
              <w:bottom w:val="single" w:sz="8" w:color="CCEEFF"/>
            </w:tcBorders>
            <w:vMerge w:val="continue"/>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482</w:t>
            </w:r>
          </w:p>
        </w:tc>
        <w:tc>
          <w:tcPr>
            <w:tcW w:w="220" w:type="dxa"/>
            <w:vAlign w:val="bottom"/>
            <w:tcBorders>
              <w:bottom w:val="single" w:sz="8" w:color="CCEEFF"/>
            </w:tcBorders>
            <w:vMerge w:val="continue"/>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84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80" w:type="dxa"/>
            <w:vAlign w:val="bottom"/>
            <w:tcBorders>
              <w:bottom w:val="single" w:sz="8" w:color="CCEEFF"/>
            </w:tcBorders>
          </w:tcPr>
          <w:p>
            <w:pPr>
              <w:spacing w:after="0"/>
              <w:rPr>
                <w:sz w:val="17"/>
                <w:szCs w:val="17"/>
                <w:color w:val="auto"/>
              </w:rPr>
            </w:pPr>
          </w:p>
        </w:tc>
        <w:tc>
          <w:tcPr>
            <w:tcW w:w="2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8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adjusted operating EBITDA</w:t>
            </w:r>
          </w:p>
        </w:tc>
        <w:tc>
          <w:tcPr>
            <w:tcW w:w="14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1,285</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560" w:type="dxa"/>
            <w:vAlign w:val="bottom"/>
            <w:gridSpan w:val="8"/>
            <w:vMerge w:val="restart"/>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Three Months Ended March 31, 2021</w:t>
            </w: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4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gridSpan w:val="8"/>
            <w:vMerge w:val="continue"/>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4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3"/>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Income from</w:t>
            </w:r>
          </w:p>
        </w:tc>
        <w:tc>
          <w:tcPr>
            <w:tcW w:w="160" w:type="dxa"/>
            <w:vAlign w:val="bottom"/>
          </w:tcPr>
          <w:p>
            <w:pPr>
              <w:spacing w:after="0"/>
              <w:rPr>
                <w:sz w:val="16"/>
                <w:szCs w:val="16"/>
                <w:color w:val="auto"/>
              </w:rPr>
            </w:pPr>
          </w:p>
        </w:tc>
        <w:tc>
          <w:tcPr>
            <w:tcW w:w="1060" w:type="dxa"/>
            <w:vAlign w:val="bottom"/>
            <w:gridSpan w:val="2"/>
          </w:tcPr>
          <w:p>
            <w:pPr>
              <w:ind w:left="60"/>
              <w:spacing w:after="0" w:line="188" w:lineRule="exact"/>
              <w:rPr>
                <w:sz w:val="20"/>
                <w:szCs w:val="20"/>
                <w:color w:val="auto"/>
              </w:rPr>
            </w:pPr>
            <w:r>
              <w:rPr>
                <w:rFonts w:ascii="Times New Roman" w:cs="Times New Roman" w:eastAsia="Times New Roman" w:hAnsi="Times New Roman"/>
                <w:sz w:val="18"/>
                <w:szCs w:val="18"/>
                <w:b w:val="1"/>
                <w:bCs w:val="1"/>
                <w:color w:val="auto"/>
              </w:rPr>
              <w:t>Pre-tax</w:t>
            </w:r>
          </w:p>
        </w:tc>
        <w:tc>
          <w:tcPr>
            <w:tcW w:w="120" w:type="dxa"/>
            <w:vAlign w:val="bottom"/>
          </w:tcPr>
          <w:p>
            <w:pPr>
              <w:spacing w:after="0"/>
              <w:rPr>
                <w:sz w:val="16"/>
                <w:szCs w:val="16"/>
                <w:color w:val="auto"/>
              </w:rPr>
            </w:pPr>
          </w:p>
        </w:tc>
        <w:tc>
          <w:tcPr>
            <w:tcW w:w="1160" w:type="dxa"/>
            <w:vAlign w:val="bottom"/>
            <w:gridSpan w:val="2"/>
          </w:tcPr>
          <w:p>
            <w:pPr>
              <w:jc w:val="center"/>
              <w:ind w:right="325"/>
              <w:spacing w:after="0" w:line="188" w:lineRule="exact"/>
              <w:rPr>
                <w:sz w:val="20"/>
                <w:szCs w:val="20"/>
                <w:color w:val="auto"/>
              </w:rPr>
            </w:pPr>
            <w:r>
              <w:rPr>
                <w:rFonts w:ascii="Times New Roman" w:cs="Times New Roman" w:eastAsia="Times New Roman" w:hAnsi="Times New Roman"/>
                <w:sz w:val="18"/>
                <w:szCs w:val="18"/>
                <w:b w:val="1"/>
                <w:bCs w:val="1"/>
                <w:color w:val="auto"/>
                <w:w w:val="93"/>
              </w:rPr>
              <w:t>Tax</w:t>
            </w:r>
          </w:p>
        </w:tc>
        <w:tc>
          <w:tcPr>
            <w:tcW w:w="120" w:type="dxa"/>
            <w:vAlign w:val="bottom"/>
          </w:tcPr>
          <w:p>
            <w:pPr>
              <w:spacing w:after="0"/>
              <w:rPr>
                <w:sz w:val="16"/>
                <w:szCs w:val="16"/>
                <w:color w:val="auto"/>
              </w:rPr>
            </w:pPr>
          </w:p>
        </w:tc>
        <w:tc>
          <w:tcPr>
            <w:tcW w:w="1100" w:type="dxa"/>
            <w:vAlign w:val="bottom"/>
            <w:gridSpan w:val="2"/>
          </w:tcPr>
          <w:p>
            <w:pPr>
              <w:jc w:val="center"/>
              <w:ind w:right="320"/>
              <w:spacing w:after="0" w:line="188" w:lineRule="exact"/>
              <w:rPr>
                <w:sz w:val="20"/>
                <w:szCs w:val="20"/>
                <w:color w:val="auto"/>
              </w:rPr>
            </w:pPr>
            <w:r>
              <w:rPr>
                <w:rFonts w:ascii="Times New Roman" w:cs="Times New Roman" w:eastAsia="Times New Roman" w:hAnsi="Times New Roman"/>
                <w:sz w:val="18"/>
                <w:szCs w:val="18"/>
                <w:b w:val="1"/>
                <w:bCs w:val="1"/>
                <w:color w:val="auto"/>
                <w:w w:val="96"/>
              </w:rPr>
              <w:t>Net</w:t>
            </w:r>
          </w:p>
        </w:tc>
        <w:tc>
          <w:tcPr>
            <w:tcW w:w="100" w:type="dxa"/>
            <w:vAlign w:val="bottom"/>
          </w:tcPr>
          <w:p>
            <w:pPr>
              <w:spacing w:after="0"/>
              <w:rPr>
                <w:sz w:val="16"/>
                <w:szCs w:val="16"/>
                <w:color w:val="auto"/>
              </w:rPr>
            </w:pPr>
          </w:p>
        </w:tc>
        <w:tc>
          <w:tcPr>
            <w:tcW w:w="1020" w:type="dxa"/>
            <w:vAlign w:val="bottom"/>
          </w:tcPr>
          <w:p>
            <w:pPr>
              <w:jc w:val="center"/>
              <w:ind w:right="10"/>
              <w:spacing w:after="0" w:line="188" w:lineRule="exact"/>
              <w:rPr>
                <w:sz w:val="20"/>
                <w:szCs w:val="20"/>
                <w:color w:val="auto"/>
              </w:rPr>
            </w:pPr>
            <w:r>
              <w:rPr>
                <w:rFonts w:ascii="Times New Roman" w:cs="Times New Roman" w:eastAsia="Times New Roman" w:hAnsi="Times New Roman"/>
                <w:sz w:val="18"/>
                <w:szCs w:val="18"/>
                <w:b w:val="1"/>
                <w:bCs w:val="1"/>
                <w:color w:val="auto"/>
                <w:w w:val="99"/>
              </w:rPr>
              <w:t>Diluted Per</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2"/>
              </w:rPr>
              <w:t>Income</w:t>
            </w:r>
            <w:r>
              <w:rPr>
                <w:rFonts w:ascii="Times New Roman" w:cs="Times New Roman" w:eastAsia="Times New Roman" w:hAnsi="Times New Roman"/>
                <w:sz w:val="29"/>
                <w:szCs w:val="29"/>
                <w:b w:val="1"/>
                <w:bCs w:val="1"/>
                <w:color w:val="auto"/>
                <w:w w:val="92"/>
                <w:vertAlign w:val="superscript"/>
              </w:rPr>
              <w:t>(a)</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Share</w:t>
            </w:r>
          </w:p>
        </w:tc>
        <w:tc>
          <w:tcPr>
            <w:tcW w:w="0" w:type="dxa"/>
            <w:vAlign w:val="bottom"/>
          </w:tcPr>
          <w:p>
            <w:pPr>
              <w:spacing w:after="0"/>
              <w:rPr>
                <w:sz w:val="1"/>
                <w:szCs w:val="1"/>
                <w:color w:val="auto"/>
              </w:rPr>
            </w:pPr>
          </w:p>
        </w:tc>
      </w:tr>
      <w:tr>
        <w:trPr>
          <w:trHeight w:val="238"/>
        </w:trPr>
        <w:tc>
          <w:tcPr>
            <w:tcW w:w="4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Operations</w:t>
            </w:r>
          </w:p>
        </w:tc>
        <w:tc>
          <w:tcPr>
            <w:tcW w:w="160" w:type="dxa"/>
            <w:vAlign w:val="bottom"/>
          </w:tcPr>
          <w:p>
            <w:pPr>
              <w:spacing w:after="0"/>
              <w:rPr>
                <w:sz w:val="20"/>
                <w:szCs w:val="20"/>
                <w:color w:val="auto"/>
              </w:rPr>
            </w:pP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120" w:type="dxa"/>
            <w:vAlign w:val="bottom"/>
          </w:tcPr>
          <w:p>
            <w:pPr>
              <w:spacing w:after="0"/>
              <w:rPr>
                <w:sz w:val="20"/>
                <w:szCs w:val="20"/>
                <w:color w:val="auto"/>
              </w:rPr>
            </w:pPr>
          </w:p>
        </w:tc>
        <w:tc>
          <w:tcPr>
            <w:tcW w:w="1160" w:type="dxa"/>
            <w:vAlign w:val="bottom"/>
            <w:gridSpan w:val="2"/>
          </w:tcPr>
          <w:p>
            <w:pPr>
              <w:jc w:val="center"/>
              <w:ind w:right="325"/>
              <w:spacing w:after="0"/>
              <w:rPr>
                <w:sz w:val="20"/>
                <w:szCs w:val="20"/>
                <w:color w:val="auto"/>
              </w:rPr>
            </w:pPr>
            <w:r>
              <w:rPr>
                <w:rFonts w:ascii="Times New Roman" w:cs="Times New Roman" w:eastAsia="Times New Roman" w:hAnsi="Times New Roman"/>
                <w:sz w:val="18"/>
                <w:szCs w:val="18"/>
                <w:b w:val="1"/>
                <w:bCs w:val="1"/>
                <w:color w:val="auto"/>
                <w:w w:val="99"/>
              </w:rPr>
              <w:t>Expense</w:t>
            </w:r>
          </w:p>
        </w:tc>
        <w:tc>
          <w:tcPr>
            <w:tcW w:w="120" w:type="dxa"/>
            <w:vAlign w:val="bottom"/>
          </w:tcPr>
          <w:p>
            <w:pPr>
              <w:spacing w:after="0"/>
              <w:rPr>
                <w:sz w:val="20"/>
                <w:szCs w:val="20"/>
                <w:color w:val="auto"/>
              </w:rPr>
            </w:pPr>
          </w:p>
        </w:tc>
        <w:tc>
          <w:tcPr>
            <w:tcW w:w="110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0" w:type="dxa"/>
            <w:vAlign w:val="bottom"/>
          </w:tcPr>
          <w:p>
            <w:pPr>
              <w:spacing w:after="0"/>
              <w:rPr>
                <w:sz w:val="1"/>
                <w:szCs w:val="1"/>
                <w:color w:val="auto"/>
              </w:rPr>
            </w:pPr>
          </w:p>
        </w:tc>
      </w:tr>
      <w:tr>
        <w:trPr>
          <w:trHeight w:val="210"/>
        </w:trPr>
        <w:tc>
          <w:tcPr>
            <w:tcW w:w="4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reported amounts</w:t>
            </w:r>
          </w:p>
        </w:tc>
        <w:tc>
          <w:tcPr>
            <w:tcW w:w="1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650</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545</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124</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421</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0.99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94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Enterprise resource planning system implementation-related</w:t>
            </w: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costs</w:t>
            </w:r>
          </w:p>
        </w:tc>
        <w:tc>
          <w:tcPr>
            <w:tcW w:w="1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05"/>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Advanced Disposal integration-related costs</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18"/>
                <w:szCs w:val="18"/>
                <w:color w:val="auto"/>
              </w:rPr>
            </w:pPr>
          </w:p>
        </w:tc>
        <w:tc>
          <w:tcPr>
            <w:tcW w:w="1160" w:type="dxa"/>
            <w:vAlign w:val="bottom"/>
            <w:gridSpan w:val="2"/>
          </w:tcPr>
          <w:p>
            <w:pPr>
              <w:jc w:val="right"/>
              <w:ind w:right="205"/>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from divestitures, asset impairments and unusual items, net</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5"/>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0.07</w:t>
            </w:r>
          </w:p>
        </w:tc>
        <w:tc>
          <w:tcPr>
            <w:tcW w:w="0" w:type="dxa"/>
            <w:vAlign w:val="bottom"/>
          </w:tcPr>
          <w:p>
            <w:pPr>
              <w:spacing w:after="0"/>
              <w:rPr>
                <w:sz w:val="1"/>
                <w:szCs w:val="1"/>
                <w:color w:val="auto"/>
              </w:rPr>
            </w:pPr>
          </w:p>
        </w:tc>
      </w:tr>
      <w:tr>
        <w:trPr>
          <w:trHeight w:val="223"/>
        </w:trPr>
        <w:tc>
          <w:tcPr>
            <w:tcW w:w="49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adjusted amounts</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134</w:t>
            </w:r>
          </w:p>
        </w:tc>
        <w:tc>
          <w:tcPr>
            <w:tcW w:w="2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(b)</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4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940" w:type="dxa"/>
            <w:vAlign w:val="bottom"/>
            <w:tcBorders>
              <w:bottom w:val="single" w:sz="8" w:color="CCEEFF"/>
            </w:tcBorders>
            <w:vMerge w:val="continue"/>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472</w:t>
            </w:r>
          </w:p>
        </w:tc>
        <w:tc>
          <w:tcPr>
            <w:tcW w:w="220" w:type="dxa"/>
            <w:vAlign w:val="bottom"/>
            <w:tcBorders>
              <w:bottom w:val="single" w:sz="8" w:color="CCEEFF"/>
            </w:tcBorders>
            <w:vMerge w:val="continue"/>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84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80" w:type="dxa"/>
            <w:vAlign w:val="bottom"/>
            <w:tcBorders>
              <w:bottom w:val="single" w:sz="8" w:color="CCEEFF"/>
            </w:tcBorders>
          </w:tcPr>
          <w:p>
            <w:pPr>
              <w:spacing w:after="0"/>
              <w:rPr>
                <w:sz w:val="17"/>
                <w:szCs w:val="17"/>
                <w:color w:val="auto"/>
              </w:rPr>
            </w:pPr>
          </w:p>
        </w:tc>
        <w:tc>
          <w:tcPr>
            <w:tcW w:w="2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8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adjusted operating EBITDA</w:t>
            </w:r>
          </w:p>
        </w:tc>
        <w:tc>
          <w:tcPr>
            <w:tcW w:w="14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1,161</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45" w:lineRule="exact"/>
        <w:rPr>
          <w:sz w:val="20"/>
          <w:szCs w:val="20"/>
          <w:color w:val="auto"/>
        </w:rPr>
      </w:pPr>
    </w:p>
    <w:p>
      <w:pPr>
        <w:ind w:left="340" w:right="20" w:hanging="332"/>
        <w:spacing w:after="0" w:line="261"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press release table, all references to “Net income” refer to the financial statement line item “Net income attributable to Waste Management, Inc.”</w:t>
      </w:r>
    </w:p>
    <w:p>
      <w:pPr>
        <w:jc w:val="both"/>
        <w:ind w:left="340" w:hanging="332"/>
        <w:spacing w:after="0" w:line="250"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calculates its effective tax rate based on actual dollars. When the effective tax rate is calculated by dividing the Tax Expense amount in the table above by the Pre-tax Income amount, differences occur due to rounding, as these items have been rounded in millions. The first quarter 2022 and 2021 adjusted effective tax rates were 23.5% and 22.8%, respectively.</w:t>
      </w:r>
    </w:p>
    <w:p>
      <w:pPr>
        <w:spacing w:after="0" w:line="1" w:lineRule="exact"/>
        <w:rPr>
          <w:rFonts w:ascii="Times New Roman" w:cs="Times New Roman" w:eastAsia="Times New Roman" w:hAnsi="Times New Roman"/>
          <w:sz w:val="18"/>
          <w:szCs w:val="18"/>
          <w:color w:val="auto"/>
        </w:rPr>
      </w:pPr>
    </w:p>
    <w:p>
      <w:pPr>
        <w:ind w:left="340" w:hanging="332"/>
        <w:spacing w:after="0" w:line="260"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 $17 million charge to increase the recorded liability for a subsidiary’s estimated potential share of a proposed environmental remediation plan at a closed 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CERTAIN NON-GAAP MEASURES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8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040" w:type="dxa"/>
            <w:vAlign w:val="bottom"/>
            <w:tcBorders>
              <w:bottom w:val="single" w:sz="8" w:color="auto"/>
            </w:tcBorders>
            <w:gridSpan w:val="7"/>
          </w:tcPr>
          <w:p>
            <w:pPr>
              <w:ind w:left="4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0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980" w:type="dxa"/>
            <w:vAlign w:val="bottom"/>
            <w:gridSpan w:val="9"/>
          </w:tcPr>
          <w:p>
            <w:pPr>
              <w:jc w:val="right"/>
              <w:ind w:right="1180"/>
              <w:spacing w:after="0"/>
              <w:rPr>
                <w:sz w:val="20"/>
                <w:szCs w:val="20"/>
                <w:color w:val="auto"/>
              </w:rPr>
            </w:pPr>
            <w:r>
              <w:rPr>
                <w:rFonts w:ascii="Times New Roman" w:cs="Times New Roman" w:eastAsia="Times New Roman" w:hAnsi="Times New Roman"/>
                <w:sz w:val="18"/>
                <w:szCs w:val="18"/>
                <w:b w:val="1"/>
                <w:bCs w:val="1"/>
                <w:color w:val="auto"/>
              </w:rPr>
              <w:t>March 31, 2022</w:t>
            </w:r>
          </w:p>
        </w:tc>
        <w:tc>
          <w:tcPr>
            <w:tcW w:w="200" w:type="dxa"/>
            <w:vAlign w:val="bottom"/>
          </w:tcPr>
          <w:p>
            <w:pPr>
              <w:spacing w:after="0"/>
              <w:rPr>
                <w:sz w:val="19"/>
                <w:szCs w:val="19"/>
                <w:color w:val="auto"/>
              </w:rPr>
            </w:pPr>
          </w:p>
        </w:tc>
        <w:tc>
          <w:tcPr>
            <w:tcW w:w="2600" w:type="dxa"/>
            <w:vAlign w:val="bottom"/>
            <w:gridSpan w:val="3"/>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March 31, 2021</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508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ind w:left="100"/>
              <w:spacing w:after="0" w:line="201" w:lineRule="exact"/>
              <w:rPr>
                <w:sz w:val="20"/>
                <w:szCs w:val="20"/>
                <w:color w:val="auto"/>
              </w:rPr>
            </w:pPr>
            <w:r>
              <w:rPr>
                <w:rFonts w:ascii="Times New Roman" w:cs="Times New Roman" w:eastAsia="Times New Roman" w:hAnsi="Times New Roman"/>
                <w:sz w:val="18"/>
                <w:szCs w:val="18"/>
                <w:b w:val="1"/>
                <w:bCs w:val="1"/>
                <w:color w:val="auto"/>
              </w:rPr>
              <w:t>As a % of</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right"/>
              <w:ind w:right="150"/>
              <w:spacing w:after="0" w:line="201" w:lineRule="exact"/>
              <w:rPr>
                <w:sz w:val="20"/>
                <w:szCs w:val="20"/>
                <w:color w:val="auto"/>
              </w:rPr>
            </w:pPr>
            <w:r>
              <w:rPr>
                <w:rFonts w:ascii="Times New Roman" w:cs="Times New Roman" w:eastAsia="Times New Roman" w:hAnsi="Times New Roman"/>
                <w:sz w:val="18"/>
                <w:szCs w:val="18"/>
                <w:b w:val="1"/>
                <w:bCs w:val="1"/>
                <w:color w:val="auto"/>
              </w:rPr>
              <w:t>As a % of</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50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00" w:type="dxa"/>
            <w:vAlign w:val="bottom"/>
          </w:tcPr>
          <w:p>
            <w:pPr>
              <w:spacing w:after="0"/>
              <w:rPr>
                <w:sz w:val="20"/>
                <w:szCs w:val="20"/>
                <w:color w:val="auto"/>
              </w:rPr>
            </w:pPr>
          </w:p>
        </w:tc>
        <w:tc>
          <w:tcPr>
            <w:tcW w:w="13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4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0" w:type="dxa"/>
            <w:vAlign w:val="bottom"/>
          </w:tcPr>
          <w:p>
            <w:pPr>
              <w:spacing w:after="0"/>
              <w:rPr>
                <w:sz w:val="1"/>
                <w:szCs w:val="1"/>
                <w:color w:val="auto"/>
              </w:rPr>
            </w:pPr>
          </w:p>
        </w:tc>
      </w:tr>
      <w:tr>
        <w:trPr>
          <w:trHeight w:val="209"/>
        </w:trPr>
        <w:tc>
          <w:tcPr>
            <w:tcW w:w="5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SG&amp;A Expenses and Adjusted SG&amp;A Expenses Margin</w:t>
            </w:r>
          </w:p>
        </w:tc>
        <w:tc>
          <w:tcPr>
            <w:tcW w:w="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right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revenues, as reported</w:t>
            </w:r>
          </w:p>
        </w:tc>
        <w:tc>
          <w:tcPr>
            <w:tcW w:w="20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4,661</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4,112</w:t>
            </w: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SG&amp;A expenses, as reported</w:t>
            </w:r>
          </w:p>
        </w:tc>
        <w:tc>
          <w:tcPr>
            <w:tcW w:w="20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491</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10.5%</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458</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11.1%</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Enterprise resource planning system implementation-related costs</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w:t>
            </w: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Advanced Disposal integration-related costs</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w:t>
            </w:r>
          </w:p>
        </w:tc>
        <w:tc>
          <w:tcPr>
            <w:tcW w:w="1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adjusted SG&amp;A expenses</w:t>
            </w:r>
          </w:p>
        </w:tc>
        <w:tc>
          <w:tcPr>
            <w:tcW w:w="200" w:type="dxa"/>
            <w:vAlign w:val="bottom"/>
            <w:tcBorders>
              <w:top w:val="single" w:sz="8" w:color="auto"/>
              <w:bottom w:val="single" w:sz="8" w:color="auto"/>
            </w:tcBorders>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80" w:type="dxa"/>
            <w:vAlign w:val="bottom"/>
            <w:tcBorders>
              <w:top w:val="single" w:sz="8" w:color="CCEEFF"/>
              <w:bottom w:val="single" w:sz="8" w:color="CCEEFF"/>
            </w:tcBorders>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10.1%</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438</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42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10.7%</w:t>
            </w:r>
          </w:p>
        </w:tc>
        <w:tc>
          <w:tcPr>
            <w:tcW w:w="0" w:type="dxa"/>
            <w:vAlign w:val="bottom"/>
          </w:tcPr>
          <w:p>
            <w:pPr>
              <w:spacing w:after="0"/>
              <w:rPr>
                <w:sz w:val="1"/>
                <w:szCs w:val="1"/>
                <w:color w:val="auto"/>
              </w:rPr>
            </w:pPr>
          </w:p>
        </w:tc>
      </w:tr>
      <w:tr>
        <w:trPr>
          <w:trHeight w:val="20"/>
        </w:trPr>
        <w:tc>
          <w:tcPr>
            <w:tcW w:w="50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2022 Projected Free Cash Flow Reconciliation</w:t>
            </w:r>
            <w:r>
              <w:rPr>
                <w:rFonts w:ascii="Times New Roman" w:cs="Times New Roman" w:eastAsia="Times New Roman" w:hAnsi="Times New Roman"/>
                <w:sz w:val="29"/>
                <w:szCs w:val="29"/>
                <w:b w:val="1"/>
                <w:bCs w:val="1"/>
                <w:i w:val="1"/>
                <w:iCs w:val="1"/>
                <w:color w:val="auto"/>
                <w:vertAlign w:val="superscript"/>
              </w:rPr>
              <w:t>(a)</w:t>
            </w: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508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Scenario 1</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Scenario 2</w:t>
            </w: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4,525</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4,675</w:t>
            </w:r>
          </w:p>
        </w:tc>
        <w:tc>
          <w:tcPr>
            <w:tcW w:w="80" w:type="dxa"/>
            <w:vAlign w:val="bottom"/>
            <w:tcBorders>
              <w:top w:val="single" w:sz="8" w:color="CCEEFF"/>
              <w:right w:val="single" w:sz="8" w:color="CCEEFF"/>
            </w:tcBorders>
            <w:shd w:val="clear" w:color="auto" w:fill="CCEEFF"/>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Capital expenditures to support the business</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(1,950)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(2,050)</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0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Proceeds from divestitures of businesses and other assets, net of</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divested</w:t>
            </w: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tcBorders>
              <w:right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75</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Free cash flow without sustainability growth investments</w:t>
            </w:r>
          </w:p>
        </w:tc>
        <w:tc>
          <w:tcPr>
            <w:tcW w:w="4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2,600</w:t>
            </w:r>
          </w:p>
        </w:tc>
        <w:tc>
          <w:tcPr>
            <w:tcW w:w="220" w:type="dxa"/>
            <w:vAlign w:val="bottom"/>
          </w:tcPr>
          <w:p>
            <w:pPr>
              <w:spacing w:after="0"/>
              <w:rPr>
                <w:sz w:val="18"/>
                <w:szCs w:val="18"/>
                <w:color w:val="auto"/>
              </w:rPr>
            </w:pPr>
          </w:p>
        </w:tc>
        <w:tc>
          <w:tcPr>
            <w:tcW w:w="160" w:type="dxa"/>
            <w:vAlign w:val="bottom"/>
            <w:tcBorders>
              <w:top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2,700</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expenditures - sustainability growth investments</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(550)</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tcBorders>
              <w:right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(550)</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Free cash flow</w:t>
            </w:r>
          </w:p>
        </w:tc>
        <w:tc>
          <w:tcPr>
            <w:tcW w:w="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2,050</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2,150</w:t>
            </w:r>
          </w:p>
        </w:tc>
        <w:tc>
          <w:tcPr>
            <w:tcW w:w="8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45" w:lineRule="exact"/>
        <w:rPr>
          <w:sz w:val="20"/>
          <w:szCs w:val="20"/>
          <w:color w:val="auto"/>
        </w:rPr>
      </w:pPr>
    </w:p>
    <w:p>
      <w:pPr>
        <w:ind w:firstLine="8"/>
        <w:spacing w:after="0" w:line="282" w:lineRule="auto"/>
        <w:tabs>
          <w:tab w:leader="none" w:pos="247"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reconciliation includes two scenarios that illustrate our projected free cash flow range for 2022. The amounts used in the reconciliation are subject to many variables, some of which are not under our control and, therefore, are not necessarily indicative of actual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SUPPLEMENTAL INFORMATION PROVIDED FOR ILLUSTRATIVE PURPOSES ONLY</w:t>
      </w:r>
    </w:p>
    <w:p>
      <w:pPr>
        <w:spacing w:after="0" w:line="3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Diversity in the structure of recycling contracts results in different accounting treatment for commodity rebates. In accordance with revenue recognition guidance, our Company records gross recycling revenue and records rebates paid to customers as cost of goods sold. Other contract structures allow for netting of rebates against revenue.</w:t>
      </w:r>
    </w:p>
    <w:p>
      <w:pPr>
        <w:spacing w:after="0" w:line="17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Additionally, there are differences in whether companies adjust for accretion expense in their calculation of EBITDA. Our Company does not adjust for landfill accretion expenses when calculating operating EBITDA, while other companies do adjust it for the calculation of their EBITDA measure.</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table below illustrates the impact that differing contract structures and treatment of accretion expense has on the Company’s adjusted operating EBITDA margin results. This information has been provided to enhance comparability and is not intended to replace or adjust GAAP reported results.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6"/>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5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2"/>
          </w:tcPr>
          <w:p>
            <w:pPr>
              <w:jc w:val="right"/>
              <w:ind w:right="11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2"/>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60" w:type="dxa"/>
            <w:vAlign w:val="bottom"/>
          </w:tcPr>
          <w:p>
            <w:pPr>
              <w:spacing w:after="0"/>
              <w:rPr>
                <w:sz w:val="19"/>
                <w:szCs w:val="19"/>
                <w:color w:val="auto"/>
              </w:rPr>
            </w:pPr>
          </w:p>
        </w:tc>
      </w:tr>
      <w:tr>
        <w:trPr>
          <w:trHeight w:val="187"/>
        </w:trPr>
        <w:tc>
          <w:tcPr>
            <w:tcW w:w="5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Change in</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Change in</w:t>
            </w:r>
          </w:p>
        </w:tc>
        <w:tc>
          <w:tcPr>
            <w:tcW w:w="160" w:type="dxa"/>
            <w:vAlign w:val="bottom"/>
          </w:tcPr>
          <w:p>
            <w:pPr>
              <w:spacing w:after="0"/>
              <w:rPr>
                <w:sz w:val="16"/>
                <w:szCs w:val="16"/>
                <w:color w:val="auto"/>
              </w:rPr>
            </w:pPr>
          </w:p>
        </w:tc>
      </w:tr>
      <w:tr>
        <w:trPr>
          <w:trHeight w:val="216"/>
        </w:trPr>
        <w:tc>
          <w:tcPr>
            <w:tcW w:w="5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Adjusted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Adjusted</w:t>
            </w:r>
          </w:p>
        </w:tc>
      </w:tr>
      <w:tr>
        <w:trPr>
          <w:trHeight w:val="216"/>
        </w:trPr>
        <w:tc>
          <w:tcPr>
            <w:tcW w:w="5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Operating</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Operating</w:t>
            </w:r>
          </w:p>
        </w:tc>
      </w:tr>
      <w:tr>
        <w:trPr>
          <w:trHeight w:val="238"/>
        </w:trPr>
        <w:tc>
          <w:tcPr>
            <w:tcW w:w="51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EBITDA Margin</w:t>
            </w:r>
          </w:p>
        </w:tc>
        <w:tc>
          <w:tcPr>
            <w:tcW w:w="26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4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EBITDA Margin</w:t>
            </w:r>
          </w:p>
        </w:tc>
        <w:tc>
          <w:tcPr>
            <w:tcW w:w="160" w:type="dxa"/>
            <w:vAlign w:val="bottom"/>
            <w:tcBorders>
              <w:bottom w:val="single" w:sz="8" w:color="CCEEFF"/>
            </w:tcBorders>
          </w:tcPr>
          <w:p>
            <w:pPr>
              <w:spacing w:after="0"/>
              <w:rPr>
                <w:sz w:val="20"/>
                <w:szCs w:val="20"/>
                <w:color w:val="auto"/>
              </w:rPr>
            </w:pPr>
          </w:p>
        </w:tc>
      </w:tr>
      <w:tr>
        <w:trPr>
          <w:trHeight w:val="209"/>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Recycling commodity rebates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r>
      <w:tr>
        <w:trPr>
          <w:trHeight w:val="234"/>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Accretion expense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w:t>
            </w:r>
          </w:p>
        </w:tc>
        <w:tc>
          <w:tcPr>
            <w:tcW w:w="19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0.6%</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w:t>
            </w:r>
          </w:p>
        </w:tc>
        <w:tc>
          <w:tcPr>
            <w:tcW w:w="18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0.7%</w:t>
            </w:r>
          </w:p>
        </w:tc>
      </w:tr>
      <w:tr>
        <w:trPr>
          <w:trHeight w:val="657"/>
        </w:trPr>
        <w:tc>
          <w:tcPr>
            <w:tcW w:w="5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1"/>
      <w:numFmt w:val="decimal"/>
      <w:start w:val="104"/>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1)"/>
      <w:numFmt w:val="lowerLetter"/>
      <w:start w:val="1"/>
    </w:lvl>
  </w:abstractNum>
  <w:abstractNum w:abstractNumId="8">
    <w:nsid w:val="1F16E9E8"/>
    <w:multiLevelType w:val="hybridMultilevel"/>
    <w:lvl w:ilvl="0">
      <w:lvlJc w:val="left"/>
      <w:lvlText w:val="(%1)"/>
      <w:numFmt w:val="lowerLetter"/>
      <w:start w:val="2"/>
    </w:lvl>
  </w:abstractNum>
  <w:abstractNum w:abstractNumId="9">
    <w:nsid w:val="1190CDE7"/>
    <w:multiLevelType w:val="hybridMultilevel"/>
    <w:lvl w:ilvl="0">
      <w:lvlJc w:val="left"/>
      <w:lvlText w:val="(%1)"/>
      <w:numFmt w:val="lowerLetter"/>
      <w:start w:val="1"/>
    </w:lvl>
  </w:abstractNum>
  <w:abstractNum w:abstractNumId="10">
    <w:nsid w:val="66EF438D"/>
    <w:multiLevelType w:val="hybridMultilevel"/>
    <w:lvl w:ilvl="0">
      <w:lvlJc w:val="left"/>
      <w:lvlText w:val="(%1)"/>
      <w:numFmt w:val="lowerLetter"/>
      <w:start w:val="1"/>
    </w:lvl>
  </w:abstractNum>
  <w:abstractNum w:abstractNumId="11">
    <w:nsid w:val="140E0F76"/>
    <w:multiLevelType w:val="hybridMultilevel"/>
    <w:lvl w:ilvl="0">
      <w:lvlJc w:val="left"/>
      <w:lvlText w:val="(%1)"/>
      <w:numFmt w:val="lowerLetter"/>
      <w:start w:val="1"/>
    </w:lvl>
  </w:abstractNum>
  <w:abstractNum w:abstractNumId="12">
    <w:nsid w:val="3352255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2022-04-26T06:50:35Z</dcterms:created>
  <dcterms:modified xsi:type="dcterms:W3CDTF">2022-04-26T06:50:35Z</dcterms:modified>
</cp:coreProperties>
</file>