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3,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On June 3, 2010, Waste Management, Inc. (the “Company”) commenced an underwritten public offering of $600,000,000 aggregate principal amount of its 4.75% Senior Notes due 2020 (the “Notes”) under the Company’s Registration Statement on Form S-3 (No. 333-162059) (the “Registration Statement”). The Notes, which will be fully and unconditionally guaranteed by the Company’s wholly owned subsidiary Waste Management Holdings, Inc. (“WM Holdings”), were sold pursuant to an underwriting agreement (the “Underwriting Agreement”) entered into on June 3, 2010 among the Company and WM Holdings and Banc of America Securities LLC, Barclays Capital Inc., Citigroup Global Markets Inc. and Goldman, Sachs &amp; Co. as representatives of the several underwriters set forth therein.</w:t>
      </w:r>
    </w:p>
    <w:p>
      <w:pPr>
        <w:spacing w:after="0" w:line="85"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Underwriting Agreement includes the terms and conditions for the issuance and sale of the Notes, indemnification and contribution obligations and other terms and conditions customary in agreements of this type. Certain of the underwriters and their respective affiliates have, from time to time, performed, and may in the future perform, various financial advisory, investment banking and commercial banking services for the Company, for which they have received or will receive customary fees and expense reimbursements.</w:t>
      </w:r>
    </w:p>
    <w:p>
      <w:pPr>
        <w:spacing w:after="0" w:line="79" w:lineRule="exact"/>
        <w:rPr>
          <w:sz w:val="20"/>
          <w:szCs w:val="20"/>
          <w:color w:val="auto"/>
        </w:rPr>
      </w:pPr>
    </w:p>
    <w:p>
      <w:pPr>
        <w:jc w:val="both"/>
        <w:ind w:right="160" w:firstLine="222"/>
        <w:spacing w:after="0" w:line="259" w:lineRule="auto"/>
        <w:rPr>
          <w:sz w:val="20"/>
          <w:szCs w:val="20"/>
          <w:color w:val="auto"/>
        </w:rPr>
      </w:pPr>
      <w:r>
        <w:rPr>
          <w:rFonts w:ascii="Arial" w:cs="Arial" w:eastAsia="Arial" w:hAnsi="Arial"/>
          <w:sz w:val="18"/>
          <w:szCs w:val="18"/>
          <w:color w:val="auto"/>
        </w:rPr>
        <w:t>The Notes will be issued under an indenture dated as of September 10, 1997, between the Company and The Bank of New York Mellon Trust Company, N.A. (the current successor to Texas Commerce Bank National Association), as trustee (the “Indenture”). The terms of the Notes and the guarantee by WM Holdings will be set forth in an officer’s certificate of the Company (the “Officer’s Certificate”) delivered pursuant to the Indenture. Closing of the issuance and sale of the Notes is scheduled to occur on June 8, 2010.</w:t>
      </w:r>
    </w:p>
    <w:p>
      <w:pPr>
        <w:spacing w:after="0" w:line="79"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Copies of the Underwriting Agreement, the Indenture, the Officer’s Certificate and the guarantee agreement by WM Holdings are being filed as Exhibit 1.1, 4.1, 4.2 and 4.4 to this Form 8-K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90" w:lineRule="exact"/>
        <w:rPr>
          <w:sz w:val="20"/>
          <w:szCs w:val="20"/>
          <w:color w:val="auto"/>
        </w:rPr>
      </w:pPr>
    </w:p>
    <w:p>
      <w:pPr>
        <w:ind w:left="1020" w:right="540" w:hanging="809"/>
        <w:spacing w:after="0" w:line="342" w:lineRule="auto"/>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Underwriting Agreement dated June 3, 2010 by and among the Company, WM Holdings and Banc of America Securities LLC, Barclays Capital Inc., Citigroup Global Markets Inc. and Goldman, Sachs &amp; Co. as representatives of the several Underwriters named therein.</w:t>
      </w:r>
    </w:p>
    <w:p>
      <w:pPr>
        <w:spacing w:after="0" w:line="124" w:lineRule="exact"/>
        <w:rPr>
          <w:sz w:val="20"/>
          <w:szCs w:val="20"/>
          <w:color w:val="auto"/>
        </w:rPr>
      </w:pPr>
    </w:p>
    <w:p>
      <w:pPr>
        <w:ind w:left="220"/>
        <w:spacing w:after="0"/>
        <w:tabs>
          <w:tab w:leader="none" w:pos="10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Indenture dated September 10, 1997 by and between the Company and The Bank of New York Mellon Trust Company, N.A.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Exhibit</w:t>
      </w:r>
    </w:p>
    <w:p>
      <w:pPr>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060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90"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current successor to Texas Commerce Bank National Association), as Trustee, relating to senior debt securities of the Company (incorporated by reference to Exhibit 4.1 to Current Report on Form 8-K filed September 24, 1997).</w:t>
      </w:r>
    </w:p>
    <w:p>
      <w:pPr>
        <w:spacing w:after="0" w:line="170" w:lineRule="exact"/>
        <w:rPr>
          <w:sz w:val="20"/>
          <w:szCs w:val="20"/>
          <w:color w:val="auto"/>
        </w:rPr>
      </w:pPr>
    </w:p>
    <w:p>
      <w:pPr>
        <w:ind w:left="220"/>
        <w:spacing w:after="0"/>
        <w:tabs>
          <w:tab w:leader="none" w:pos="10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Officers’ Certificate delivered pursuant to Section 3.01 of the Indenture establishing the terms and form of the Notes.</w:t>
      </w:r>
    </w:p>
    <w:p>
      <w:pPr>
        <w:spacing w:after="0" w:line="225" w:lineRule="exact"/>
        <w:rPr>
          <w:sz w:val="20"/>
          <w:szCs w:val="20"/>
          <w:color w:val="auto"/>
        </w:rPr>
      </w:pPr>
    </w:p>
    <w:p>
      <w:pPr>
        <w:ind w:left="220"/>
        <w:spacing w:after="0"/>
        <w:tabs>
          <w:tab w:leader="none" w:pos="10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Note (included in Exhibit 4.2 above).</w:t>
      </w:r>
    </w:p>
    <w:p>
      <w:pPr>
        <w:spacing w:after="0" w:line="225" w:lineRule="exact"/>
        <w:rPr>
          <w:sz w:val="20"/>
          <w:szCs w:val="20"/>
          <w:color w:val="auto"/>
        </w:rPr>
      </w:pPr>
    </w:p>
    <w:p>
      <w:pPr>
        <w:ind w:left="220"/>
        <w:spacing w:after="0"/>
        <w:tabs>
          <w:tab w:leader="none" w:pos="10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Guarantee Agreement by WM Holding in favor of the holders of Waste Management, Inc.’s 4.75% Senior Notes due 2020.</w:t>
      </w:r>
    </w:p>
    <w:p>
      <w:pPr>
        <w:spacing w:after="0" w:line="225" w:lineRule="exact"/>
        <w:rPr>
          <w:sz w:val="20"/>
          <w:szCs w:val="20"/>
          <w:color w:val="auto"/>
        </w:rPr>
      </w:pPr>
    </w:p>
    <w:p>
      <w:pPr>
        <w:ind w:left="220"/>
        <w:spacing w:after="0"/>
        <w:tabs>
          <w:tab w:leader="none" w:pos="10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Baker Botts L.L.P.</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147"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June 7, 2010</w:t>
            </w: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21"/>
        </w:trPr>
        <w:tc>
          <w:tcPr>
            <w:tcW w:w="3360" w:type="dxa"/>
            <w:vAlign w:val="bottom"/>
          </w:tcPr>
          <w:p>
            <w:pPr>
              <w:spacing w:after="0"/>
              <w:rPr>
                <w:sz w:val="24"/>
                <w:szCs w:val="24"/>
                <w:color w:val="auto"/>
              </w:rPr>
            </w:pPr>
          </w:p>
        </w:tc>
        <w:tc>
          <w:tcPr>
            <w:tcW w:w="6380" w:type="dxa"/>
            <w:vAlign w:val="bottom"/>
            <w:gridSpan w:val="2"/>
          </w:tcPr>
          <w:p>
            <w:pPr>
              <w:jc w:val="right"/>
              <w:ind w:right="3890"/>
              <w:spacing w:after="0"/>
              <w:rPr>
                <w:sz w:val="20"/>
                <w:szCs w:val="20"/>
                <w:color w:val="auto"/>
              </w:rPr>
            </w:pPr>
            <w:r>
              <w:rPr>
                <w:rFonts w:ascii="Arial" w:cs="Arial" w:eastAsia="Arial" w:hAnsi="Arial"/>
                <w:sz w:val="18"/>
                <w:szCs w:val="18"/>
                <w:color w:val="auto"/>
              </w:rPr>
              <w:t>4</w:t>
            </w:r>
          </w:p>
        </w:tc>
        <w:tc>
          <w:tcPr>
            <w:tcW w:w="1680" w:type="dxa"/>
            <w:vAlign w:val="bottom"/>
          </w:tcPr>
          <w:p>
            <w:pPr>
              <w:spacing w:after="0"/>
              <w:rPr>
                <w:sz w:val="24"/>
                <w:szCs w:val="24"/>
                <w:color w:val="auto"/>
              </w:rPr>
            </w:pPr>
          </w:p>
        </w:tc>
      </w:tr>
      <w:tr>
        <w:trPr>
          <w:trHeight w:val="226"/>
        </w:trPr>
        <w:tc>
          <w:tcPr>
            <w:tcW w:w="33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jc w:val="center"/>
              <w:ind w:right="1052"/>
              <w:spacing w:after="0"/>
              <w:rPr>
                <w:sz w:val="20"/>
                <w:szCs w:val="20"/>
                <w:color w:val="auto"/>
              </w:rPr>
            </w:pPr>
            <w:r>
              <w:rPr>
                <w:rFonts w:ascii="Arial" w:cs="Arial" w:eastAsia="Arial" w:hAnsi="Arial"/>
                <w:sz w:val="18"/>
                <w:szCs w:val="18"/>
                <w:b w:val="1"/>
                <w:bCs w:val="1"/>
                <w:color w:val="auto"/>
              </w:rPr>
              <w:t>INDEX TO EXHIBITS</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Underwriting Agreement dated June 3, 2010 by and among the Company, WM Holdings and Banc of America Securities LLC, Barclays</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Capital Inc., Citigroup Global Markets Inc. and Goldman, Sachs &amp; Co. as representatives of the several Underwriters named therein.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Indenture dated September 10, 1997 by and between the Company and The Bank of New York Mellon Trust Company, N.A. (the current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successor to Texas Commerce Bank National Association), as Trustee, relating to senior debt securities of the Company (incorporated by</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4.1 to Current Report on Form 8-K filed September 24, 1997).</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Officers’ Certificate delivered pursuant to Section 3.01 of the Indenture establishing the terms and form of the Notes.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Note (included in Exhibit 4.2 above).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Form of Guarantee Agreement by WM Holding in favor of the holders of Waste Management, Inc.’s 4.75% Senior Notes due 2020.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Baker Botts L.L.P.</w:t>
            </w: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72"/>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95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$600,000,000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4.75% Senior Notes due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3, 2010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 named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II hereto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Banc of America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222"/>
        <w:spacing w:after="0" w:line="287" w:lineRule="auto"/>
        <w:rPr>
          <w:sz w:val="20"/>
          <w:szCs w:val="20"/>
          <w:color w:val="auto"/>
        </w:rPr>
      </w:pPr>
      <w:r>
        <w:rPr>
          <w:rFonts w:ascii="Arial" w:cs="Arial" w:eastAsia="Arial" w:hAnsi="Arial"/>
          <w:sz w:val="16"/>
          <w:szCs w:val="16"/>
          <w:color w:val="auto"/>
        </w:rPr>
        <w:t>Waste Management, Inc.,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named in Schedule II 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for whom you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are acting as representatives, the principal amounts of its securities identified in Schedule I hereto (the “</w:t>
      </w:r>
      <w:r>
        <w:rPr>
          <w:rFonts w:ascii="Arial" w:cs="Arial" w:eastAsia="Arial" w:hAnsi="Arial"/>
          <w:sz w:val="16"/>
          <w:szCs w:val="16"/>
          <w:u w:val="single" w:color="auto"/>
          <w:color w:val="auto"/>
        </w:rPr>
        <w:t>Notes</w:t>
      </w:r>
      <w:r>
        <w:rPr>
          <w:rFonts w:ascii="Arial" w:cs="Arial" w:eastAsia="Arial" w:hAnsi="Arial"/>
          <w:sz w:val="16"/>
          <w:szCs w:val="16"/>
          <w:color w:val="auto"/>
        </w:rPr>
        <w:t>”), to be issued under an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dated as of September 10, 1997, between the Company and The Bank of New York Mellon Trust Company, N.A. (as the current successor to Texas Commerce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and to be guaranteed on a senior unsecured basis (the “</w:t>
      </w:r>
      <w:r>
        <w:rPr>
          <w:rFonts w:ascii="Arial" w:cs="Arial" w:eastAsia="Arial" w:hAnsi="Arial"/>
          <w:sz w:val="16"/>
          <w:szCs w:val="16"/>
          <w:u w:val="single" w:color="auto"/>
          <w:color w:val="auto"/>
        </w:rPr>
        <w:t>Guarantee</w:t>
      </w:r>
      <w:r>
        <w:rPr>
          <w:rFonts w:ascii="Arial" w:cs="Arial" w:eastAsia="Arial" w:hAnsi="Arial"/>
          <w:sz w:val="16"/>
          <w:szCs w:val="16"/>
          <w:color w:val="auto"/>
        </w:rPr>
        <w:t>”) by Waste Management Holdings, Inc. (“</w:t>
      </w:r>
      <w:r>
        <w:rPr>
          <w:rFonts w:ascii="Arial" w:cs="Arial" w:eastAsia="Arial" w:hAnsi="Arial"/>
          <w:sz w:val="16"/>
          <w:szCs w:val="16"/>
          <w:u w:val="single" w:color="auto"/>
          <w:color w:val="auto"/>
        </w:rPr>
        <w:t>Holdings</w:t>
      </w:r>
      <w:r>
        <w:rPr>
          <w:rFonts w:ascii="Arial" w:cs="Arial" w:eastAsia="Arial" w:hAnsi="Arial"/>
          <w:sz w:val="16"/>
          <w:szCs w:val="16"/>
          <w:color w:val="auto"/>
        </w:rPr>
        <w:t>”) pursuant to a guarantee (the “</w:t>
      </w:r>
      <w:r>
        <w:rPr>
          <w:rFonts w:ascii="Arial" w:cs="Arial" w:eastAsia="Arial" w:hAnsi="Arial"/>
          <w:sz w:val="16"/>
          <w:szCs w:val="16"/>
          <w:u w:val="single" w:color="auto"/>
          <w:color w:val="auto"/>
        </w:rPr>
        <w:t>Guarantee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in favor of the holders of the Notes to be dated as of the Closing Date (as defined in Section 3 hereof). The Notes and the Guarantee are sometimes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365760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right="800"/>
        <w:spacing w:after="0" w:line="277" w:lineRule="auto"/>
        <w:rPr>
          <w:sz w:val="20"/>
          <w:szCs w:val="20"/>
          <w:color w:val="auto"/>
        </w:rPr>
      </w:pPr>
      <w:r>
        <w:rPr>
          <w:rFonts w:ascii="Arial" w:cs="Arial" w:eastAsia="Arial" w:hAnsi="Arial"/>
          <w:sz w:val="18"/>
          <w:szCs w:val="18"/>
          <w:color w:val="auto"/>
        </w:rPr>
        <w:t>the Effective Date of the Registration Statement or the date of the Preliminary Prospectus or the Final Prospectus, as the case may be, deemed to be incorporated therein by reference. Certain terms used herein are defined in Section 18 hereof.</w:t>
      </w:r>
    </w:p>
    <w:p>
      <w:pPr>
        <w:spacing w:after="0" w:line="62"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At or prior to the Time of Sale, the Company had prepared the following information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Act) listed on Annex A hereto.</w:t>
      </w:r>
    </w:p>
    <w:p>
      <w:pPr>
        <w:spacing w:after="0" w:line="62" w:lineRule="exact"/>
        <w:rPr>
          <w:sz w:val="20"/>
          <w:szCs w:val="20"/>
          <w:color w:val="auto"/>
        </w:rPr>
      </w:pPr>
    </w:p>
    <w:p>
      <w:pPr>
        <w:ind w:right="80" w:firstLine="233"/>
        <w:spacing w:after="0" w:line="277"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Company and Holdings represents and warrants to, and agrees with, each Underwriter as set forth below in this Section 1.</w:t>
      </w:r>
    </w:p>
    <w:p>
      <w:pPr>
        <w:spacing w:after="0" w:line="62" w:lineRule="exact"/>
        <w:rPr>
          <w:rFonts w:ascii="Arial" w:cs="Arial" w:eastAsia="Arial" w:hAnsi="Arial"/>
          <w:sz w:val="18"/>
          <w:szCs w:val="18"/>
          <w:color w:val="auto"/>
        </w:rPr>
      </w:pPr>
    </w:p>
    <w:p>
      <w:pPr>
        <w:ind w:left="240" w:right="20" w:firstLine="221"/>
        <w:spacing w:after="0" w:line="289" w:lineRule="auto"/>
        <w:tabs>
          <w:tab w:leader="none" w:pos="710" w:val="left"/>
        </w:tabs>
        <w:numPr>
          <w:ilvl w:val="2"/>
          <w:numId w:val="2"/>
        </w:numPr>
        <w:rPr>
          <w:rFonts w:ascii="Arial" w:cs="Arial" w:eastAsia="Arial" w:hAnsi="Arial"/>
          <w:sz w:val="16"/>
          <w:szCs w:val="16"/>
          <w:color w:val="auto"/>
        </w:rPr>
      </w:pPr>
      <w:r>
        <w:rPr>
          <w:rFonts w:ascii="Arial" w:cs="Arial" w:eastAsia="Arial" w:hAnsi="Arial"/>
          <w:sz w:val="16"/>
          <w:szCs w:val="16"/>
          <w:color w:val="auto"/>
        </w:rPr>
        <w:t>The Company meets the requirements for use of Form S-3 under the Act and has prepared and filed with the Commission a registration statement (File Number 333-162059) on Form S-3, including a related basic prospectus, for registration under the Act of the offering and sale of the Securities. The Registration Statement is an “automatic effective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58" w:lineRule="exact"/>
        <w:rPr>
          <w:rFonts w:ascii="Arial" w:cs="Arial" w:eastAsia="Arial" w:hAnsi="Arial"/>
          <w:sz w:val="16"/>
          <w:szCs w:val="16"/>
          <w:color w:val="auto"/>
        </w:rPr>
      </w:pPr>
    </w:p>
    <w:p>
      <w:pPr>
        <w:ind w:left="240" w:firstLine="221"/>
        <w:spacing w:after="0" w:line="283" w:lineRule="auto"/>
        <w:tabs>
          <w:tab w:leader="none" w:pos="720" w:val="left"/>
        </w:tabs>
        <w:numPr>
          <w:ilvl w:val="2"/>
          <w:numId w:val="2"/>
        </w:numPr>
        <w:rPr>
          <w:rFonts w:ascii="Arial" w:cs="Arial" w:eastAsia="Arial" w:hAnsi="Arial"/>
          <w:sz w:val="16"/>
          <w:szCs w:val="16"/>
          <w:color w:val="auto"/>
        </w:rPr>
      </w:pPr>
      <w:r>
        <w:rPr>
          <w:rFonts w:ascii="Arial" w:cs="Arial" w:eastAsia="Arial" w:hAnsi="Arial"/>
          <w:sz w:val="16"/>
          <w:szCs w:val="16"/>
          <w:color w:val="auto"/>
        </w:rPr>
        <w:t xml:space="preserve">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(i) that part of the Registration Statement which shall constitute the Statement of Eligibility and Qualification (Form T-</w:t>
      </w:r>
    </w:p>
    <w:p>
      <w:pPr>
        <w:spacing w:after="0" w:line="5" w:lineRule="exact"/>
        <w:rPr>
          <w:rFonts w:ascii="Arial" w:cs="Arial" w:eastAsia="Arial" w:hAnsi="Arial"/>
          <w:sz w:val="16"/>
          <w:szCs w:val="16"/>
          <w:color w:val="auto"/>
        </w:rPr>
      </w:pPr>
    </w:p>
    <w:p>
      <w:pPr>
        <w:ind w:left="440" w:hanging="204"/>
        <w:spacing w:after="0"/>
        <w:tabs>
          <w:tab w:leader="none" w:pos="440" w:val="left"/>
        </w:tabs>
        <w:numPr>
          <w:ilvl w:val="1"/>
          <w:numId w:val="2"/>
        </w:numPr>
        <w:rPr>
          <w:rFonts w:ascii="Arial" w:cs="Arial" w:eastAsia="Arial" w:hAnsi="Arial"/>
          <w:sz w:val="18"/>
          <w:szCs w:val="18"/>
          <w:color w:val="auto"/>
        </w:rPr>
      </w:pPr>
      <w:r>
        <w:rPr>
          <w:rFonts w:ascii="Arial" w:cs="Arial" w:eastAsia="Arial" w:hAnsi="Arial"/>
          <w:sz w:val="18"/>
          <w:szCs w:val="18"/>
          <w:color w:val="auto"/>
        </w:rPr>
        <w:t>under the Trust Indenture Act of the Trustee or (ii) the information contained in or omitted from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40"/>
        <w:spacing w:after="0" w:line="264" w:lineRule="auto"/>
        <w:rPr>
          <w:sz w:val="20"/>
          <w:szCs w:val="20"/>
          <w:color w:val="auto"/>
        </w:rPr>
      </w:pPr>
      <w:r>
        <w:rPr>
          <w:rFonts w:ascii="Arial" w:cs="Arial" w:eastAsia="Arial" w:hAnsi="Arial"/>
          <w:sz w:val="18"/>
          <w:szCs w:val="18"/>
          <w:color w:val="auto"/>
        </w:rPr>
        <w:t>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73" w:lineRule="exact"/>
        <w:rPr>
          <w:sz w:val="20"/>
          <w:szCs w:val="20"/>
          <w:color w:val="auto"/>
        </w:rPr>
      </w:pPr>
    </w:p>
    <w:p>
      <w:pPr>
        <w:ind w:right="80" w:firstLine="221"/>
        <w:spacing w:after="0" w:line="293" w:lineRule="auto"/>
        <w:tabs>
          <w:tab w:leader="none" w:pos="47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56" w:lineRule="exact"/>
        <w:rPr>
          <w:rFonts w:ascii="Arial" w:cs="Arial" w:eastAsia="Arial" w:hAnsi="Arial"/>
          <w:sz w:val="16"/>
          <w:szCs w:val="16"/>
          <w:color w:val="auto"/>
        </w:rPr>
      </w:pPr>
    </w:p>
    <w:p>
      <w:pPr>
        <w:ind w:firstLine="221"/>
        <w:spacing w:after="0" w:line="286"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Act or Rule 134 under the Act, (ii) the Preliminary Prospectus, (iii) the Final Prospectus, (iv) the documents constituting the Time of Sale Information,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66" w:lineRule="exact"/>
        <w:rPr>
          <w:rFonts w:ascii="Arial" w:cs="Arial" w:eastAsia="Arial" w:hAnsi="Arial"/>
          <w:sz w:val="16"/>
          <w:szCs w:val="16"/>
          <w:color w:val="auto"/>
        </w:rPr>
      </w:pPr>
    </w:p>
    <w:p>
      <w:pPr>
        <w:ind w:right="140" w:firstLine="221"/>
        <w:spacing w:after="0" w:line="259"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w:t>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8" w:name="page9"/>
    <w:bookmarkEnd w:id="8"/>
    <w:p>
      <w:pPr>
        <w:ind w:right="60"/>
        <w:spacing w:after="0" w:line="302" w:lineRule="auto"/>
        <w:rPr>
          <w:sz w:val="20"/>
          <w:szCs w:val="20"/>
          <w:color w:val="auto"/>
        </w:rPr>
      </w:pPr>
      <w:r>
        <w:rPr>
          <w:rFonts w:ascii="Arial" w:cs="Arial" w:eastAsia="Arial" w:hAnsi="Arial"/>
          <w:sz w:val="16"/>
          <w:szCs w:val="16"/>
          <w:color w:val="auto"/>
        </w:rPr>
        <w:t>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46" w:lineRule="exact"/>
        <w:rPr>
          <w:sz w:val="20"/>
          <w:szCs w:val="20"/>
          <w:color w:val="auto"/>
        </w:rPr>
      </w:pPr>
    </w:p>
    <w:p>
      <w:pPr>
        <w:ind w:firstLine="221"/>
        <w:spacing w:after="0" w:line="255" w:lineRule="auto"/>
        <w:tabs>
          <w:tab w:leader="none" w:pos="4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85" w:lineRule="exact"/>
        <w:rPr>
          <w:rFonts w:ascii="Arial" w:cs="Arial" w:eastAsia="Arial" w:hAnsi="Arial"/>
          <w:sz w:val="18"/>
          <w:szCs w:val="18"/>
          <w:color w:val="auto"/>
        </w:rPr>
      </w:pPr>
    </w:p>
    <w:p>
      <w:pPr>
        <w:ind w:firstLine="221"/>
        <w:spacing w:after="0" w:line="255"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81" w:lineRule="exact"/>
        <w:rPr>
          <w:rFonts w:ascii="Arial" w:cs="Arial" w:eastAsia="Arial" w:hAnsi="Arial"/>
          <w:sz w:val="18"/>
          <w:szCs w:val="18"/>
          <w:color w:val="auto"/>
        </w:rPr>
      </w:pPr>
    </w:p>
    <w:p>
      <w:pPr>
        <w:ind w:right="80" w:firstLine="221"/>
        <w:spacing w:after="0" w:line="273" w:lineRule="auto"/>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Guarantee Agreement has been duly authorized and, when executed and delivered by Holdings against payment for the Notes in accordance with the terms thereof, will have been validly executed and delivered, and will constitute a valid and binding agreement of Holdings, enforceable against Holdings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 conforms to the description thereof in the Registration Statement, the Time of Sale Information and the Final Prospectus.</w:t>
      </w:r>
    </w:p>
    <w:p>
      <w:pPr>
        <w:spacing w:after="0" w:line="70" w:lineRule="exact"/>
        <w:rPr>
          <w:rFonts w:ascii="Arial" w:cs="Arial" w:eastAsia="Arial" w:hAnsi="Arial"/>
          <w:sz w:val="17"/>
          <w:szCs w:val="17"/>
          <w:color w:val="auto"/>
        </w:rPr>
      </w:pPr>
    </w:p>
    <w:p>
      <w:pPr>
        <w:ind w:right="460" w:firstLine="221"/>
        <w:spacing w:after="0" w:line="312"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9" w:name="page10"/>
    <w:bookmarkEnd w:id="9"/>
    <w:p>
      <w:pPr>
        <w:ind w:right="120"/>
        <w:spacing w:after="0" w:line="312" w:lineRule="auto"/>
        <w:rPr>
          <w:sz w:val="20"/>
          <w:szCs w:val="20"/>
          <w:color w:val="auto"/>
        </w:rPr>
      </w:pPr>
      <w:r>
        <w:rPr>
          <w:rFonts w:ascii="Arial" w:cs="Arial" w:eastAsia="Arial" w:hAnsi="Arial"/>
          <w:sz w:val="16"/>
          <w:szCs w:val="16"/>
          <w:color w:val="auto"/>
        </w:rPr>
        <w:t>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39" w:lineRule="exact"/>
        <w:rPr>
          <w:sz w:val="20"/>
          <w:szCs w:val="20"/>
          <w:color w:val="auto"/>
        </w:rPr>
      </w:pPr>
    </w:p>
    <w:p>
      <w:pPr>
        <w:ind w:firstLine="221"/>
        <w:spacing w:after="0" w:line="25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80" w:lineRule="exact"/>
        <w:rPr>
          <w:rFonts w:ascii="Arial" w:cs="Arial" w:eastAsia="Arial" w:hAnsi="Arial"/>
          <w:sz w:val="18"/>
          <w:szCs w:val="18"/>
          <w:color w:val="auto"/>
        </w:rPr>
      </w:pPr>
    </w:p>
    <w:p>
      <w:pPr>
        <w:ind w:right="80" w:firstLine="221"/>
        <w:spacing w:after="0" w:line="272"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of the Company’s “significant subsidiaries” (as such term is defined in Regulation S-X under the Exchange Act) is included in the list of subsidiaries on Exhibit 21.1 of the Annual Report on Form 10-K for the year ended December 31, 2009 (the “</w:t>
      </w:r>
      <w:r>
        <w:rPr>
          <w:rFonts w:ascii="Arial" w:cs="Arial" w:eastAsia="Arial" w:hAnsi="Arial"/>
          <w:sz w:val="17"/>
          <w:szCs w:val="17"/>
          <w:u w:val="single" w:color="auto"/>
          <w:color w:val="auto"/>
        </w:rPr>
        <w:t>Subsidiaries</w:t>
      </w:r>
      <w:r>
        <w:rPr>
          <w:rFonts w:ascii="Arial" w:cs="Arial" w:eastAsia="Arial" w:hAnsi="Arial"/>
          <w:sz w:val="17"/>
          <w:szCs w:val="17"/>
          <w:color w:val="auto"/>
        </w:rPr>
        <w:t>”),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69" w:lineRule="exact"/>
        <w:rPr>
          <w:rFonts w:ascii="Arial" w:cs="Arial" w:eastAsia="Arial" w:hAnsi="Arial"/>
          <w:sz w:val="17"/>
          <w:szCs w:val="17"/>
          <w:color w:val="auto"/>
        </w:rPr>
      </w:pPr>
    </w:p>
    <w:p>
      <w:pPr>
        <w:ind w:firstLine="221"/>
        <w:spacing w:after="0" w:line="255"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Arial" w:cs="Arial" w:eastAsia="Arial" w:hAnsi="Arial"/>
          <w:sz w:val="18"/>
          <w:szCs w:val="18"/>
          <w:u w:val="single" w:color="auto"/>
          <w:color w:val="auto"/>
        </w:rPr>
        <w:t>Lien</w:t>
      </w:r>
      <w:r>
        <w:rPr>
          <w:rFonts w:ascii="Arial" w:cs="Arial" w:eastAsia="Arial" w:hAnsi="Arial"/>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81" w:lineRule="exact"/>
        <w:rPr>
          <w:rFonts w:ascii="Arial" w:cs="Arial" w:eastAsia="Arial" w:hAnsi="Arial"/>
          <w:sz w:val="18"/>
          <w:szCs w:val="18"/>
          <w:color w:val="auto"/>
        </w:rPr>
      </w:pPr>
    </w:p>
    <w:p>
      <w:pPr>
        <w:ind w:left="520" w:hanging="299"/>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 and Holdings.</w:t>
      </w:r>
    </w:p>
    <w:p>
      <w:pPr>
        <w:spacing w:after="0" w:line="117" w:lineRule="exact"/>
        <w:rPr>
          <w:rFonts w:ascii="Arial" w:cs="Arial" w:eastAsia="Arial" w:hAnsi="Arial"/>
          <w:sz w:val="18"/>
          <w:szCs w:val="18"/>
          <w:color w:val="auto"/>
        </w:rPr>
      </w:pPr>
    </w:p>
    <w:p>
      <w:pPr>
        <w:ind w:right="420" w:firstLine="221"/>
        <w:spacing w:after="0" w:line="277"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Time of Sale Information and the Final Prospectus, there is no action, suit or proceeding before or by any court or governmental agency or body or any arbitrator pending against the Company</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0" w:name="page11"/>
    <w:bookmarkEnd w:id="10"/>
    <w:p>
      <w:pPr>
        <w:spacing w:after="0" w:line="289" w:lineRule="auto"/>
        <w:rPr>
          <w:sz w:val="20"/>
          <w:szCs w:val="20"/>
          <w:color w:val="auto"/>
        </w:rPr>
      </w:pPr>
      <w:r>
        <w:rPr>
          <w:rFonts w:ascii="Arial" w:cs="Arial" w:eastAsia="Arial" w:hAnsi="Arial"/>
          <w:sz w:val="16"/>
          <w:szCs w:val="16"/>
          <w:color w:val="auto"/>
        </w:rPr>
        <w:t>or any of its subsidiaries that is required to be disclosed in the Registration Statement, the Time of Sale Information and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you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59" w:lineRule="exact"/>
        <w:rPr>
          <w:sz w:val="20"/>
          <w:szCs w:val="20"/>
          <w:color w:val="auto"/>
        </w:rPr>
      </w:pPr>
    </w:p>
    <w:p>
      <w:pPr>
        <w:ind w:firstLine="221"/>
        <w:spacing w:after="0" w:line="291"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59" w:lineRule="exact"/>
        <w:rPr>
          <w:rFonts w:ascii="Arial" w:cs="Arial" w:eastAsia="Arial" w:hAnsi="Arial"/>
          <w:sz w:val="16"/>
          <w:szCs w:val="16"/>
          <w:color w:val="auto"/>
        </w:rPr>
      </w:pPr>
    </w:p>
    <w:p>
      <w:pPr>
        <w:ind w:right="60" w:firstLine="221"/>
        <w:spacing w:after="0" w:line="255"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81" w:lineRule="exact"/>
        <w:rPr>
          <w:rFonts w:ascii="Arial" w:cs="Arial" w:eastAsia="Arial" w:hAnsi="Arial"/>
          <w:sz w:val="18"/>
          <w:szCs w:val="18"/>
          <w:color w:val="auto"/>
        </w:rPr>
      </w:pPr>
    </w:p>
    <w:p>
      <w:pPr>
        <w:ind w:right="140" w:firstLine="221"/>
        <w:spacing w:after="0" w:line="286"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1" w:name="page12"/>
    <w:bookmarkEnd w:id="11"/>
    <w:p>
      <w:pPr>
        <w:ind w:right="40"/>
        <w:spacing w:after="0" w:line="342" w:lineRule="auto"/>
        <w:rPr>
          <w:sz w:val="20"/>
          <w:szCs w:val="20"/>
          <w:color w:val="auto"/>
        </w:rPr>
      </w:pPr>
      <w:r>
        <w:rPr>
          <w:rFonts w:ascii="Arial" w:cs="Arial" w:eastAsia="Arial" w:hAnsi="Arial"/>
          <w:sz w:val="16"/>
          <w:szCs w:val="16"/>
          <w:color w:val="auto"/>
        </w:rPr>
        <w:t>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16" w:lineRule="exact"/>
        <w:rPr>
          <w:sz w:val="20"/>
          <w:szCs w:val="20"/>
          <w:color w:val="auto"/>
        </w:rPr>
      </w:pPr>
    </w:p>
    <w:p>
      <w:pPr>
        <w:ind w:right="20" w:firstLine="221"/>
        <w:spacing w:after="0" w:line="264" w:lineRule="auto"/>
        <w:tabs>
          <w:tab w:leader="none" w:pos="45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73" w:lineRule="exact"/>
        <w:rPr>
          <w:rFonts w:ascii="Arial" w:cs="Arial" w:eastAsia="Arial" w:hAnsi="Arial"/>
          <w:sz w:val="18"/>
          <w:szCs w:val="18"/>
          <w:color w:val="auto"/>
        </w:rPr>
      </w:pPr>
    </w:p>
    <w:p>
      <w:pPr>
        <w:ind w:firstLine="221"/>
        <w:spacing w:after="0" w:line="25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80" w:lineRule="exact"/>
        <w:rPr>
          <w:rFonts w:ascii="Arial" w:cs="Arial" w:eastAsia="Arial" w:hAnsi="Arial"/>
          <w:sz w:val="18"/>
          <w:szCs w:val="18"/>
          <w:color w:val="auto"/>
        </w:rPr>
      </w:pPr>
    </w:p>
    <w:p>
      <w:pPr>
        <w:jc w:val="both"/>
        <w:ind w:right="80" w:firstLine="221"/>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73" w:lineRule="exact"/>
        <w:rPr>
          <w:rFonts w:ascii="Arial" w:cs="Arial" w:eastAsia="Arial" w:hAnsi="Arial"/>
          <w:sz w:val="18"/>
          <w:szCs w:val="18"/>
          <w:color w:val="auto"/>
        </w:rPr>
      </w:pPr>
    </w:p>
    <w:p>
      <w:pPr>
        <w:ind w:firstLine="221"/>
        <w:spacing w:after="0" w:line="25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78" w:lineRule="exact"/>
        <w:rPr>
          <w:rFonts w:ascii="Arial" w:cs="Arial" w:eastAsia="Arial" w:hAnsi="Arial"/>
          <w:sz w:val="18"/>
          <w:szCs w:val="18"/>
          <w:color w:val="auto"/>
        </w:rPr>
      </w:pPr>
    </w:p>
    <w:p>
      <w:pPr>
        <w:ind w:right="40" w:firstLine="221"/>
        <w:spacing w:after="0" w:line="291"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14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2" w:name="page13"/>
    <w:bookmarkEnd w:id="12"/>
    <w:p>
      <w:pPr>
        <w:ind w:firstLine="221"/>
        <w:spacing w:after="0" w:line="25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80" w:lineRule="exact"/>
        <w:rPr>
          <w:rFonts w:ascii="Arial" w:cs="Arial" w:eastAsia="Arial" w:hAnsi="Arial"/>
          <w:sz w:val="18"/>
          <w:szCs w:val="18"/>
          <w:color w:val="auto"/>
        </w:rPr>
      </w:pPr>
    </w:p>
    <w:p>
      <w:pPr>
        <w:jc w:val="both"/>
        <w:ind w:right="200" w:firstLine="221"/>
        <w:spacing w:after="0" w:line="279"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Ernst &amp; Young LLP, who has audited certain financial statements of the Company and its consolidated subsidiaries and delivered their report with respect to the audited consolidated financial statements and schedules included in the Registration Statement, the Time of Sale Information and the Final Prospectus, are an independent registered public accounting firm with respect to the Company within the applicable rules and regulations adopted by the Commission and the Public Accounting Oversight Board (United States) and as required by the Act.</w:t>
      </w:r>
    </w:p>
    <w:p>
      <w:pPr>
        <w:spacing w:after="0" w:line="63" w:lineRule="exact"/>
        <w:rPr>
          <w:rFonts w:ascii="Arial" w:cs="Arial" w:eastAsia="Arial" w:hAnsi="Arial"/>
          <w:sz w:val="17"/>
          <w:szCs w:val="17"/>
          <w:color w:val="auto"/>
        </w:rPr>
      </w:pPr>
    </w:p>
    <w:p>
      <w:pPr>
        <w:ind w:right="100" w:firstLine="221"/>
        <w:spacing w:after="0" w:line="255"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81" w:lineRule="exact"/>
        <w:rPr>
          <w:rFonts w:ascii="Arial" w:cs="Arial" w:eastAsia="Arial" w:hAnsi="Arial"/>
          <w:sz w:val="18"/>
          <w:szCs w:val="18"/>
          <w:color w:val="auto"/>
        </w:rPr>
      </w:pPr>
    </w:p>
    <w:p>
      <w:pPr>
        <w:ind w:right="60" w:firstLine="221"/>
        <w:spacing w:after="0" w:line="259" w:lineRule="auto"/>
        <w:tabs>
          <w:tab w:leader="none" w:pos="47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79" w:lineRule="exact"/>
        <w:rPr>
          <w:sz w:val="20"/>
          <w:szCs w:val="20"/>
          <w:color w:val="auto"/>
        </w:rPr>
      </w:pPr>
    </w:p>
    <w:p>
      <w:pPr>
        <w:ind w:right="120" w:firstLine="221"/>
        <w:spacing w:after="0" w:line="273" w:lineRule="auto"/>
        <w:tabs>
          <w:tab w:leader="none" w:pos="55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the Company and each of its Subsidiaries are insured by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there are no claims by the Company or any of its Subsidiaries under any such policy or instrument as to which any insurance company is denying liability or defending under a reservation of rights clause; and neither the Company nor any such Subsidiary has been refused any insurance coverage</w:t>
      </w:r>
    </w:p>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3" w:name="page14"/>
    <w:bookmarkEnd w:id="13"/>
    <w:p>
      <w:pPr>
        <w:ind w:left="4" w:right="40"/>
        <w:spacing w:after="0" w:line="297" w:lineRule="auto"/>
        <w:rPr>
          <w:sz w:val="20"/>
          <w:szCs w:val="20"/>
          <w:color w:val="auto"/>
        </w:rPr>
      </w:pPr>
      <w:r>
        <w:rPr>
          <w:rFonts w:ascii="Arial" w:cs="Arial" w:eastAsia="Arial" w:hAnsi="Arial"/>
          <w:sz w:val="16"/>
          <w:szCs w:val="16"/>
          <w:color w:val="auto"/>
        </w:rPr>
        <w:t>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50" w:lineRule="exact"/>
        <w:rPr>
          <w:sz w:val="20"/>
          <w:szCs w:val="20"/>
          <w:color w:val="auto"/>
        </w:rPr>
      </w:pPr>
    </w:p>
    <w:p>
      <w:pPr>
        <w:jc w:val="both"/>
        <w:ind w:left="4" w:firstLine="221"/>
        <w:spacing w:after="0" w:line="279" w:lineRule="auto"/>
        <w:tabs>
          <w:tab w:leader="none" w:pos="574" w:val="left"/>
        </w:tabs>
        <w:numPr>
          <w:ilvl w:val="1"/>
          <w:numId w:val="10"/>
        </w:numPr>
        <w:rPr>
          <w:rFonts w:ascii="Arial" w:cs="Arial" w:eastAsia="Arial" w:hAnsi="Arial"/>
          <w:sz w:val="17"/>
          <w:szCs w:val="17"/>
          <w:color w:val="auto"/>
        </w:rPr>
      </w:pPr>
      <w:r>
        <w:rPr>
          <w:rFonts w:ascii="Arial" w:cs="Arial" w:eastAsia="Arial" w:hAnsi="Arial"/>
          <w:sz w:val="17"/>
          <w:szCs w:val="17"/>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Time of Sale Information and the Final Prospectus (exclusive of any amendment or supplement thereto).</w:t>
      </w:r>
    </w:p>
    <w:p>
      <w:pPr>
        <w:spacing w:after="0" w:line="63" w:lineRule="exact"/>
        <w:rPr>
          <w:rFonts w:ascii="Arial" w:cs="Arial" w:eastAsia="Arial" w:hAnsi="Arial"/>
          <w:sz w:val="17"/>
          <w:szCs w:val="17"/>
          <w:color w:val="auto"/>
        </w:rPr>
      </w:pPr>
    </w:p>
    <w:p>
      <w:pPr>
        <w:ind w:left="4" w:right="20" w:firstLine="221"/>
        <w:spacing w:after="0" w:line="255" w:lineRule="auto"/>
        <w:tabs>
          <w:tab w:leader="none" w:pos="5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85" w:lineRule="exact"/>
        <w:rPr>
          <w:rFonts w:ascii="Arial" w:cs="Arial" w:eastAsia="Arial" w:hAnsi="Arial"/>
          <w:sz w:val="18"/>
          <w:szCs w:val="18"/>
          <w:color w:val="auto"/>
        </w:rPr>
      </w:pPr>
    </w:p>
    <w:p>
      <w:pPr>
        <w:ind w:left="564" w:hanging="339"/>
        <w:spacing w:after="0"/>
        <w:tabs>
          <w:tab w:leader="none" w:pos="56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a system of internal accounting controls sufficient to provide reasonable assurance that</w:t>
      </w:r>
    </w:p>
    <w:p>
      <w:pPr>
        <w:spacing w:after="0" w:line="34" w:lineRule="exact"/>
        <w:rPr>
          <w:rFonts w:ascii="Arial" w:cs="Arial" w:eastAsia="Arial" w:hAnsi="Arial"/>
          <w:sz w:val="17"/>
          <w:szCs w:val="17"/>
          <w:color w:val="auto"/>
        </w:rPr>
      </w:pPr>
    </w:p>
    <w:p>
      <w:pPr>
        <w:ind w:left="4" w:right="140" w:hanging="4"/>
        <w:spacing w:after="0" w:line="281" w:lineRule="auto"/>
        <w:tabs>
          <w:tab w:leader="none" w:pos="21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w:t>
      </w:r>
    </w:p>
    <w:p>
      <w:pPr>
        <w:spacing w:after="0" w:line="1" w:lineRule="exact"/>
        <w:rPr>
          <w:rFonts w:ascii="Arial" w:cs="Arial" w:eastAsia="Arial" w:hAnsi="Arial"/>
          <w:sz w:val="16"/>
          <w:szCs w:val="16"/>
          <w:color w:val="auto"/>
        </w:rPr>
      </w:pPr>
    </w:p>
    <w:p>
      <w:pPr>
        <w:ind w:left="4" w:right="40" w:hanging="4"/>
        <w:spacing w:after="0" w:line="290" w:lineRule="auto"/>
        <w:tabs>
          <w:tab w:leader="none" w:pos="319"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53" w:lineRule="exact"/>
        <w:rPr>
          <w:rFonts w:ascii="Arial" w:cs="Arial" w:eastAsia="Arial" w:hAnsi="Arial"/>
          <w:sz w:val="17"/>
          <w:szCs w:val="17"/>
          <w:color w:val="auto"/>
        </w:rPr>
      </w:pPr>
    </w:p>
    <w:p>
      <w:pPr>
        <w:jc w:val="both"/>
        <w:ind w:left="4" w:right="280" w:firstLine="221"/>
        <w:spacing w:after="0" w:line="264" w:lineRule="auto"/>
        <w:tabs>
          <w:tab w:leader="none" w:pos="5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73" w:lineRule="exact"/>
        <w:rPr>
          <w:rFonts w:ascii="Arial" w:cs="Arial" w:eastAsia="Arial" w:hAnsi="Arial"/>
          <w:sz w:val="18"/>
          <w:szCs w:val="18"/>
          <w:color w:val="auto"/>
        </w:rPr>
      </w:pPr>
    </w:p>
    <w:p>
      <w:pPr>
        <w:ind w:left="4" w:right="840" w:firstLine="221"/>
        <w:spacing w:after="0" w:line="277" w:lineRule="auto"/>
        <w:tabs>
          <w:tab w:leader="none" w:pos="5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and its subsidiaries (i) are in compliance with any and all applicable foreign, federal, state and local laws, regulations and requirements relating to pollution, the protection of natural resources, human health and safety, the environment</w:t>
      </w:r>
    </w:p>
    <w:p>
      <w:pPr>
        <w:spacing w:after="0" w:line="143"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14" w:name="page15"/>
    <w:bookmarkEnd w:id="14"/>
    <w:p>
      <w:pPr>
        <w:ind w:left="4"/>
        <w:spacing w:after="0"/>
        <w:rPr>
          <w:sz w:val="20"/>
          <w:szCs w:val="20"/>
          <w:color w:val="auto"/>
        </w:rPr>
      </w:pPr>
      <w:r>
        <w:rPr>
          <w:rFonts w:ascii="Arial" w:cs="Arial" w:eastAsia="Arial" w:hAnsi="Arial"/>
          <w:sz w:val="17"/>
          <w:szCs w:val="17"/>
          <w:color w:val="auto"/>
        </w:rPr>
        <w:t>or hazardous or toxic substances or wastes, solid wastes, petroleum hydrocarbons or products, pollutants or contaminants (“</w:t>
      </w:r>
      <w:r>
        <w:rPr>
          <w:rFonts w:ascii="Arial" w:cs="Arial" w:eastAsia="Arial" w:hAnsi="Arial"/>
          <w:sz w:val="17"/>
          <w:szCs w:val="17"/>
          <w:u w:val="single" w:color="auto"/>
          <w:color w:val="auto"/>
        </w:rPr>
        <w:t>Environmental Laws</w:t>
      </w:r>
      <w:r>
        <w:rPr>
          <w:rFonts w:ascii="Arial" w:cs="Arial" w:eastAsia="Arial" w:hAnsi="Arial"/>
          <w:sz w:val="17"/>
          <w:szCs w:val="17"/>
          <w:color w:val="auto"/>
        </w:rPr>
        <w:t>”),</w:t>
      </w:r>
    </w:p>
    <w:p>
      <w:pPr>
        <w:spacing w:after="0" w:line="35" w:lineRule="exact"/>
        <w:rPr>
          <w:sz w:val="20"/>
          <w:szCs w:val="20"/>
          <w:color w:val="auto"/>
        </w:rPr>
      </w:pPr>
    </w:p>
    <w:p>
      <w:pPr>
        <w:ind w:left="4" w:right="60" w:hanging="4"/>
        <w:spacing w:after="0" w:line="251" w:lineRule="auto"/>
        <w:tabs>
          <w:tab w:leader="none" w:pos="2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90" w:lineRule="exact"/>
        <w:rPr>
          <w:rFonts w:ascii="Arial" w:cs="Arial" w:eastAsia="Arial" w:hAnsi="Arial"/>
          <w:sz w:val="18"/>
          <w:szCs w:val="18"/>
          <w:color w:val="auto"/>
        </w:rPr>
      </w:pPr>
    </w:p>
    <w:p>
      <w:pPr>
        <w:ind w:left="4" w:right="280" w:firstLine="221"/>
        <w:spacing w:after="0" w:line="272" w:lineRule="auto"/>
        <w:tabs>
          <w:tab w:leader="none" w:pos="574"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69" w:lineRule="exact"/>
        <w:rPr>
          <w:rFonts w:ascii="Arial" w:cs="Arial" w:eastAsia="Arial" w:hAnsi="Arial"/>
          <w:sz w:val="17"/>
          <w:szCs w:val="17"/>
          <w:color w:val="auto"/>
        </w:rPr>
      </w:pPr>
    </w:p>
    <w:p>
      <w:pPr>
        <w:ind w:left="4" w:firstLine="221"/>
        <w:spacing w:after="0" w:line="291" w:lineRule="auto"/>
        <w:tabs>
          <w:tab w:leader="none" w:pos="57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Arial" w:cs="Arial" w:eastAsia="Arial" w:hAnsi="Arial"/>
          <w:sz w:val="16"/>
          <w:szCs w:val="16"/>
          <w:u w:val="single" w:color="auto"/>
          <w:color w:val="auto"/>
        </w:rPr>
        <w:t>ERISA</w:t>
      </w:r>
      <w:r>
        <w:rPr>
          <w:rFonts w:ascii="Arial" w:cs="Arial" w:eastAsia="Arial" w:hAnsi="Arial"/>
          <w:sz w:val="16"/>
          <w:szCs w:val="16"/>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59" w:lineRule="exact"/>
        <w:rPr>
          <w:rFonts w:ascii="Arial" w:cs="Arial" w:eastAsia="Arial" w:hAnsi="Arial"/>
          <w:sz w:val="16"/>
          <w:szCs w:val="16"/>
          <w:color w:val="auto"/>
        </w:rPr>
      </w:pPr>
    </w:p>
    <w:p>
      <w:pPr>
        <w:ind w:left="484" w:hanging="259"/>
        <w:spacing w:after="0"/>
        <w:tabs>
          <w:tab w:leader="none" w:pos="484" w:val="left"/>
        </w:tabs>
        <w:numPr>
          <w:ilvl w:val="1"/>
          <w:numId w:val="13"/>
        </w:numPr>
        <w:rPr>
          <w:rFonts w:ascii="Arial" w:cs="Arial" w:eastAsia="Arial" w:hAnsi="Arial"/>
          <w:sz w:val="17"/>
          <w:szCs w:val="17"/>
          <w:color w:val="auto"/>
        </w:rPr>
      </w:pPr>
      <w:r>
        <w:rPr>
          <w:rFonts w:ascii="Arial" w:cs="Arial" w:eastAsia="Arial" w:hAnsi="Arial"/>
          <w:sz w:val="17"/>
          <w:szCs w:val="17"/>
          <w:color w:val="auto"/>
        </w:rPr>
        <w:t>No holders of securities of the Company or Holdings have rights to the registration of such securities under the Registration Statement.</w:t>
      </w:r>
    </w:p>
    <w:p>
      <w:pPr>
        <w:spacing w:after="0" w:line="210"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15" w:name="page16"/>
    <w:bookmarkEnd w:id="15"/>
    <w:p>
      <w:pPr>
        <w:ind w:firstLine="221"/>
        <w:spacing w:after="0" w:line="257" w:lineRule="auto"/>
        <w:tabs>
          <w:tab w:leader="none" w:pos="4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80" w:lineRule="exact"/>
        <w:rPr>
          <w:rFonts w:ascii="Arial" w:cs="Arial" w:eastAsia="Arial" w:hAnsi="Arial"/>
          <w:sz w:val="18"/>
          <w:szCs w:val="18"/>
          <w:color w:val="auto"/>
        </w:rPr>
      </w:pPr>
    </w:p>
    <w:p>
      <w:pPr>
        <w:ind w:right="40" w:firstLine="221"/>
        <w:spacing w:after="0" w:line="271" w:lineRule="auto"/>
        <w:tabs>
          <w:tab w:leader="none" w:pos="5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periods in which the Company’s Annual Report on Form 10-K for the year ended December 31, 2009 and quarterly report on Form 10-Q for the three months ended March 31, 2010 were being prepared; (ii) have been evaluated for effectiveness as of the end of the periods covered by the Company’s Annual Report on Form 10-K for the year ended December 31, 2009 and quarterly report on Form 10-Q for the three months ended March 31, 2010 pursuant to Rule 13a-15 of the Exchange Act; and (iii) are effective to ensure that the Company is able to collect, process and disclose the information required to be disclosed in reports filed with the Commission within required time periods.</w:t>
      </w:r>
    </w:p>
    <w:p>
      <w:pPr>
        <w:spacing w:after="0" w:line="70" w:lineRule="exact"/>
        <w:rPr>
          <w:rFonts w:ascii="Arial" w:cs="Arial" w:eastAsia="Arial" w:hAnsi="Arial"/>
          <w:sz w:val="17"/>
          <w:szCs w:val="17"/>
          <w:color w:val="auto"/>
        </w:rPr>
      </w:pPr>
    </w:p>
    <w:p>
      <w:pPr>
        <w:ind w:right="20" w:firstLine="221"/>
        <w:spacing w:after="0" w:line="255" w:lineRule="auto"/>
        <w:tabs>
          <w:tab w:leader="none" w:pos="4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evaluation of its disclosure controls and procedures as of the end of the periods covered by the Annual Report on Form 10-K for the year ended December 31, 2009 and the quarterly report on Form 10-Q for the three months ended March 31, 2010,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85" w:lineRule="exact"/>
        <w:rPr>
          <w:rFonts w:ascii="Arial" w:cs="Arial" w:eastAsia="Arial" w:hAnsi="Arial"/>
          <w:sz w:val="18"/>
          <w:szCs w:val="18"/>
          <w:color w:val="auto"/>
        </w:rPr>
      </w:pPr>
    </w:p>
    <w:p>
      <w:pPr>
        <w:ind w:firstLine="221"/>
        <w:spacing w:after="0" w:line="255" w:lineRule="auto"/>
        <w:tabs>
          <w:tab w:leader="none" w:pos="6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maintains systems of “internal control over financial reporting” (as defined in Rule 12a-15(f)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85" w:lineRule="exact"/>
        <w:rPr>
          <w:rFonts w:ascii="Arial" w:cs="Arial" w:eastAsia="Arial" w:hAnsi="Arial"/>
          <w:sz w:val="18"/>
          <w:szCs w:val="18"/>
          <w:color w:val="auto"/>
        </w:rPr>
      </w:pPr>
    </w:p>
    <w:p>
      <w:pPr>
        <w:ind w:right="700" w:firstLine="221"/>
        <w:spacing w:after="0" w:line="277" w:lineRule="auto"/>
        <w:tabs>
          <w:tab w:leader="none" w:pos="5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Since December 31, 2009, there have been no significant changes in internal controls or in other factors that could significantly affect the Company’s internal controls over financial reporting.</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6" w:name="page17"/>
    <w:bookmarkEnd w:id="16"/>
    <w:p>
      <w:pPr>
        <w:ind w:left="240" w:right="300" w:firstLine="221"/>
        <w:spacing w:after="0" w:line="277" w:lineRule="auto"/>
        <w:tabs>
          <w:tab w:leader="none" w:pos="8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Other than Holdings, no subsidiary of the Company has guaranteed any outstanding senior indebtedness of the Company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guarantees made in the ordinary course of business.</w:t>
      </w:r>
    </w:p>
    <w:p>
      <w:pPr>
        <w:spacing w:after="0" w:line="62" w:lineRule="exact"/>
        <w:rPr>
          <w:rFonts w:ascii="Arial" w:cs="Arial" w:eastAsia="Arial" w:hAnsi="Arial"/>
          <w:sz w:val="18"/>
          <w:szCs w:val="18"/>
          <w:color w:val="auto"/>
        </w:rPr>
      </w:pPr>
    </w:p>
    <w:p>
      <w:pPr>
        <w:ind w:left="240" w:right="480" w:firstLine="221"/>
        <w:spacing w:after="0" w:line="277" w:lineRule="auto"/>
        <w:tabs>
          <w:tab w:leader="none" w:pos="8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is not an ineligible issuer and is a well-known seasoned issuer, in each case as defined under the Act, in each case at the times specified in the Act in connection with the offering of the Securities.</w:t>
      </w:r>
    </w:p>
    <w:p>
      <w:pPr>
        <w:spacing w:after="0" w:line="62" w:lineRule="exact"/>
        <w:rPr>
          <w:rFonts w:ascii="Arial" w:cs="Arial" w:eastAsia="Arial" w:hAnsi="Arial"/>
          <w:sz w:val="18"/>
          <w:szCs w:val="18"/>
          <w:color w:val="auto"/>
        </w:rPr>
      </w:pPr>
    </w:p>
    <w:p>
      <w:pPr>
        <w:ind w:left="240" w:firstLine="221"/>
        <w:spacing w:after="0" w:line="290" w:lineRule="auto"/>
        <w:tabs>
          <w:tab w:leader="none" w:pos="81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58" w:lineRule="exact"/>
        <w:rPr>
          <w:rFonts w:ascii="Arial" w:cs="Arial" w:eastAsia="Arial" w:hAnsi="Arial"/>
          <w:sz w:val="16"/>
          <w:szCs w:val="16"/>
          <w:color w:val="auto"/>
        </w:rPr>
      </w:pPr>
    </w:p>
    <w:p>
      <w:pPr>
        <w:ind w:left="240" w:right="80" w:firstLine="221"/>
        <w:spacing w:after="0" w:line="257" w:lineRule="auto"/>
        <w:tabs>
          <w:tab w:leader="none" w:pos="7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80" w:lineRule="exact"/>
        <w:rPr>
          <w:rFonts w:ascii="Arial" w:cs="Arial" w:eastAsia="Arial" w:hAnsi="Arial"/>
          <w:sz w:val="18"/>
          <w:szCs w:val="18"/>
          <w:color w:val="auto"/>
        </w:rPr>
      </w:pPr>
    </w:p>
    <w:p>
      <w:pPr>
        <w:ind w:left="240" w:right="20" w:firstLine="221"/>
        <w:spacing w:after="0" w:line="255" w:lineRule="auto"/>
        <w:tabs>
          <w:tab w:leader="none" w:pos="7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85" w:lineRule="exact"/>
        <w:rPr>
          <w:sz w:val="20"/>
          <w:szCs w:val="20"/>
          <w:color w:val="auto"/>
        </w:rPr>
      </w:pPr>
    </w:p>
    <w:p>
      <w:pPr>
        <w:jc w:val="both"/>
        <w:ind w:right="80" w:firstLine="215"/>
        <w:spacing w:after="0" w:line="264" w:lineRule="auto"/>
        <w:rPr>
          <w:sz w:val="20"/>
          <w:szCs w:val="20"/>
          <w:color w:val="auto"/>
        </w:rPr>
      </w:pPr>
      <w:r>
        <w:rPr>
          <w:rFonts w:ascii="Arial" w:cs="Arial" w:eastAsia="Arial" w:hAnsi="Arial"/>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140" w:firstLine="233"/>
        <w:spacing w:after="0" w:line="259" w:lineRule="auto"/>
        <w:tabs>
          <w:tab w:leader="none" w:pos="40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Subject to the terms and conditions and in reliance upon the representations and warranties herein set forth, the Company agrees to sell to each Underwriter, and each Underwriter agrees, severally and not jointly, to purchase from the Company, at a purchase price of 98.738% of the principal amount of the 4.75% Senior Notes due 2020 plus accrued interest, if any, from June 8, 2010 to the Closing Date, the principal amount of the Securities set forth opposite such Underwriter’s name in Schedule II hereto.</w:t>
      </w:r>
    </w:p>
    <w:p>
      <w:pPr>
        <w:spacing w:after="0" w:line="79"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71" w:lineRule="exact"/>
        <w:rPr>
          <w:sz w:val="20"/>
          <w:szCs w:val="20"/>
          <w:color w:val="auto"/>
        </w:rPr>
      </w:pPr>
    </w:p>
    <w:p>
      <w:pPr>
        <w:ind w:right="100" w:firstLine="233"/>
        <w:spacing w:after="0" w:line="272" w:lineRule="auto"/>
        <w:tabs>
          <w:tab w:leader="none" w:pos="40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69" w:lineRule="exact"/>
        <w:rPr>
          <w:rFonts w:ascii="Arial" w:cs="Arial" w:eastAsia="Arial" w:hAnsi="Arial"/>
          <w:sz w:val="17"/>
          <w:szCs w:val="17"/>
          <w:color w:val="auto"/>
        </w:rPr>
      </w:pPr>
    </w:p>
    <w:p>
      <w:pPr>
        <w:ind w:right="780" w:firstLine="233"/>
        <w:spacing w:after="0" w:line="277" w:lineRule="auto"/>
        <w:tabs>
          <w:tab w:leader="none" w:pos="40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117" w:lineRule="exact"/>
        <w:rPr>
          <w:rFonts w:ascii="Arial" w:cs="Arial" w:eastAsia="Arial" w:hAnsi="Arial"/>
          <w:sz w:val="18"/>
          <w:szCs w:val="18"/>
          <w:color w:val="auto"/>
        </w:rPr>
      </w:pPr>
    </w:p>
    <w:p>
      <w:pPr>
        <w:ind w:left="240" w:right="160" w:firstLine="221"/>
        <w:spacing w:after="0" w:line="257" w:lineRule="auto"/>
        <w:tabs>
          <w:tab w:leader="none" w:pos="7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 w:name="page19"/>
    <w:bookmarkEnd w:id="18"/>
    <w:p>
      <w:pPr>
        <w:ind w:right="20"/>
        <w:spacing w:after="0" w:line="279" w:lineRule="auto"/>
        <w:rPr>
          <w:sz w:val="20"/>
          <w:szCs w:val="20"/>
          <w:color w:val="auto"/>
        </w:rPr>
      </w:pPr>
      <w:r>
        <w:rPr>
          <w:rFonts w:ascii="Arial" w:cs="Arial" w:eastAsia="Arial" w:hAnsi="Arial"/>
          <w:sz w:val="17"/>
          <w:szCs w:val="17"/>
          <w:color w:val="auto"/>
        </w:rPr>
        <w:t>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63" w:lineRule="exact"/>
        <w:rPr>
          <w:sz w:val="20"/>
          <w:szCs w:val="20"/>
          <w:color w:val="auto"/>
        </w:rPr>
      </w:pPr>
    </w:p>
    <w:p>
      <w:pPr>
        <w:ind w:right="40" w:firstLine="221"/>
        <w:spacing w:after="0" w:line="291"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59" w:lineRule="exact"/>
        <w:rPr>
          <w:rFonts w:ascii="Arial" w:cs="Arial" w:eastAsia="Arial" w:hAnsi="Arial"/>
          <w:sz w:val="16"/>
          <w:szCs w:val="16"/>
          <w:color w:val="auto"/>
        </w:rPr>
      </w:pPr>
    </w:p>
    <w:p>
      <w:pPr>
        <w:ind w:firstLine="221"/>
        <w:spacing w:after="0" w:line="287" w:lineRule="auto"/>
        <w:tabs>
          <w:tab w:leader="none" w:pos="47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will promptly advise the Representatives (1)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(2) when, prior to termination of the offering of the Securities, any amendment to the Registration Statement shall have been filed or become effective, (3) of any request by the Commission or its staff for any amendment to the Registration Statement, or any Rule 462(b) Registration Statement, or for any supplement to the Final Prospectus or for any additional information, (4)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(5) of the receipt by the Company of any notification with respect to the suspension of the qualification of the Securities for sale in any jurisdiction or the institution or threatening of any proceeding for such purpose, and (6) 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64" w:lineRule="exact"/>
        <w:rPr>
          <w:rFonts w:ascii="Arial" w:cs="Arial" w:eastAsia="Arial" w:hAnsi="Arial"/>
          <w:sz w:val="16"/>
          <w:szCs w:val="16"/>
          <w:color w:val="auto"/>
        </w:rPr>
      </w:pPr>
    </w:p>
    <w:p>
      <w:pPr>
        <w:ind w:right="40" w:firstLine="221"/>
        <w:spacing w:after="0" w:line="264"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9" w:name="page20"/>
    <w:bookmarkEnd w:id="19"/>
    <w:p>
      <w:pPr>
        <w:ind w:left="4" w:right="120" w:hanging="4"/>
        <w:spacing w:after="0" w:line="279" w:lineRule="auto"/>
        <w:tabs>
          <w:tab w:leader="none" w:pos="2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you in such quantities as you may reasonably request.</w:t>
      </w:r>
    </w:p>
    <w:p>
      <w:pPr>
        <w:spacing w:after="0" w:line="63" w:lineRule="exact"/>
        <w:rPr>
          <w:rFonts w:ascii="Arial" w:cs="Arial" w:eastAsia="Arial" w:hAnsi="Arial"/>
          <w:sz w:val="17"/>
          <w:szCs w:val="17"/>
          <w:color w:val="auto"/>
        </w:rPr>
      </w:pPr>
    </w:p>
    <w:p>
      <w:pPr>
        <w:ind w:left="4" w:right="40" w:firstLine="221"/>
        <w:spacing w:after="0" w:line="272" w:lineRule="auto"/>
        <w:tabs>
          <w:tab w:leader="none" w:pos="474"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be misleading or so that the Time of Sale Information will comply with law.</w:t>
      </w:r>
    </w:p>
    <w:p>
      <w:pPr>
        <w:spacing w:after="0" w:line="69" w:lineRule="exact"/>
        <w:rPr>
          <w:rFonts w:ascii="Arial" w:cs="Arial" w:eastAsia="Arial" w:hAnsi="Arial"/>
          <w:sz w:val="17"/>
          <w:szCs w:val="17"/>
          <w:color w:val="auto"/>
        </w:rPr>
      </w:pPr>
    </w:p>
    <w:p>
      <w:pPr>
        <w:ind w:left="4" w:right="540" w:firstLine="221"/>
        <w:spacing w:after="0" w:line="342" w:lineRule="auto"/>
        <w:tabs>
          <w:tab w:leader="none" w:pos="454" w:val="left"/>
        </w:tabs>
        <w:numPr>
          <w:ilvl w:val="1"/>
          <w:numId w:val="19"/>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5" w:lineRule="exact"/>
        <w:rPr>
          <w:rFonts w:ascii="Arial" w:cs="Arial" w:eastAsia="Arial" w:hAnsi="Arial"/>
          <w:sz w:val="16"/>
          <w:szCs w:val="16"/>
          <w:color w:val="auto"/>
        </w:rPr>
      </w:pPr>
    </w:p>
    <w:p>
      <w:pPr>
        <w:ind w:left="4" w:firstLine="221"/>
        <w:spacing w:after="0" w:line="297" w:lineRule="auto"/>
        <w:tabs>
          <w:tab w:leader="none" w:pos="484"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50" w:lineRule="exact"/>
        <w:rPr>
          <w:rFonts w:ascii="Arial" w:cs="Arial" w:eastAsia="Arial" w:hAnsi="Arial"/>
          <w:sz w:val="16"/>
          <w:szCs w:val="16"/>
          <w:color w:val="auto"/>
        </w:rPr>
      </w:pPr>
    </w:p>
    <w:p>
      <w:pPr>
        <w:ind w:left="4" w:right="80" w:firstLine="221"/>
        <w:spacing w:after="0" w:line="276" w:lineRule="auto"/>
        <w:tabs>
          <w:tab w:leader="none" w:pos="484"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146"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20" w:name="page21"/>
    <w:bookmarkEnd w:id="20"/>
    <w:p>
      <w:pPr>
        <w:ind w:left="220" w:firstLine="221"/>
        <w:spacing w:after="0" w:line="272" w:lineRule="auto"/>
        <w:tabs>
          <w:tab w:leader="none" w:pos="660" w:val="left"/>
        </w:tabs>
        <w:numPr>
          <w:ilvl w:val="2"/>
          <w:numId w:val="20"/>
        </w:numPr>
        <w:rPr>
          <w:rFonts w:ascii="Arial" w:cs="Arial" w:eastAsia="Arial" w:hAnsi="Arial"/>
          <w:sz w:val="17"/>
          <w:szCs w:val="17"/>
          <w:color w:val="auto"/>
        </w:rPr>
      </w:pPr>
      <w:r>
        <w:rPr>
          <w:rFonts w:ascii="Arial" w:cs="Arial" w:eastAsia="Arial" w:hAnsi="Arial"/>
          <w:sz w:val="17"/>
          <w:szCs w:val="17"/>
          <w:color w:val="auto"/>
        </w:rPr>
        <w:t>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July 3, 2010.</w:t>
      </w:r>
    </w:p>
    <w:p>
      <w:pPr>
        <w:spacing w:after="0" w:line="69" w:lineRule="exact"/>
        <w:rPr>
          <w:rFonts w:ascii="Arial" w:cs="Arial" w:eastAsia="Arial" w:hAnsi="Arial"/>
          <w:sz w:val="17"/>
          <w:szCs w:val="17"/>
          <w:color w:val="auto"/>
        </w:rPr>
      </w:pPr>
    </w:p>
    <w:p>
      <w:pPr>
        <w:ind w:left="220" w:right="120" w:firstLine="221"/>
        <w:spacing w:after="0" w:line="264" w:lineRule="auto"/>
        <w:tabs>
          <w:tab w:leader="none" w:pos="6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73" w:lineRule="exact"/>
        <w:rPr>
          <w:rFonts w:ascii="Arial" w:cs="Arial" w:eastAsia="Arial" w:hAnsi="Arial"/>
          <w:sz w:val="18"/>
          <w:szCs w:val="18"/>
          <w:color w:val="auto"/>
        </w:rPr>
      </w:pPr>
    </w:p>
    <w:p>
      <w:pPr>
        <w:ind w:left="220" w:right="100" w:firstLine="221"/>
        <w:spacing w:after="0" w:line="277" w:lineRule="auto"/>
        <w:tabs>
          <w:tab w:leader="none" w:pos="7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62" w:lineRule="exact"/>
        <w:rPr>
          <w:rFonts w:ascii="Arial" w:cs="Arial" w:eastAsia="Arial" w:hAnsi="Arial"/>
          <w:sz w:val="18"/>
          <w:szCs w:val="18"/>
          <w:color w:val="auto"/>
        </w:rPr>
      </w:pPr>
    </w:p>
    <w:p>
      <w:pPr>
        <w:ind w:left="400" w:hanging="187"/>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220" w:right="180" w:firstLine="221"/>
        <w:spacing w:after="0" w:line="284" w:lineRule="auto"/>
        <w:tabs>
          <w:tab w:leader="none" w:pos="690" w:val="left"/>
        </w:tabs>
        <w:numPr>
          <w:ilvl w:val="2"/>
          <w:numId w:val="21"/>
        </w:numPr>
        <w:rPr>
          <w:rFonts w:ascii="Arial" w:cs="Arial" w:eastAsia="Arial" w:hAnsi="Arial"/>
          <w:sz w:val="16"/>
          <w:szCs w:val="16"/>
          <w:color w:val="auto"/>
        </w:rPr>
      </w:pPr>
      <w:r>
        <w:rPr>
          <w:rFonts w:ascii="Arial" w:cs="Arial" w:eastAsia="Arial" w:hAnsi="Arial"/>
          <w:sz w:val="16"/>
          <w:szCs w:val="16"/>
          <w:color w:val="auto"/>
        </w:rPr>
        <w:t>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1(d) or Section 5(b) above (including any electronic road show), or (iii) any free writing prospectus prepared by such Underwriter and approved by the Company in advance in writing (each such free writing prospectus referred to in clauses</w:t>
      </w:r>
    </w:p>
    <w:p>
      <w:pPr>
        <w:spacing w:after="0" w:line="4" w:lineRule="exact"/>
        <w:rPr>
          <w:rFonts w:ascii="Arial" w:cs="Arial" w:eastAsia="Arial" w:hAnsi="Arial"/>
          <w:sz w:val="16"/>
          <w:szCs w:val="16"/>
          <w:color w:val="auto"/>
        </w:rPr>
      </w:pPr>
    </w:p>
    <w:p>
      <w:pPr>
        <w:ind w:left="220" w:right="160" w:hanging="4"/>
        <w:spacing w:after="0" w:line="261" w:lineRule="auto"/>
        <w:tabs>
          <w:tab w:leader="none" w:pos="435" w:val="left"/>
        </w:tabs>
        <w:numPr>
          <w:ilvl w:val="1"/>
          <w:numId w:val="21"/>
        </w:numPr>
        <w:rPr>
          <w:rFonts w:ascii="Arial" w:cs="Arial" w:eastAsia="Arial" w:hAnsi="Arial"/>
          <w:sz w:val="18"/>
          <w:szCs w:val="18"/>
          <w:color w:val="auto"/>
        </w:rPr>
      </w:pPr>
      <w:r>
        <w:rPr>
          <w:rFonts w:ascii="Arial" w:cs="Arial" w:eastAsia="Arial" w:hAnsi="Arial"/>
          <w:sz w:val="18"/>
          <w:szCs w:val="18"/>
          <w:color w:val="auto"/>
        </w:rPr>
        <w:t>or (iii), an “</w:t>
      </w:r>
      <w:r>
        <w:rPr>
          <w:rFonts w:ascii="Arial" w:cs="Arial" w:eastAsia="Arial" w:hAnsi="Arial"/>
          <w:sz w:val="18"/>
          <w:szCs w:val="18"/>
          <w:u w:val="single" w:color="auto"/>
          <w:color w:val="auto"/>
        </w:rPr>
        <w:t>Underwriter Free Writing Prospectus</w:t>
      </w:r>
      <w:r>
        <w:rPr>
          <w:rFonts w:ascii="Arial" w:cs="Arial" w:eastAsia="Arial" w:hAnsi="Arial"/>
          <w:sz w:val="18"/>
          <w:szCs w:val="18"/>
          <w:color w:val="auto"/>
        </w:rPr>
        <w:t>”). Notwithstanding the foregoing, the Underwriters may use a term sheet substantially in the form of Schedule I hereto without the consent of the Company.</w:t>
      </w:r>
    </w:p>
    <w:p>
      <w:pPr>
        <w:spacing w:after="0" w:line="75" w:lineRule="exact"/>
        <w:rPr>
          <w:rFonts w:ascii="Arial" w:cs="Arial" w:eastAsia="Arial" w:hAnsi="Arial"/>
          <w:sz w:val="18"/>
          <w:szCs w:val="18"/>
          <w:color w:val="auto"/>
        </w:rPr>
      </w:pPr>
    </w:p>
    <w:p>
      <w:pPr>
        <w:ind w:left="220" w:right="240" w:firstLine="221"/>
        <w:spacing w:after="0" w:line="277" w:lineRule="auto"/>
        <w:tabs>
          <w:tab w:leader="none" w:pos="7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Act with respect to the offering (and will promptly notify the Company if any such proceeding against it is initiated during the Prospectus Delivery Period).</w:t>
      </w:r>
    </w:p>
    <w:p>
      <w:pPr>
        <w:spacing w:after="0" w:line="62" w:lineRule="exact"/>
        <w:rPr>
          <w:rFonts w:ascii="Arial" w:cs="Arial" w:eastAsia="Arial" w:hAnsi="Arial"/>
          <w:sz w:val="18"/>
          <w:szCs w:val="18"/>
          <w:color w:val="auto"/>
        </w:rPr>
      </w:pPr>
    </w:p>
    <w:p>
      <w:pPr>
        <w:jc w:val="both"/>
        <w:ind w:left="-20" w:right="120" w:firstLine="233"/>
        <w:spacing w:after="0" w:line="264" w:lineRule="auto"/>
        <w:tabs>
          <w:tab w:leader="none" w:pos="38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1" w:name="page22"/>
    <w:bookmarkEnd w:id="21"/>
    <w:p>
      <w:pPr>
        <w:ind w:right="480"/>
        <w:spacing w:after="0" w:line="277" w:lineRule="auto"/>
        <w:rPr>
          <w:sz w:val="20"/>
          <w:szCs w:val="20"/>
          <w:color w:val="auto"/>
        </w:rPr>
      </w:pPr>
      <w:r>
        <w:rPr>
          <w:rFonts w:ascii="Arial" w:cs="Arial" w:eastAsia="Arial" w:hAnsi="Arial"/>
          <w:sz w:val="18"/>
          <w:szCs w:val="18"/>
          <w:color w:val="auto"/>
        </w:rPr>
        <w:t>any certificates pursuant to the provisions hereof, to the performance by the Company and Holdings of their obligations hereunder and to the following additional conditions:</w:t>
      </w:r>
    </w:p>
    <w:p>
      <w:pPr>
        <w:spacing w:after="0" w:line="62" w:lineRule="exact"/>
        <w:rPr>
          <w:sz w:val="20"/>
          <w:szCs w:val="20"/>
          <w:color w:val="auto"/>
        </w:rPr>
      </w:pPr>
    </w:p>
    <w:p>
      <w:pPr>
        <w:ind w:left="240" w:right="80" w:firstLine="221"/>
        <w:spacing w:after="0" w:line="255" w:lineRule="auto"/>
        <w:tabs>
          <w:tab w:leader="none" w:pos="7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85" w:lineRule="exact"/>
        <w:rPr>
          <w:rFonts w:ascii="Arial" w:cs="Arial" w:eastAsia="Arial" w:hAnsi="Arial"/>
          <w:sz w:val="18"/>
          <w:szCs w:val="18"/>
          <w:color w:val="auto"/>
        </w:rPr>
      </w:pPr>
    </w:p>
    <w:p>
      <w:pPr>
        <w:ind w:left="240" w:right="20" w:firstLine="221"/>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62" w:lineRule="exact"/>
        <w:rPr>
          <w:rFonts w:ascii="Arial" w:cs="Arial" w:eastAsia="Arial" w:hAnsi="Arial"/>
          <w:sz w:val="18"/>
          <w:szCs w:val="18"/>
          <w:color w:val="auto"/>
        </w:rPr>
      </w:pPr>
    </w:p>
    <w:p>
      <w:pPr>
        <w:ind w:left="460" w:right="180" w:firstLine="229"/>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78" w:lineRule="exact"/>
        <w:rPr>
          <w:rFonts w:ascii="Arial" w:cs="Arial" w:eastAsia="Arial" w:hAnsi="Arial"/>
          <w:sz w:val="18"/>
          <w:szCs w:val="18"/>
          <w:color w:val="auto"/>
        </w:rPr>
      </w:pPr>
    </w:p>
    <w:p>
      <w:pPr>
        <w:ind w:left="960" w:hanging="271"/>
        <w:spacing w:after="0"/>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Holdings;</w:t>
      </w:r>
    </w:p>
    <w:p>
      <w:pPr>
        <w:spacing w:after="0" w:line="117" w:lineRule="exact"/>
        <w:rPr>
          <w:rFonts w:ascii="Arial" w:cs="Arial" w:eastAsia="Arial" w:hAnsi="Arial"/>
          <w:sz w:val="18"/>
          <w:szCs w:val="18"/>
          <w:color w:val="auto"/>
        </w:rPr>
      </w:pPr>
    </w:p>
    <w:p>
      <w:pPr>
        <w:ind w:left="460" w:firstLine="229"/>
        <w:spacing w:after="0" w:line="276" w:lineRule="auto"/>
        <w:tabs>
          <w:tab w:leader="none" w:pos="10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64" w:lineRule="exact"/>
        <w:rPr>
          <w:rFonts w:ascii="Arial" w:cs="Arial" w:eastAsia="Arial" w:hAnsi="Arial"/>
          <w:sz w:val="17"/>
          <w:szCs w:val="17"/>
          <w:color w:val="auto"/>
        </w:rPr>
      </w:pPr>
    </w:p>
    <w:p>
      <w:pPr>
        <w:ind w:left="460" w:firstLine="229"/>
        <w:spacing w:after="0" w:line="276" w:lineRule="auto"/>
        <w:tabs>
          <w:tab w:leader="none" w:pos="99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global certificates representing the Notes are in a form authorized by the Indenture, the Notes have been duly authorized by the Company and, assuming the global certificates representing the Notes have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2" w:name="page23"/>
    <w:bookmarkEnd w:id="22"/>
    <w:p>
      <w:pPr>
        <w:jc w:val="both"/>
        <w:ind w:right="100"/>
        <w:spacing w:after="0" w:line="264" w:lineRule="auto"/>
        <w:rPr>
          <w:sz w:val="20"/>
          <w:szCs w:val="20"/>
          <w:color w:val="auto"/>
        </w:rPr>
      </w:pPr>
      <w:r>
        <w:rPr>
          <w:rFonts w:ascii="Arial" w:cs="Arial" w:eastAsia="Arial" w:hAnsi="Arial"/>
          <w:sz w:val="18"/>
          <w:szCs w:val="18"/>
          <w:color w:val="auto"/>
        </w:rPr>
        <w:t>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73" w:lineRule="exact"/>
        <w:rPr>
          <w:sz w:val="20"/>
          <w:szCs w:val="20"/>
          <w:color w:val="auto"/>
        </w:rPr>
      </w:pPr>
    </w:p>
    <w:p>
      <w:pPr>
        <w:ind w:firstLine="229"/>
        <w:spacing w:after="0" w:line="25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Guarantee Agreement has been duly authorized, executed and delivered by Holdings and, assuming the global certificates representing the Notes have been authenticated and delivered by the Trustee in the manner provided for in the Indenture and delivered against payment of the consideration therefor as specified in the Underwriting Agreement, the Guarantee Agreement constitutes a valid and binding agreement of Holdings, enforceable against Holdings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84" w:lineRule="exact"/>
        <w:rPr>
          <w:rFonts w:ascii="Arial" w:cs="Arial" w:eastAsia="Arial" w:hAnsi="Arial"/>
          <w:sz w:val="18"/>
          <w:szCs w:val="18"/>
          <w:color w:val="auto"/>
        </w:rPr>
      </w:pPr>
    </w:p>
    <w:p>
      <w:pPr>
        <w:ind w:left="540" w:hanging="31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117" w:lineRule="exact"/>
        <w:rPr>
          <w:rFonts w:ascii="Arial" w:cs="Arial" w:eastAsia="Arial" w:hAnsi="Arial"/>
          <w:sz w:val="18"/>
          <w:szCs w:val="18"/>
          <w:color w:val="auto"/>
        </w:rPr>
      </w:pPr>
    </w:p>
    <w:p>
      <w:pPr>
        <w:ind w:right="360" w:firstLine="229"/>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62" w:lineRule="exact"/>
        <w:rPr>
          <w:rFonts w:ascii="Arial" w:cs="Arial" w:eastAsia="Arial" w:hAnsi="Arial"/>
          <w:sz w:val="18"/>
          <w:szCs w:val="18"/>
          <w:color w:val="auto"/>
        </w:rPr>
      </w:pPr>
    </w:p>
    <w:p>
      <w:pPr>
        <w:ind w:right="40" w:firstLine="229"/>
        <w:spacing w:after="0" w:line="259" w:lineRule="auto"/>
        <w:tabs>
          <w:tab w:leader="none" w:pos="6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78" w:lineRule="exact"/>
        <w:rPr>
          <w:rFonts w:ascii="Arial" w:cs="Arial" w:eastAsia="Arial" w:hAnsi="Arial"/>
          <w:sz w:val="18"/>
          <w:szCs w:val="18"/>
          <w:color w:val="auto"/>
        </w:rPr>
      </w:pPr>
    </w:p>
    <w:p>
      <w:pPr>
        <w:ind w:right="360" w:firstLine="229"/>
        <w:spacing w:after="0" w:line="286" w:lineRule="auto"/>
        <w:tabs>
          <w:tab w:leader="none" w:pos="53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57" w:lineRule="exact"/>
        <w:rPr>
          <w:rFonts w:ascii="Arial" w:cs="Arial" w:eastAsia="Arial" w:hAnsi="Arial"/>
          <w:sz w:val="17"/>
          <w:szCs w:val="17"/>
          <w:color w:val="auto"/>
        </w:rPr>
      </w:pPr>
    </w:p>
    <w:p>
      <w:pPr>
        <w:ind w:right="120" w:firstLine="229"/>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the consummation of the transactions contemplated in the Underwriting Agreement and compliance with the terms of the Underwriting Agreement and the Indenture do not and will not conflict with or result in a breach of any of the terms or provisions of, or constitute a default under, the charter or by-laws of the</w:t>
      </w:r>
    </w:p>
    <w:p>
      <w:pPr>
        <w:spacing w:after="0" w:line="15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23" w:name="page24"/>
    <w:bookmarkEnd w:id="23"/>
    <w:p>
      <w:pPr>
        <w:ind w:left="224" w:right="200"/>
        <w:spacing w:after="0" w:line="279" w:lineRule="auto"/>
        <w:rPr>
          <w:sz w:val="20"/>
          <w:szCs w:val="20"/>
          <w:color w:val="auto"/>
        </w:rPr>
      </w:pPr>
      <w:r>
        <w:rPr>
          <w:rFonts w:ascii="Arial" w:cs="Arial" w:eastAsia="Arial" w:hAnsi="Arial"/>
          <w:sz w:val="17"/>
          <w:szCs w:val="17"/>
          <w:color w:val="auto"/>
        </w:rPr>
        <w:t>Company, Holdings or Wheelabrator Technologies Inc., or any indenture, mortgage or other agreement or instrument to which the Company or its subsidiaries is a party or by which they or any of their property is bound which is filed as an exhibit to the Registration Statement or to any of the documents incorporated by reference in the Registration Statement, the Time of Sale Information and the Final Prospectus, or any existing applicable laws, rule or regulation (excluding any state securities or state or federal anti-fraud law, rule or regulation); and</w:t>
      </w:r>
    </w:p>
    <w:p>
      <w:pPr>
        <w:spacing w:after="0" w:line="63" w:lineRule="exact"/>
        <w:rPr>
          <w:sz w:val="20"/>
          <w:szCs w:val="20"/>
          <w:color w:val="auto"/>
        </w:rPr>
      </w:pPr>
    </w:p>
    <w:p>
      <w:pPr>
        <w:ind w:left="224" w:right="20" w:firstLine="229"/>
        <w:spacing w:after="0" w:line="277" w:lineRule="auto"/>
        <w:tabs>
          <w:tab w:leader="none" w:pos="7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the Company nor Holdings is an “investment company” or an entity “controlled” by an “investment company,” as such terms are defined in the 1940 Act.</w:t>
      </w:r>
    </w:p>
    <w:p>
      <w:pPr>
        <w:spacing w:after="0" w:line="62" w:lineRule="exact"/>
        <w:rPr>
          <w:sz w:val="20"/>
          <w:szCs w:val="20"/>
          <w:color w:val="auto"/>
        </w:rPr>
      </w:pPr>
    </w:p>
    <w:p>
      <w:pPr>
        <w:ind w:left="4" w:firstLine="225"/>
        <w:spacing w:after="0" w:line="283" w:lineRule="auto"/>
        <w:rPr>
          <w:sz w:val="20"/>
          <w:szCs w:val="20"/>
          <w:color w:val="auto"/>
        </w:rPr>
      </w:pPr>
      <w:r>
        <w:rPr>
          <w:rFonts w:ascii="Arial" w:cs="Arial" w:eastAsia="Arial" w:hAnsi="Arial"/>
          <w:sz w:val="16"/>
          <w:szCs w:val="16"/>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in the Registration Statement, the Time of Sale Information and the Final Prospectus (except to the extent stated in paragraph (vii) above), subject to the foregoing and on the basis of the information such counsel gained in the course of performing the services referred to above, such counsel shall advise that</w:t>
      </w:r>
    </w:p>
    <w:p>
      <w:pPr>
        <w:spacing w:after="0" w:line="6" w:lineRule="exact"/>
        <w:rPr>
          <w:sz w:val="20"/>
          <w:szCs w:val="20"/>
          <w:color w:val="auto"/>
        </w:rPr>
      </w:pPr>
    </w:p>
    <w:p>
      <w:pPr>
        <w:ind w:left="4" w:right="60" w:hanging="4"/>
        <w:spacing w:after="0" w:line="268" w:lineRule="auto"/>
        <w:tabs>
          <w:tab w:leader="none" w:pos="24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Registration Statement, as of the latest Effective Date, the Time of Sale Information, as of the Time of Sale, and the Final Prospectus, as of its date and the date hereof, appear on their face to be appropriately responsive in all material respects to the requirements of the Act and the rules and regulations of the Commission thereunder; and (b) nothing has come to such counsel’s attention that caused such counsel to believe that (1) the Registration Statement, as of the latest Effective Date, contained an untrue statement of a material fact or omitted to state a material fact required to be stated therein or necessary to make the statements therein not misleading, (2) 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and as of the Closing Date, included or includes an untrue statement of a material fact or omitted or omits to state a material fact necessary in order to make the statements therein, in the light of the circumstances under which they were made, not misleading; provided that in each case such counsel need not express any belief with respect to (x) the financial statements and schedules or other financial or accounting information contained or</w:t>
      </w:r>
    </w:p>
    <w:p>
      <w:pPr>
        <w:spacing w:after="0" w:line="153"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24" w:name="page25"/>
    <w:bookmarkEnd w:id="24"/>
    <w:p>
      <w:pPr>
        <w:ind w:left="4"/>
        <w:spacing w:after="0" w:line="264" w:lineRule="auto"/>
        <w:rPr>
          <w:sz w:val="20"/>
          <w:szCs w:val="20"/>
          <w:color w:val="auto"/>
        </w:rPr>
      </w:pPr>
      <w:r>
        <w:rPr>
          <w:rFonts w:ascii="Arial" w:cs="Arial" w:eastAsia="Arial" w:hAnsi="Arial"/>
          <w:sz w:val="18"/>
          <w:szCs w:val="18"/>
          <w:color w:val="auto"/>
        </w:rPr>
        <w:t>included or incorporated by reference therein or omitted therefrom, (y) representations and warranties and other statements of fact contained in the exhibits to the Registration Statement or documents incorporated by reference therein or (z) that part of the Registration Statement that constitutes the Trustee’s Statement of Eligibility on Form T-1.</w:t>
      </w:r>
    </w:p>
    <w:p>
      <w:pPr>
        <w:spacing w:after="0" w:line="73" w:lineRule="exact"/>
        <w:rPr>
          <w:sz w:val="20"/>
          <w:szCs w:val="20"/>
          <w:color w:val="auto"/>
        </w:rPr>
      </w:pPr>
    </w:p>
    <w:p>
      <w:pPr>
        <w:ind w:left="4" w:right="40" w:firstLine="225"/>
        <w:spacing w:after="0" w:line="288" w:lineRule="auto"/>
        <w:rPr>
          <w:sz w:val="20"/>
          <w:szCs w:val="20"/>
          <w:color w:val="auto"/>
        </w:rPr>
      </w:pPr>
      <w:r>
        <w:rPr>
          <w:rFonts w:ascii="Arial" w:cs="Arial" w:eastAsia="Arial" w:hAnsi="Arial"/>
          <w:sz w:val="16"/>
          <w:szCs w:val="16"/>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 of responsible officers of the Company and public officials. References to the Final Prospectus in this paragraph</w:t>
      </w:r>
    </w:p>
    <w:p>
      <w:pPr>
        <w:ind w:left="264" w:hanging="264"/>
        <w:spacing w:after="0"/>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 any supplements thereto at the Closing Date.</w:t>
      </w:r>
    </w:p>
    <w:p>
      <w:pPr>
        <w:spacing w:after="0" w:line="102" w:lineRule="exact"/>
        <w:rPr>
          <w:rFonts w:ascii="Arial" w:cs="Arial" w:eastAsia="Arial" w:hAnsi="Arial"/>
          <w:sz w:val="18"/>
          <w:szCs w:val="18"/>
          <w:color w:val="auto"/>
        </w:rPr>
      </w:pPr>
    </w:p>
    <w:p>
      <w:pPr>
        <w:ind w:left="4" w:right="20" w:firstLine="221"/>
        <w:spacing w:after="0" w:line="277" w:lineRule="auto"/>
        <w:tabs>
          <w:tab w:leader="none" w:pos="4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Rick L. Wittenbraker, Senior Vice President and General Counsel of the Company, shall have furnished to the Representatives his opinion, dated the Closing Date and addressed to the Representatives, to the effect that:</w:t>
      </w:r>
    </w:p>
    <w:p>
      <w:pPr>
        <w:spacing w:after="0" w:line="62" w:lineRule="exact"/>
        <w:rPr>
          <w:rFonts w:ascii="Arial" w:cs="Arial" w:eastAsia="Arial" w:hAnsi="Arial"/>
          <w:sz w:val="18"/>
          <w:szCs w:val="18"/>
          <w:color w:val="auto"/>
        </w:rPr>
      </w:pPr>
    </w:p>
    <w:p>
      <w:pPr>
        <w:ind w:left="224" w:right="40" w:firstLine="229"/>
        <w:spacing w:after="0" w:line="254" w:lineRule="auto"/>
        <w:tabs>
          <w:tab w:leader="none" w:pos="664" w:val="left"/>
        </w:tabs>
        <w:numPr>
          <w:ilvl w:val="2"/>
          <w:numId w:val="28"/>
        </w:numPr>
        <w:rPr>
          <w:rFonts w:ascii="Arial" w:cs="Arial" w:eastAsia="Arial" w:hAnsi="Arial"/>
          <w:sz w:val="18"/>
          <w:szCs w:val="18"/>
          <w:color w:val="auto"/>
        </w:rPr>
      </w:pPr>
      <w:r>
        <w:rPr>
          <w:rFonts w:ascii="Arial" w:cs="Arial" w:eastAsia="Arial" w:hAnsi="Arial"/>
          <w:sz w:val="18"/>
          <w:szCs w:val="18"/>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or set forth in the opinion,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was issued in violation of the preemptive or similar rights of any security holder thereof;</w:t>
      </w:r>
    </w:p>
    <w:p>
      <w:pPr>
        <w:spacing w:after="0" w:line="84" w:lineRule="exact"/>
        <w:rPr>
          <w:rFonts w:ascii="Arial" w:cs="Arial" w:eastAsia="Arial" w:hAnsi="Arial"/>
          <w:sz w:val="18"/>
          <w:szCs w:val="18"/>
          <w:color w:val="auto"/>
        </w:rPr>
      </w:pPr>
    </w:p>
    <w:p>
      <w:pPr>
        <w:ind w:left="224" w:right="80" w:firstLine="229"/>
        <w:spacing w:after="0" w:line="276" w:lineRule="auto"/>
        <w:tabs>
          <w:tab w:leader="none" w:pos="714" w:val="left"/>
        </w:tabs>
        <w:numPr>
          <w:ilvl w:val="2"/>
          <w:numId w:val="28"/>
        </w:numPr>
        <w:rPr>
          <w:rFonts w:ascii="Arial" w:cs="Arial" w:eastAsia="Arial" w:hAnsi="Arial"/>
          <w:sz w:val="17"/>
          <w:szCs w:val="17"/>
          <w:color w:val="auto"/>
        </w:rPr>
      </w:pPr>
      <w:r>
        <w:rPr>
          <w:rFonts w:ascii="Arial" w:cs="Arial" w:eastAsia="Arial" w:hAnsi="Arial"/>
          <w:sz w:val="17"/>
          <w:szCs w:val="17"/>
          <w:color w:val="auto"/>
        </w:rPr>
        <w:t>the documents incorporated by reference in the Registration Statement, the Time of Sale Information and the Final Prospectus (other than the financial statements, related schedules and other financial data included therein or omitted therefrom, as to which he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64" w:lineRule="exact"/>
        <w:rPr>
          <w:rFonts w:ascii="Arial" w:cs="Arial" w:eastAsia="Arial" w:hAnsi="Arial"/>
          <w:sz w:val="17"/>
          <w:szCs w:val="17"/>
          <w:color w:val="auto"/>
        </w:rPr>
      </w:pPr>
    </w:p>
    <w:p>
      <w:pPr>
        <w:ind w:left="224" w:right="180" w:firstLine="229"/>
        <w:spacing w:after="0" w:line="264" w:lineRule="auto"/>
        <w:tabs>
          <w:tab w:leader="none" w:pos="764" w:val="left"/>
        </w:tabs>
        <w:numPr>
          <w:ilvl w:val="2"/>
          <w:numId w:val="28"/>
        </w:numPr>
        <w:rPr>
          <w:rFonts w:ascii="Arial" w:cs="Arial" w:eastAsia="Arial" w:hAnsi="Arial"/>
          <w:sz w:val="18"/>
          <w:szCs w:val="18"/>
          <w:color w:val="auto"/>
        </w:rPr>
      </w:pPr>
      <w:r>
        <w:rPr>
          <w:rFonts w:ascii="Arial" w:cs="Arial" w:eastAsia="Arial" w:hAnsi="Arial"/>
          <w:sz w:val="18"/>
          <w:szCs w:val="18"/>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w:t>
      </w:r>
    </w:p>
    <w:p>
      <w:pPr>
        <w:spacing w:after="0" w:line="154" w:lineRule="exact"/>
        <w:rPr>
          <w:sz w:val="20"/>
          <w:szCs w:val="20"/>
          <w:color w:val="auto"/>
        </w:rPr>
      </w:pPr>
    </w:p>
    <w:p>
      <w:pPr>
        <w:jc w:val="center"/>
        <w:ind w:right="216"/>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25" w:name="page26"/>
    <w:bookmarkEnd w:id="25"/>
    <w:p>
      <w:pPr>
        <w:ind w:left="220"/>
        <w:spacing w:after="0"/>
        <w:rPr>
          <w:sz w:val="20"/>
          <w:szCs w:val="20"/>
          <w:color w:val="auto"/>
        </w:rPr>
      </w:pPr>
      <w:r>
        <w:rPr>
          <w:rFonts w:ascii="Arial" w:cs="Arial" w:eastAsia="Arial" w:hAnsi="Arial"/>
          <w:sz w:val="16"/>
          <w:szCs w:val="16"/>
          <w:color w:val="auto"/>
        </w:rPr>
        <w:t>brought by any court or governmental agency or body, domestic or foreign, in which there is a reasonable probability of a Material Adverse Effect;</w:t>
      </w:r>
    </w:p>
    <w:p>
      <w:pPr>
        <w:spacing w:after="0" w:line="140" w:lineRule="exact"/>
        <w:rPr>
          <w:sz w:val="20"/>
          <w:szCs w:val="20"/>
          <w:color w:val="auto"/>
        </w:rPr>
      </w:pPr>
    </w:p>
    <w:p>
      <w:pPr>
        <w:ind w:left="760" w:hanging="311"/>
        <w:spacing w:after="0"/>
        <w:tabs>
          <w:tab w:leader="none" w:pos="7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such counsel does not know of any statutes or regulations or any pending or threatened legal or governmental proceedings required to be</w:t>
      </w:r>
    </w:p>
    <w:p>
      <w:pPr>
        <w:spacing w:after="0" w:line="34" w:lineRule="exact"/>
        <w:rPr>
          <w:rFonts w:ascii="Arial" w:cs="Arial" w:eastAsia="Arial" w:hAnsi="Arial"/>
          <w:sz w:val="17"/>
          <w:szCs w:val="17"/>
          <w:color w:val="auto"/>
        </w:rPr>
      </w:pPr>
    </w:p>
    <w:p>
      <w:pPr>
        <w:jc w:val="both"/>
        <w:ind w:left="220"/>
        <w:spacing w:after="0" w:line="277" w:lineRule="auto"/>
        <w:rPr>
          <w:rFonts w:ascii="Arial" w:cs="Arial" w:eastAsia="Arial" w:hAnsi="Arial"/>
          <w:sz w:val="17"/>
          <w:szCs w:val="17"/>
          <w:color w:val="auto"/>
        </w:rPr>
      </w:pPr>
      <w:r>
        <w:rPr>
          <w:rFonts w:ascii="Arial" w:cs="Arial" w:eastAsia="Arial" w:hAnsi="Arial"/>
          <w:sz w:val="17"/>
          <w:szCs w:val="17"/>
          <w:color w:val="auto"/>
        </w:rPr>
        <w:t>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65" w:lineRule="exact"/>
        <w:rPr>
          <w:rFonts w:ascii="Arial" w:cs="Arial" w:eastAsia="Arial" w:hAnsi="Arial"/>
          <w:sz w:val="17"/>
          <w:szCs w:val="17"/>
          <w:color w:val="auto"/>
        </w:rPr>
      </w:pPr>
    </w:p>
    <w:p>
      <w:pPr>
        <w:ind w:left="220" w:right="80" w:firstLine="229"/>
        <w:spacing w:after="0" w:line="277" w:lineRule="auto"/>
        <w:tabs>
          <w:tab w:leader="none" w:pos="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such counsel does not know of any holders of securities of the Company or Holdings that have rights to the registration of such securities under the Registration Statement; and</w:t>
      </w:r>
    </w:p>
    <w:p>
      <w:pPr>
        <w:spacing w:after="0" w:line="62" w:lineRule="exact"/>
        <w:rPr>
          <w:rFonts w:ascii="Arial" w:cs="Arial" w:eastAsia="Arial" w:hAnsi="Arial"/>
          <w:sz w:val="18"/>
          <w:szCs w:val="18"/>
          <w:color w:val="auto"/>
        </w:rPr>
      </w:pPr>
    </w:p>
    <w:p>
      <w:pPr>
        <w:ind w:left="220" w:right="260" w:firstLine="229"/>
        <w:spacing w:after="0" w:line="290" w:lineRule="auto"/>
        <w:tabs>
          <w:tab w:leader="none" w:pos="75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execution and delivery of the Underwriting Agreement, the Notes, the Guarantee Agreement and the execution and performance of the Indenture (the “</w:t>
      </w:r>
      <w:r>
        <w:rPr>
          <w:rFonts w:ascii="Arial" w:cs="Arial" w:eastAsia="Arial" w:hAnsi="Arial"/>
          <w:sz w:val="16"/>
          <w:szCs w:val="16"/>
          <w:u w:val="single" w:color="auto"/>
          <w:color w:val="auto"/>
        </w:rPr>
        <w:t>Operative Agreements</w:t>
      </w:r>
      <w:r>
        <w:rPr>
          <w:rFonts w:ascii="Arial" w:cs="Arial" w:eastAsia="Arial" w:hAnsi="Arial"/>
          <w:sz w:val="16"/>
          <w:szCs w:val="16"/>
          <w:color w:val="auto"/>
        </w:rPr>
        <w:t>”), the consummation of the transactions contemplated in the Operative Agreements and compliance with the terms of the Operative Agreement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58" w:lineRule="exact"/>
        <w:rPr>
          <w:rFonts w:ascii="Arial" w:cs="Arial" w:eastAsia="Arial" w:hAnsi="Arial"/>
          <w:sz w:val="16"/>
          <w:szCs w:val="16"/>
          <w:color w:val="auto"/>
        </w:rPr>
      </w:pPr>
    </w:p>
    <w:p>
      <w:pPr>
        <w:jc w:val="both"/>
        <w:ind w:firstLine="221"/>
        <w:spacing w:after="0" w:line="302" w:lineRule="auto"/>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Representatives shall have received from Vinson &amp; Elkins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46" w:lineRule="exact"/>
        <w:rPr>
          <w:rFonts w:ascii="Arial" w:cs="Arial" w:eastAsia="Arial" w:hAnsi="Arial"/>
          <w:sz w:val="16"/>
          <w:szCs w:val="16"/>
          <w:color w:val="auto"/>
        </w:rPr>
      </w:pPr>
    </w:p>
    <w:p>
      <w:pPr>
        <w:ind w:right="240" w:firstLine="221"/>
        <w:spacing w:after="0" w:line="286" w:lineRule="auto"/>
        <w:tabs>
          <w:tab w:leader="none" w:pos="47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w:t>
      </w:r>
    </w:p>
    <w:p>
      <w:pPr>
        <w:spacing w:after="0" w:line="1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Statement, the Time of Sale Information and the Final Prospectus, any supplements to the Time of Sale Information and the Final Prospectus, and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and that:</w:t>
      </w:r>
    </w:p>
    <w:p>
      <w:pPr>
        <w:spacing w:after="0" w:line="103" w:lineRule="exact"/>
        <w:rPr>
          <w:sz w:val="20"/>
          <w:szCs w:val="20"/>
          <w:color w:val="auto"/>
        </w:rPr>
      </w:pPr>
    </w:p>
    <w:p>
      <w:pPr>
        <w:ind w:left="240" w:right="20" w:firstLine="221"/>
        <w:spacing w:after="0" w:line="277" w:lineRule="auto"/>
        <w:tabs>
          <w:tab w:leader="none" w:pos="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case of Holdings, the representations and warranties of Holdings in this Agreement are true and correct on and as of the Closing Date with the same effect as if made on the Closing Date;</w:t>
      </w:r>
    </w:p>
    <w:p>
      <w:pPr>
        <w:spacing w:after="0" w:line="62" w:lineRule="exact"/>
        <w:rPr>
          <w:rFonts w:ascii="Arial" w:cs="Arial" w:eastAsia="Arial" w:hAnsi="Arial"/>
          <w:sz w:val="18"/>
          <w:szCs w:val="18"/>
          <w:color w:val="auto"/>
        </w:rPr>
      </w:pPr>
    </w:p>
    <w:p>
      <w:pPr>
        <w:jc w:val="both"/>
        <w:ind w:left="240" w:firstLine="221"/>
        <w:spacing w:after="0" w:line="264" w:lineRule="auto"/>
        <w:tabs>
          <w:tab w:leader="none" w:pos="73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73" w:lineRule="exact"/>
        <w:rPr>
          <w:rFonts w:ascii="Arial" w:cs="Arial" w:eastAsia="Arial" w:hAnsi="Arial"/>
          <w:sz w:val="18"/>
          <w:szCs w:val="18"/>
          <w:color w:val="auto"/>
        </w:rPr>
      </w:pPr>
    </w:p>
    <w:p>
      <w:pPr>
        <w:ind w:left="240" w:right="120" w:firstLine="221"/>
        <w:spacing w:after="0" w:line="277" w:lineRule="auto"/>
        <w:tabs>
          <w:tab w:leader="none" w:pos="7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for that purpose have been instituted or, to the Company’s knowledge, threatened; and</w:t>
      </w:r>
    </w:p>
    <w:p>
      <w:pPr>
        <w:spacing w:after="0" w:line="62" w:lineRule="exact"/>
        <w:rPr>
          <w:rFonts w:ascii="Arial" w:cs="Arial" w:eastAsia="Arial" w:hAnsi="Arial"/>
          <w:sz w:val="18"/>
          <w:szCs w:val="18"/>
          <w:color w:val="auto"/>
        </w:rPr>
      </w:pPr>
    </w:p>
    <w:p>
      <w:pPr>
        <w:ind w:left="240" w:right="100" w:firstLine="221"/>
        <w:spacing w:after="0" w:line="257" w:lineRule="auto"/>
        <w:tabs>
          <w:tab w:leader="none" w:pos="77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80" w:lineRule="exact"/>
        <w:rPr>
          <w:rFonts w:ascii="Arial" w:cs="Arial" w:eastAsia="Arial" w:hAnsi="Arial"/>
          <w:sz w:val="18"/>
          <w:szCs w:val="18"/>
          <w:color w:val="auto"/>
        </w:rPr>
      </w:pPr>
    </w:p>
    <w:p>
      <w:pPr>
        <w:ind w:right="100" w:firstLine="233"/>
        <w:spacing w:after="0" w:line="302" w:lineRule="auto"/>
        <w:tabs>
          <w:tab w:leader="none" w:pos="447"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46" w:lineRule="exact"/>
        <w:rPr>
          <w:rFonts w:ascii="Arial" w:cs="Arial" w:eastAsia="Arial" w:hAnsi="Arial"/>
          <w:sz w:val="16"/>
          <w:szCs w:val="16"/>
          <w:color w:val="auto"/>
        </w:rPr>
      </w:pPr>
    </w:p>
    <w:p>
      <w:pPr>
        <w:ind w:left="240" w:right="180" w:firstLine="221"/>
        <w:spacing w:after="0" w:line="286" w:lineRule="auto"/>
        <w:tabs>
          <w:tab w:leader="none" w:pos="6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in their opinion the audited financial statements and financial statement schedule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57" w:lineRule="exact"/>
        <w:rPr>
          <w:rFonts w:ascii="Arial" w:cs="Arial" w:eastAsia="Arial" w:hAnsi="Arial"/>
          <w:sz w:val="17"/>
          <w:szCs w:val="17"/>
          <w:color w:val="auto"/>
        </w:rPr>
      </w:pPr>
    </w:p>
    <w:p>
      <w:pPr>
        <w:ind w:left="240" w:right="60" w:firstLine="221"/>
        <w:spacing w:after="0" w:line="264" w:lineRule="auto"/>
        <w:tabs>
          <w:tab w:leader="none" w:pos="7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information included or incorporated by reference in the Registration Statement, the Time of Sale Information and Final Prospectus in response to Regulation S-K, Item 301 (Selected Financial Data) and Item 503(d) (Ratio of Earnings to Fixed Charges) is in conformity with the applicable disclosure requirements of Regulation S-K;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7" w:name="page28"/>
    <w:bookmarkEnd w:id="27"/>
    <w:p>
      <w:pPr>
        <w:ind w:left="240" w:right="80" w:firstLine="221"/>
        <w:spacing w:after="0" w:line="254"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and in Exhibit 12 to the Registration Statement, the information included or incorporated by reference in the Company’s Annual Report on Form 10-K for the year ended December 31, 2009 and Quarterly Report on Form 10-Q for the quarter ended March 31, 2010,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w:t>
      </w:r>
    </w:p>
    <w:p>
      <w:pPr>
        <w:spacing w:after="0" w:line="84"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62" w:lineRule="exact"/>
        <w:rPr>
          <w:sz w:val="20"/>
          <w:szCs w:val="20"/>
          <w:color w:val="auto"/>
        </w:rPr>
      </w:pPr>
    </w:p>
    <w:p>
      <w:pPr>
        <w:ind w:firstLine="233"/>
        <w:spacing w:after="0" w:line="253"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89" w:lineRule="exact"/>
        <w:rPr>
          <w:rFonts w:ascii="Arial" w:cs="Arial" w:eastAsia="Arial" w:hAnsi="Arial"/>
          <w:sz w:val="18"/>
          <w:szCs w:val="18"/>
          <w:color w:val="auto"/>
        </w:rPr>
      </w:pPr>
    </w:p>
    <w:p>
      <w:pPr>
        <w:ind w:right="80" w:firstLine="233"/>
        <w:spacing w:after="0" w:line="286"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Subsequent to the Time of Sale,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57" w:lineRule="exact"/>
        <w:rPr>
          <w:rFonts w:ascii="Arial" w:cs="Arial" w:eastAsia="Arial" w:hAnsi="Arial"/>
          <w:sz w:val="17"/>
          <w:szCs w:val="17"/>
          <w:color w:val="auto"/>
        </w:rPr>
      </w:pPr>
    </w:p>
    <w:p>
      <w:pPr>
        <w:ind w:right="120" w:firstLine="233"/>
        <w:spacing w:after="0" w:line="277"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the Closing Date, the Company and Holdings shall have furnished to the Representatives such further information, certificates and documents as the Representatives may reasonably request.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8" w:name="page29"/>
    <w:bookmarkEnd w:id="28"/>
    <w:p>
      <w:pPr>
        <w:ind w:right="20" w:firstLine="225"/>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80"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documents required to be delivered by this Section 7 shall be delivered at the office of Baker Botts L.L.P., counsel for the Company, at One Shell Plaza, 910 Louisiana Street, Houston, Texas 77002, on the Closing Date.</w:t>
      </w:r>
    </w:p>
    <w:p>
      <w:pPr>
        <w:spacing w:after="0" w:line="62" w:lineRule="exact"/>
        <w:rPr>
          <w:sz w:val="20"/>
          <w:szCs w:val="20"/>
          <w:color w:val="auto"/>
        </w:rPr>
      </w:pPr>
    </w:p>
    <w:p>
      <w:pPr>
        <w:ind w:right="20" w:firstLine="233"/>
        <w:spacing w:after="0" w:line="293" w:lineRule="auto"/>
        <w:tabs>
          <w:tab w:leader="none" w:pos="405"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Reimbursement of Underwriters’ Expenses</w:t>
      </w:r>
      <w:r>
        <w:rPr>
          <w:rFonts w:ascii="Arial" w:cs="Arial" w:eastAsia="Arial" w:hAnsi="Arial"/>
          <w:sz w:val="16"/>
          <w:szCs w:val="16"/>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Banc of America Securities LLC and Barclays Capital Inc. on demand for all out-of-pocket expenses (including reasonable fees and disbursements of counsel) that shall have been incurred by them in connection with the proposed purchase and sale of the Securities.</w:t>
      </w:r>
    </w:p>
    <w:p>
      <w:pPr>
        <w:spacing w:after="0" w:line="56" w:lineRule="exact"/>
        <w:rPr>
          <w:rFonts w:ascii="Arial" w:cs="Arial" w:eastAsia="Arial" w:hAnsi="Arial"/>
          <w:sz w:val="16"/>
          <w:szCs w:val="16"/>
          <w:color w:val="auto"/>
        </w:rPr>
      </w:pPr>
    </w:p>
    <w:p>
      <w:pPr>
        <w:ind w:firstLine="233"/>
        <w:spacing w:after="0" w:line="286" w:lineRule="auto"/>
        <w:tabs>
          <w:tab w:leader="none" w:pos="405"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xml:space="preserve">. (a) Each of the Company and Holdings, jointly and severally,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inclusion therein. This indemnity agreement will be in addition to any liability that the Company or Holdings may otherwise have.</w:t>
      </w:r>
    </w:p>
    <w:p>
      <w:pPr>
        <w:spacing w:after="0" w:line="117" w:lineRule="exact"/>
        <w:rPr>
          <w:sz w:val="20"/>
          <w:szCs w:val="20"/>
          <w:color w:val="auto"/>
        </w:rPr>
      </w:pPr>
    </w:p>
    <w:p>
      <w:pPr>
        <w:ind w:right="160" w:firstLine="458"/>
        <w:spacing w:after="0" w:line="270" w:lineRule="auto"/>
        <w:tabs>
          <w:tab w:leader="none" w:pos="705" w:val="left"/>
        </w:tabs>
        <w:numPr>
          <w:ilvl w:val="1"/>
          <w:numId w:val="36"/>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statements set forth in the last paragraph of the cover page regarding delivery of the Securities and, under the heading “Underwriting,” (i) the list of Underwriters and their respective participation in the sale of the Securities, (ii) the sentences related to concessions and reallowances, and (iii) the paragraphs related to stabilization, syndicate covering transactions and penalty bids in the Time of Sale Information and the Final Prospectus constitute the only information furnished in writing by or on behalf of the several Underwriters for inclusion in the Time of Sale Information and the Final Prospectus.</w:t>
      </w:r>
    </w:p>
    <w:p>
      <w:pPr>
        <w:spacing w:after="0" w:line="69" w:lineRule="exact"/>
        <w:rPr>
          <w:rFonts w:ascii="Arial" w:cs="Arial" w:eastAsia="Arial" w:hAnsi="Arial"/>
          <w:sz w:val="17"/>
          <w:szCs w:val="17"/>
          <w:color w:val="auto"/>
        </w:rPr>
      </w:pPr>
    </w:p>
    <w:p>
      <w:pPr>
        <w:ind w:firstLine="458"/>
        <w:spacing w:after="0" w:line="285" w:lineRule="auto"/>
        <w:tabs>
          <w:tab w:leader="none" w:pos="6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w:t>
      </w:r>
    </w:p>
    <w:p>
      <w:pPr>
        <w:spacing w:after="0" w:line="2" w:lineRule="exact"/>
        <w:rPr>
          <w:rFonts w:ascii="Arial" w:cs="Arial" w:eastAsia="Arial" w:hAnsi="Arial"/>
          <w:sz w:val="16"/>
          <w:szCs w:val="16"/>
          <w:color w:val="auto"/>
        </w:rPr>
      </w:pPr>
    </w:p>
    <w:p>
      <w:pPr>
        <w:ind w:right="20" w:firstLine="8"/>
        <w:spacing w:after="0" w:line="267"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0" w:name="page31"/>
    <w:bookmarkEnd w:id="30"/>
    <w:p>
      <w:pPr>
        <w:ind w:right="100"/>
        <w:spacing w:after="0" w:line="255" w:lineRule="auto"/>
        <w:rPr>
          <w:sz w:val="20"/>
          <w:szCs w:val="20"/>
          <w:color w:val="auto"/>
        </w:rPr>
      </w:pPr>
      <w:r>
        <w:rPr>
          <w:rFonts w:ascii="Arial" w:cs="Arial" w:eastAsia="Arial" w:hAnsi="Arial"/>
          <w:sz w:val="18"/>
          <w:szCs w:val="18"/>
          <w:color w:val="auto"/>
        </w:rPr>
        <w:t>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85" w:lineRule="exact"/>
        <w:rPr>
          <w:sz w:val="20"/>
          <w:szCs w:val="20"/>
          <w:color w:val="auto"/>
        </w:rPr>
      </w:pPr>
    </w:p>
    <w:p>
      <w:pPr>
        <w:ind w:firstLine="458"/>
        <w:spacing w:after="0" w:line="284"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ind w:right="400"/>
        <w:spacing w:after="0" w:line="277" w:lineRule="auto"/>
        <w:rPr>
          <w:sz w:val="20"/>
          <w:szCs w:val="20"/>
          <w:color w:val="auto"/>
        </w:rPr>
      </w:pPr>
      <w:r>
        <w:rPr>
          <w:rFonts w:ascii="Arial" w:cs="Arial" w:eastAsia="Arial" w:hAnsi="Arial"/>
          <w:sz w:val="18"/>
          <w:szCs w:val="18"/>
          <w:color w:val="auto"/>
        </w:rPr>
        <w:t>shall have signed the Registration Statement and each director of the Company or Holdings shall have the same rights to contribution as the Company or Holdings, subject in each case to the applicable terms and conditions of this paragraph (d).</w:t>
      </w:r>
    </w:p>
    <w:p>
      <w:pPr>
        <w:spacing w:after="0" w:line="62" w:lineRule="exact"/>
        <w:rPr>
          <w:sz w:val="20"/>
          <w:szCs w:val="20"/>
          <w:color w:val="auto"/>
        </w:rPr>
      </w:pPr>
    </w:p>
    <w:p>
      <w:pPr>
        <w:ind w:firstLine="233"/>
        <w:spacing w:after="0" w:line="268" w:lineRule="auto"/>
        <w:tabs>
          <w:tab w:leader="none" w:pos="495"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79" w:lineRule="exact"/>
        <w:rPr>
          <w:rFonts w:ascii="Arial" w:cs="Arial" w:eastAsia="Arial" w:hAnsi="Arial"/>
          <w:sz w:val="17"/>
          <w:szCs w:val="17"/>
          <w:color w:val="auto"/>
        </w:rPr>
      </w:pPr>
    </w:p>
    <w:p>
      <w:pPr>
        <w:ind w:right="80" w:firstLine="233"/>
        <w:spacing w:after="0" w:line="270" w:lineRule="auto"/>
        <w:tabs>
          <w:tab w:leader="none" w:pos="488"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73" w:lineRule="exact"/>
        <w:rPr>
          <w:rFonts w:ascii="Arial" w:cs="Arial" w:eastAsia="Arial" w:hAnsi="Arial"/>
          <w:sz w:val="17"/>
          <w:szCs w:val="17"/>
          <w:color w:val="auto"/>
        </w:rPr>
      </w:pPr>
    </w:p>
    <w:p>
      <w:pPr>
        <w:ind w:right="80" w:firstLine="233"/>
        <w:spacing w:after="0" w:line="259"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Securities. The provisions of Sections 8 and 9 hereof shall survive the termination or cancellation of this Agreement.</w:t>
      </w:r>
    </w:p>
    <w:p>
      <w:pPr>
        <w:spacing w:after="0" w:line="117" w:lineRule="exact"/>
        <w:rPr>
          <w:sz w:val="20"/>
          <w:szCs w:val="20"/>
          <w:color w:val="auto"/>
        </w:rPr>
      </w:pPr>
    </w:p>
    <w:p>
      <w:pPr>
        <w:ind w:firstLine="233"/>
        <w:spacing w:after="0" w:line="276" w:lineRule="auto"/>
        <w:tabs>
          <w:tab w:leader="none" w:pos="49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communications hereunder will be in writing and effective only on receipt, and, if sent to the Representatives, will be mailed, delivered or telefaxed to: (1) Banc of America Securities LLC, One Bryant Park, NY1-100-18-03, New York, NY 10019, Attention: High Grade Transaction Management/Legal (fax no.: 646-855-5958) and (2) Barclays Capital Inc., 745 Seventh Avenue, New York, NY 10019, Attn: Syndicate Registration (fax no.: 646-834-8133); or, if sent to the Company or Holdings, will be mailed, delivered or telefaxed to the Waste Management, Inc. General Counsel (fax no.: 713-209-9710) and confirmed to it at 1001 Fannin, Suite 4000, Houston, Texas 77002, attention of the Legal Department.</w:t>
      </w:r>
    </w:p>
    <w:p>
      <w:pPr>
        <w:spacing w:after="0" w:line="64" w:lineRule="exact"/>
        <w:rPr>
          <w:rFonts w:ascii="Arial" w:cs="Arial" w:eastAsia="Arial" w:hAnsi="Arial"/>
          <w:sz w:val="17"/>
          <w:szCs w:val="17"/>
          <w:color w:val="auto"/>
        </w:rPr>
      </w:pPr>
    </w:p>
    <w:p>
      <w:pPr>
        <w:ind w:right="620" w:firstLine="233"/>
        <w:spacing w:after="0" w:line="342" w:lineRule="auto"/>
        <w:tabs>
          <w:tab w:leader="none" w:pos="49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5" w:lineRule="exact"/>
        <w:rPr>
          <w:rFonts w:ascii="Arial" w:cs="Arial" w:eastAsia="Arial" w:hAnsi="Arial"/>
          <w:sz w:val="16"/>
          <w:szCs w:val="16"/>
          <w:color w:val="auto"/>
        </w:rPr>
      </w:pPr>
    </w:p>
    <w:p>
      <w:pPr>
        <w:ind w:right="360" w:firstLine="233"/>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62" w:lineRule="exact"/>
        <w:rPr>
          <w:rFonts w:ascii="Arial" w:cs="Arial" w:eastAsia="Arial" w:hAnsi="Arial"/>
          <w:sz w:val="18"/>
          <w:szCs w:val="18"/>
          <w:color w:val="auto"/>
        </w:rPr>
      </w:pPr>
    </w:p>
    <w:p>
      <w:pPr>
        <w:ind w:right="280" w:firstLine="233"/>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62" w:lineRule="exact"/>
        <w:rPr>
          <w:rFonts w:ascii="Arial" w:cs="Arial" w:eastAsia="Arial" w:hAnsi="Arial"/>
          <w:sz w:val="18"/>
          <w:szCs w:val="18"/>
          <w:color w:val="auto"/>
        </w:rPr>
      </w:pPr>
    </w:p>
    <w:p>
      <w:pPr>
        <w:ind w:left="500" w:hanging="267"/>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17" w:lineRule="exact"/>
        <w:rPr>
          <w:rFonts w:ascii="Arial" w:cs="Arial" w:eastAsia="Arial" w:hAnsi="Arial"/>
          <w:sz w:val="18"/>
          <w:szCs w:val="18"/>
          <w:color w:val="auto"/>
        </w:rPr>
      </w:pPr>
    </w:p>
    <w:p>
      <w:pPr>
        <w:ind w:left="500" w:hanging="267"/>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117" w:lineRule="exact"/>
        <w:rPr>
          <w:sz w:val="20"/>
          <w:szCs w:val="20"/>
          <w:color w:val="auto"/>
        </w:rPr>
      </w:pPr>
    </w:p>
    <w:p>
      <w:pPr>
        <w:ind w:left="240" w:right="140" w:firstLine="225"/>
        <w:spacing w:after="0" w:line="277" w:lineRule="auto"/>
        <w:rPr>
          <w:sz w:val="20"/>
          <w:szCs w:val="20"/>
          <w:color w:val="auto"/>
        </w:rPr>
      </w:pPr>
      <w:r>
        <w:rPr>
          <w:rFonts w:ascii="Arial" w:cs="Arial" w:eastAsia="Arial" w:hAnsi="Arial"/>
          <w:sz w:val="18"/>
          <w:szCs w:val="18"/>
          <w:color w:val="auto"/>
        </w:rPr>
        <w:t>“affiliate” shall mean a person that directly, or indirectly through one or more intermediaries, controls or is controlled by, or is under common control with, the person specified.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“Basic Prospectus” shall mean the prospectus referred to in paragraph 1(a) above contained in the Registration Statement at the Effective Date.</w:t>
      </w:r>
    </w:p>
    <w:p>
      <w:pPr>
        <w:spacing w:after="0" w:line="129" w:lineRule="exact"/>
        <w:rPr>
          <w:sz w:val="20"/>
          <w:szCs w:val="20"/>
          <w:color w:val="auto"/>
        </w:rPr>
      </w:pPr>
    </w:p>
    <w:p>
      <w:pPr>
        <w:ind w:left="240" w:right="260" w:firstLine="225"/>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3" w:name="page34"/>
    <w:bookmarkEnd w:id="33"/>
    <w:p>
      <w:pPr>
        <w:ind w:right="300" w:firstLine="225"/>
        <w:spacing w:after="0" w:line="342" w:lineRule="auto"/>
        <w:rPr>
          <w:sz w:val="20"/>
          <w:szCs w:val="20"/>
          <w:color w:val="auto"/>
        </w:rPr>
      </w:pPr>
      <w:r>
        <w:rPr>
          <w:rFonts w:ascii="Arial" w:cs="Arial" w:eastAsia="Arial" w:hAnsi="Arial"/>
          <w:sz w:val="16"/>
          <w:szCs w:val="16"/>
          <w:color w:val="auto"/>
        </w:rPr>
        <w:t>“Effective Date”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6"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Time of Sale, together with the Basic Prospectus.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“1940 Act” shall mean the Investment Company Act of 1940, as amended.</w:t>
      </w:r>
    </w:p>
    <w:p>
      <w:pPr>
        <w:spacing w:after="0" w:line="11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“Preliminary Prospectus” shall mean the preliminary prospectus supplement relating to the Securities dated June 3, 2010 that was filed with the Commission pursuant to Rule 424(b) prior to the Time of Sale, together with the Basic Prospectus.</w:t>
      </w:r>
    </w:p>
    <w:p>
      <w:pPr>
        <w:spacing w:after="0" w:line="62"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“Prospectus Delivery Period”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73"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“Registration Statement” shall mean the registration statement referred to in paragraph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“Rule 415,” “Rule 424,” “Rule 430A,” “Rule 430B,” “Rule 430C” and “Rule 462” refer to such rules under the Act.</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“Rule 430 Information”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73"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“Time of Sale” shall mean 3:00 PM New York time on June 3, 2010, the time when sales of the Securities were first made.</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34" w:name="page35"/>
    <w:bookmarkEnd w:id="34"/>
    <w:p>
      <w:pPr>
        <w:ind w:left="7" w:right="340" w:firstLine="225"/>
        <w:spacing w:after="0" w:line="277"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62" w:lineRule="exact"/>
        <w:rPr>
          <w:sz w:val="20"/>
          <w:szCs w:val="20"/>
          <w:color w:val="auto"/>
        </w:rPr>
      </w:pPr>
    </w:p>
    <w:p>
      <w:pPr>
        <w:ind w:left="-233" w:right="40" w:firstLine="233"/>
        <w:spacing w:after="0" w:line="312" w:lineRule="auto"/>
        <w:tabs>
          <w:tab w:leader="none" w:pos="26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Consent to Representation</w:t>
      </w:r>
      <w:r>
        <w:rPr>
          <w:rFonts w:ascii="Arial" w:cs="Arial" w:eastAsia="Arial" w:hAnsi="Arial"/>
          <w:sz w:val="16"/>
          <w:szCs w:val="16"/>
          <w:color w:val="auto"/>
        </w:rPr>
        <w:t>. The Company and the Underwriters acknowledge that Vinson &amp; Elkins L.L.P., which is acting as counsel to the Underwriters in connection with the offer and sale of the Securities, also acts as counsel from time to time to the Company and certain of its affiliates in connection with unrelated matters. The Company and the Underwriters consent to Vinson &amp; Elkins L.L.P. so acting as counsel to the Underwriters.</w:t>
      </w:r>
    </w:p>
    <w:p>
      <w:pPr>
        <w:spacing w:after="0" w:line="38" w:lineRule="exact"/>
        <w:rPr>
          <w:rFonts w:ascii="Arial" w:cs="Arial" w:eastAsia="Arial" w:hAnsi="Arial"/>
          <w:sz w:val="16"/>
          <w:szCs w:val="16"/>
          <w:color w:val="auto"/>
        </w:rPr>
      </w:pPr>
    </w:p>
    <w:p>
      <w:pPr>
        <w:ind w:left="-233" w:firstLine="233"/>
        <w:spacing w:after="0" w:line="259" w:lineRule="auto"/>
        <w:tabs>
          <w:tab w:leader="none" w:pos="26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0" w:lineRule="exact"/>
        <w:rPr>
          <w:sz w:val="20"/>
          <w:szCs w:val="20"/>
          <w:color w:val="auto"/>
        </w:rPr>
      </w:pPr>
    </w:p>
    <w:p>
      <w:pPr>
        <w:jc w:val="center"/>
        <w:ind w:right="-206"/>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7"/>
          </w:cols>
          <w:pgMar w:left="473" w:top="936" w:right="679" w:bottom="1440" w:gutter="0" w:footer="0" w:header="0"/>
        </w:sectPr>
      </w:pPr>
    </w:p>
    <w:bookmarkStart w:id="35" w:name="page36"/>
    <w:bookmarkEnd w:id="35"/>
    <w:p>
      <w:pPr>
        <w:ind w:firstLine="225"/>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4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Cherie C. Rice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President-Finance &amp; Treasurer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Cherie C. Rice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&amp; Treasurer</w:t>
      </w:r>
    </w:p>
    <w:p>
      <w:pPr>
        <w:spacing w:after="0" w:line="200" w:lineRule="exact"/>
        <w:rPr>
          <w:sz w:val="20"/>
          <w:szCs w:val="20"/>
          <w:color w:val="auto"/>
        </w:rPr>
      </w:pPr>
    </w:p>
    <w:p>
      <w:pPr>
        <w:spacing w:after="0" w:line="335"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auto"/>
        </w:rPr>
        <w:t>Signature Page to Underwriting Agreement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935" w:right="6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The foregoing Agreement is hereby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confirmed and accepted as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spacing w:after="0"/>
              <w:rPr>
                <w:sz w:val="20"/>
                <w:szCs w:val="20"/>
                <w:color w:val="auto"/>
              </w:rPr>
            </w:pPr>
            <w:r>
              <w:rPr>
                <w:rFonts w:ascii="Arial" w:cs="Arial" w:eastAsia="Arial" w:hAnsi="Arial"/>
                <w:sz w:val="18"/>
                <w:szCs w:val="18"/>
                <w:color w:val="auto"/>
              </w:rPr>
              <w:t>BANC OF AMERICA SECURITIES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Laurie Campbell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Pr>
          <w:p>
            <w:pPr>
              <w:spacing w:after="0"/>
              <w:rPr>
                <w:sz w:val="20"/>
                <w:szCs w:val="20"/>
                <w:color w:val="auto"/>
              </w:rPr>
            </w:pPr>
            <w:r>
              <w:rPr>
                <w:rFonts w:ascii="Arial" w:cs="Arial" w:eastAsia="Arial" w:hAnsi="Arial"/>
                <w:sz w:val="18"/>
                <w:szCs w:val="18"/>
                <w:color w:val="auto"/>
              </w:rPr>
              <w:t>Laurie Campbell</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spacing w:after="0"/>
              <w:rPr>
                <w:sz w:val="20"/>
                <w:szCs w:val="20"/>
                <w:color w:val="auto"/>
              </w:rPr>
            </w:pPr>
            <w:r>
              <w:rPr>
                <w:rFonts w:ascii="Arial" w:cs="Arial" w:eastAsia="Arial" w:hAnsi="Arial"/>
                <w:sz w:val="18"/>
                <w:szCs w:val="18"/>
                <w:color w:val="auto"/>
              </w:rPr>
              <w:t>BARCLAYS CAPITAL INC.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Pamela Kendall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Pr>
          <w:p>
            <w:pPr>
              <w:spacing w:after="0"/>
              <w:rPr>
                <w:sz w:val="20"/>
                <w:szCs w:val="20"/>
                <w:color w:val="auto"/>
              </w:rPr>
            </w:pPr>
            <w:r>
              <w:rPr>
                <w:rFonts w:ascii="Arial" w:cs="Arial" w:eastAsia="Arial" w:hAnsi="Arial"/>
                <w:sz w:val="18"/>
                <w:szCs w:val="18"/>
                <w:color w:val="auto"/>
              </w:rPr>
              <w:t>Pamela Kendall</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any, named in Schedule II to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319" w:lineRule="exact"/>
        <w:rPr>
          <w:sz w:val="20"/>
          <w:szCs w:val="20"/>
          <w:color w:val="auto"/>
        </w:rPr>
      </w:pPr>
    </w:p>
    <w:p>
      <w:pPr>
        <w:jc w:val="right"/>
        <w:ind w:right="2799"/>
        <w:spacing w:after="0"/>
        <w:rPr>
          <w:sz w:val="20"/>
          <w:szCs w:val="20"/>
          <w:color w:val="auto"/>
        </w:rPr>
      </w:pPr>
      <w:r>
        <w:rPr>
          <w:rFonts w:ascii="Arial" w:cs="Arial" w:eastAsia="Arial" w:hAnsi="Arial"/>
          <w:sz w:val="18"/>
          <w:szCs w:val="18"/>
          <w:i w:val="1"/>
          <w:iCs w:val="1"/>
          <w:color w:val="auto"/>
        </w:rPr>
        <w:t>Signature Page to Underwriting Agreement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Free Writing Prospectus dated June 3, 2010 relating to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June 3,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Prospectus dated September 22, 2009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333-162059</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760" w:type="dxa"/>
            <w:vAlign w:val="bottom"/>
          </w:tcPr>
          <w:p>
            <w:pPr>
              <w:ind w:left="1080"/>
              <w:spacing w:after="0"/>
              <w:rPr>
                <w:sz w:val="20"/>
                <w:szCs w:val="20"/>
                <w:color w:val="auto"/>
              </w:rPr>
            </w:pPr>
            <w:r>
              <w:rPr>
                <w:rFonts w:ascii="Arial" w:cs="Arial" w:eastAsia="Arial" w:hAnsi="Arial"/>
                <w:sz w:val="18"/>
                <w:szCs w:val="18"/>
                <w:b w:val="1"/>
                <w:bCs w:val="1"/>
                <w:color w:val="auto"/>
              </w:rPr>
              <w:t>Final Pricing Term Sheet</w:t>
            </w:r>
          </w:p>
        </w:tc>
      </w:tr>
      <w:tr>
        <w:trPr>
          <w:trHeight w:val="234"/>
        </w:trPr>
        <w:tc>
          <w:tcPr>
            <w:tcW w:w="3660" w:type="dxa"/>
            <w:vAlign w:val="bottom"/>
          </w:tcPr>
          <w:p>
            <w:pPr>
              <w:spacing w:after="0"/>
              <w:rPr>
                <w:sz w:val="20"/>
                <w:szCs w:val="20"/>
                <w:color w:val="auto"/>
              </w:rPr>
            </w:pPr>
          </w:p>
        </w:tc>
        <w:tc>
          <w:tcPr>
            <w:tcW w:w="7760" w:type="dxa"/>
            <w:vAlign w:val="bottom"/>
          </w:tcPr>
          <w:p>
            <w:pPr>
              <w:ind w:left="940"/>
              <w:spacing w:after="0"/>
              <w:rPr>
                <w:sz w:val="20"/>
                <w:szCs w:val="20"/>
                <w:color w:val="auto"/>
              </w:rPr>
            </w:pPr>
            <w:r>
              <w:rPr>
                <w:rFonts w:ascii="Arial" w:cs="Arial" w:eastAsia="Arial" w:hAnsi="Arial"/>
                <w:sz w:val="18"/>
                <w:szCs w:val="18"/>
                <w:b w:val="1"/>
                <w:bCs w:val="1"/>
                <w:color w:val="auto"/>
              </w:rPr>
              <w:t>4.75% Senior Notes due 2020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Issuer:</w:t>
            </w:r>
          </w:p>
        </w:tc>
        <w:tc>
          <w:tcPr>
            <w:tcW w:w="7760" w:type="dxa"/>
            <w:vAlign w:val="bottom"/>
          </w:tcPr>
          <w:p>
            <w:pPr>
              <w:ind w:left="2340"/>
              <w:spacing w:after="0"/>
              <w:rPr>
                <w:sz w:val="20"/>
                <w:szCs w:val="20"/>
                <w:color w:val="auto"/>
              </w:rPr>
            </w:pPr>
            <w:r>
              <w:rPr>
                <w:rFonts w:ascii="Arial" w:cs="Arial" w:eastAsia="Arial" w:hAnsi="Arial"/>
                <w:sz w:val="18"/>
                <w:szCs w:val="18"/>
                <w:color w:val="auto"/>
              </w:rPr>
              <w:t>Waste Management,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Guarantor:</w:t>
            </w:r>
          </w:p>
        </w:tc>
        <w:tc>
          <w:tcPr>
            <w:tcW w:w="7760" w:type="dxa"/>
            <w:vAlign w:val="bottom"/>
          </w:tcPr>
          <w:p>
            <w:pPr>
              <w:ind w:left="2340"/>
              <w:spacing w:after="0"/>
              <w:rPr>
                <w:sz w:val="20"/>
                <w:szCs w:val="20"/>
                <w:color w:val="auto"/>
              </w:rPr>
            </w:pPr>
            <w:r>
              <w:rPr>
                <w:rFonts w:ascii="Arial" w:cs="Arial" w:eastAsia="Arial" w:hAnsi="Arial"/>
                <w:sz w:val="18"/>
                <w:szCs w:val="18"/>
                <w:color w:val="auto"/>
              </w:rPr>
              <w:t>Waste Management Holdings,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Principal Amount:</w:t>
            </w:r>
          </w:p>
        </w:tc>
        <w:tc>
          <w:tcPr>
            <w:tcW w:w="7760" w:type="dxa"/>
            <w:vAlign w:val="bottom"/>
          </w:tcPr>
          <w:p>
            <w:pPr>
              <w:ind w:left="2340"/>
              <w:spacing w:after="0"/>
              <w:rPr>
                <w:sz w:val="20"/>
                <w:szCs w:val="20"/>
                <w:color w:val="auto"/>
              </w:rPr>
            </w:pPr>
            <w:r>
              <w:rPr>
                <w:rFonts w:ascii="Arial" w:cs="Arial" w:eastAsia="Arial" w:hAnsi="Arial"/>
                <w:sz w:val="18"/>
                <w:szCs w:val="18"/>
                <w:color w:val="auto"/>
              </w:rPr>
              <w:t>$600,000,000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Maturity Date:</w:t>
            </w:r>
          </w:p>
        </w:tc>
        <w:tc>
          <w:tcPr>
            <w:tcW w:w="7760" w:type="dxa"/>
            <w:vAlign w:val="bottom"/>
          </w:tcPr>
          <w:p>
            <w:pPr>
              <w:ind w:left="2340"/>
              <w:spacing w:after="0"/>
              <w:rPr>
                <w:sz w:val="20"/>
                <w:szCs w:val="20"/>
                <w:color w:val="auto"/>
              </w:rPr>
            </w:pPr>
            <w:r>
              <w:rPr>
                <w:rFonts w:ascii="Arial" w:cs="Arial" w:eastAsia="Arial" w:hAnsi="Arial"/>
                <w:sz w:val="18"/>
                <w:szCs w:val="18"/>
                <w:color w:val="auto"/>
              </w:rPr>
              <w:t>June 30, 2020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Coupon:</w:t>
            </w:r>
          </w:p>
        </w:tc>
        <w:tc>
          <w:tcPr>
            <w:tcW w:w="7760" w:type="dxa"/>
            <w:vAlign w:val="bottom"/>
          </w:tcPr>
          <w:p>
            <w:pPr>
              <w:ind w:left="2340"/>
              <w:spacing w:after="0"/>
              <w:rPr>
                <w:sz w:val="20"/>
                <w:szCs w:val="20"/>
                <w:color w:val="auto"/>
              </w:rPr>
            </w:pPr>
            <w:r>
              <w:rPr>
                <w:rFonts w:ascii="Arial" w:cs="Arial" w:eastAsia="Arial" w:hAnsi="Arial"/>
                <w:sz w:val="18"/>
                <w:szCs w:val="18"/>
                <w:color w:val="auto"/>
              </w:rPr>
              <w:t>4.75%</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Price to Public:</w:t>
            </w:r>
          </w:p>
        </w:tc>
        <w:tc>
          <w:tcPr>
            <w:tcW w:w="7760" w:type="dxa"/>
            <w:vAlign w:val="bottom"/>
          </w:tcPr>
          <w:p>
            <w:pPr>
              <w:ind w:left="2340"/>
              <w:spacing w:after="0"/>
              <w:rPr>
                <w:sz w:val="20"/>
                <w:szCs w:val="20"/>
                <w:color w:val="auto"/>
              </w:rPr>
            </w:pPr>
            <w:r>
              <w:rPr>
                <w:rFonts w:ascii="Arial" w:cs="Arial" w:eastAsia="Arial" w:hAnsi="Arial"/>
                <w:sz w:val="18"/>
                <w:szCs w:val="18"/>
                <w:color w:val="auto"/>
              </w:rPr>
              <w:t>99.388% of principal amount</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Underwriting Discount:</w:t>
            </w:r>
          </w:p>
        </w:tc>
        <w:tc>
          <w:tcPr>
            <w:tcW w:w="7760" w:type="dxa"/>
            <w:vAlign w:val="bottom"/>
          </w:tcPr>
          <w:p>
            <w:pPr>
              <w:ind w:left="2340"/>
              <w:spacing w:after="0"/>
              <w:rPr>
                <w:sz w:val="20"/>
                <w:szCs w:val="20"/>
                <w:color w:val="auto"/>
              </w:rPr>
            </w:pPr>
            <w:r>
              <w:rPr>
                <w:rFonts w:ascii="Arial" w:cs="Arial" w:eastAsia="Arial" w:hAnsi="Arial"/>
                <w:sz w:val="18"/>
                <w:szCs w:val="18"/>
                <w:color w:val="auto"/>
              </w:rPr>
              <w:t>0.650%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Benchmark Treasury:</w:t>
            </w:r>
          </w:p>
        </w:tc>
        <w:tc>
          <w:tcPr>
            <w:tcW w:w="7760" w:type="dxa"/>
            <w:vAlign w:val="bottom"/>
          </w:tcPr>
          <w:p>
            <w:pPr>
              <w:ind w:left="2340"/>
              <w:spacing w:after="0"/>
              <w:rPr>
                <w:sz w:val="20"/>
                <w:szCs w:val="20"/>
                <w:color w:val="auto"/>
              </w:rPr>
            </w:pPr>
            <w:r>
              <w:rPr>
                <w:rFonts w:ascii="Arial" w:cs="Arial" w:eastAsia="Arial" w:hAnsi="Arial"/>
                <w:sz w:val="18"/>
                <w:szCs w:val="18"/>
                <w:color w:val="auto"/>
              </w:rPr>
              <w:t>3.500% due 5/15/2020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760" w:type="dxa"/>
            <w:vAlign w:val="bottom"/>
          </w:tcPr>
          <w:p>
            <w:pPr>
              <w:ind w:left="2340"/>
              <w:spacing w:after="0"/>
              <w:rPr>
                <w:sz w:val="20"/>
                <w:szCs w:val="20"/>
                <w:color w:val="auto"/>
              </w:rPr>
            </w:pPr>
            <w:r>
              <w:rPr>
                <w:rFonts w:ascii="Arial" w:cs="Arial" w:eastAsia="Arial" w:hAnsi="Arial"/>
                <w:sz w:val="18"/>
                <w:szCs w:val="18"/>
                <w:color w:val="auto"/>
              </w:rPr>
              <w:t>1.470%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760" w:type="dxa"/>
            <w:vAlign w:val="bottom"/>
          </w:tcPr>
          <w:p>
            <w:pPr>
              <w:ind w:left="2340"/>
              <w:spacing w:after="0"/>
              <w:rPr>
                <w:sz w:val="20"/>
                <w:szCs w:val="20"/>
                <w:color w:val="auto"/>
              </w:rPr>
            </w:pPr>
            <w:r>
              <w:rPr>
                <w:rFonts w:ascii="Arial" w:cs="Arial" w:eastAsia="Arial" w:hAnsi="Arial"/>
                <w:sz w:val="18"/>
                <w:szCs w:val="18"/>
                <w:color w:val="auto"/>
              </w:rPr>
              <w:t>101-06 + / 3.357%</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Yield to maturity:</w:t>
            </w:r>
          </w:p>
        </w:tc>
        <w:tc>
          <w:tcPr>
            <w:tcW w:w="7760" w:type="dxa"/>
            <w:vAlign w:val="bottom"/>
          </w:tcPr>
          <w:p>
            <w:pPr>
              <w:ind w:left="2340"/>
              <w:spacing w:after="0"/>
              <w:rPr>
                <w:sz w:val="20"/>
                <w:szCs w:val="20"/>
                <w:color w:val="auto"/>
              </w:rPr>
            </w:pPr>
            <w:r>
              <w:rPr>
                <w:rFonts w:ascii="Arial" w:cs="Arial" w:eastAsia="Arial" w:hAnsi="Arial"/>
                <w:sz w:val="18"/>
                <w:szCs w:val="18"/>
                <w:color w:val="auto"/>
              </w:rPr>
              <w:t>4.827%</w:t>
            </w: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760" w:type="dxa"/>
            <w:vAlign w:val="bottom"/>
          </w:tcPr>
          <w:p>
            <w:pPr>
              <w:ind w:left="2340"/>
              <w:spacing w:after="0"/>
              <w:rPr>
                <w:sz w:val="20"/>
                <w:szCs w:val="20"/>
                <w:color w:val="auto"/>
              </w:rPr>
            </w:pPr>
            <w:r>
              <w:rPr>
                <w:rFonts w:ascii="Arial" w:cs="Arial" w:eastAsia="Arial" w:hAnsi="Arial"/>
                <w:sz w:val="18"/>
                <w:szCs w:val="18"/>
                <w:color w:val="auto"/>
                <w:w w:val="92"/>
              </w:rPr>
              <w:t>Semi-annually on June 30 and December 30, commencing December 30,</w:t>
            </w:r>
          </w:p>
        </w:tc>
      </w:tr>
      <w:tr>
        <w:trPr>
          <w:trHeight w:val="230"/>
        </w:trPr>
        <w:tc>
          <w:tcPr>
            <w:tcW w:w="3660" w:type="dxa"/>
            <w:vAlign w:val="bottom"/>
          </w:tcPr>
          <w:p>
            <w:pPr>
              <w:spacing w:after="0"/>
              <w:rPr>
                <w:sz w:val="20"/>
                <w:szCs w:val="20"/>
                <w:color w:val="auto"/>
              </w:rPr>
            </w:pPr>
          </w:p>
        </w:tc>
        <w:tc>
          <w:tcPr>
            <w:tcW w:w="7760" w:type="dxa"/>
            <w:vAlign w:val="bottom"/>
          </w:tcPr>
          <w:p>
            <w:pPr>
              <w:ind w:left="2340"/>
              <w:spacing w:after="0"/>
              <w:rPr>
                <w:sz w:val="20"/>
                <w:szCs w:val="20"/>
                <w:color w:val="auto"/>
              </w:rPr>
            </w:pPr>
            <w:r>
              <w:rPr>
                <w:rFonts w:ascii="Arial" w:cs="Arial" w:eastAsia="Arial" w:hAnsi="Arial"/>
                <w:sz w:val="18"/>
                <w:szCs w:val="18"/>
                <w:color w:val="auto"/>
              </w:rPr>
              <w:t>2010.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Optional Redemption:</w:t>
            </w:r>
          </w:p>
        </w:tc>
        <w:tc>
          <w:tcPr>
            <w:tcW w:w="7760" w:type="dxa"/>
            <w:vAlign w:val="bottom"/>
          </w:tcPr>
          <w:p>
            <w:pPr>
              <w:ind w:left="2340"/>
              <w:spacing w:after="0"/>
              <w:rPr>
                <w:sz w:val="20"/>
                <w:szCs w:val="20"/>
                <w:color w:val="auto"/>
              </w:rPr>
            </w:pPr>
            <w:r>
              <w:rPr>
                <w:rFonts w:ascii="Arial" w:cs="Arial" w:eastAsia="Arial" w:hAnsi="Arial"/>
                <w:sz w:val="18"/>
                <w:szCs w:val="18"/>
                <w:color w:val="auto"/>
              </w:rPr>
              <w:t>At a discount rate of Treasury plus 25 basis points.</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Settlement:</w:t>
            </w:r>
          </w:p>
        </w:tc>
        <w:tc>
          <w:tcPr>
            <w:tcW w:w="7760" w:type="dxa"/>
            <w:vAlign w:val="bottom"/>
          </w:tcPr>
          <w:p>
            <w:pPr>
              <w:ind w:left="2340"/>
              <w:spacing w:after="0"/>
              <w:rPr>
                <w:sz w:val="20"/>
                <w:szCs w:val="20"/>
                <w:color w:val="auto"/>
              </w:rPr>
            </w:pPr>
            <w:r>
              <w:rPr>
                <w:rFonts w:ascii="Arial" w:cs="Arial" w:eastAsia="Arial" w:hAnsi="Arial"/>
                <w:sz w:val="18"/>
                <w:szCs w:val="18"/>
                <w:color w:val="auto"/>
              </w:rPr>
              <w:t>T+3; June 8, 2010</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CUSIP:</w:t>
            </w:r>
          </w:p>
        </w:tc>
        <w:tc>
          <w:tcPr>
            <w:tcW w:w="7760" w:type="dxa"/>
            <w:vAlign w:val="bottom"/>
          </w:tcPr>
          <w:p>
            <w:pPr>
              <w:ind w:left="2340"/>
              <w:spacing w:after="0"/>
              <w:rPr>
                <w:sz w:val="20"/>
                <w:szCs w:val="20"/>
                <w:color w:val="auto"/>
              </w:rPr>
            </w:pPr>
            <w:r>
              <w:rPr>
                <w:rFonts w:ascii="Arial" w:cs="Arial" w:eastAsia="Arial" w:hAnsi="Arial"/>
                <w:sz w:val="18"/>
                <w:szCs w:val="18"/>
                <w:color w:val="auto"/>
              </w:rPr>
              <w:t>94106LAW9</w:t>
            </w: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760" w:type="dxa"/>
            <w:vAlign w:val="bottom"/>
          </w:tcPr>
          <w:p>
            <w:pPr>
              <w:ind w:left="2340"/>
              <w:spacing w:after="0"/>
              <w:rPr>
                <w:sz w:val="20"/>
                <w:szCs w:val="20"/>
                <w:color w:val="auto"/>
              </w:rPr>
            </w:pPr>
            <w:r>
              <w:rPr>
                <w:rFonts w:ascii="Arial" w:cs="Arial" w:eastAsia="Arial" w:hAnsi="Arial"/>
                <w:sz w:val="18"/>
                <w:szCs w:val="18"/>
                <w:color w:val="auto"/>
              </w:rPr>
              <w:t>Banc of America Securities LLC</w:t>
            </w:r>
          </w:p>
        </w:tc>
      </w:tr>
      <w:tr>
        <w:trPr>
          <w:trHeight w:val="216"/>
        </w:trPr>
        <w:tc>
          <w:tcPr>
            <w:tcW w:w="3660" w:type="dxa"/>
            <w:vAlign w:val="bottom"/>
          </w:tcPr>
          <w:p>
            <w:pPr>
              <w:spacing w:after="0"/>
              <w:rPr>
                <w:sz w:val="18"/>
                <w:szCs w:val="18"/>
                <w:color w:val="auto"/>
              </w:rPr>
            </w:pPr>
          </w:p>
        </w:tc>
        <w:tc>
          <w:tcPr>
            <w:tcW w:w="7760" w:type="dxa"/>
            <w:vAlign w:val="bottom"/>
          </w:tcPr>
          <w:p>
            <w:pPr>
              <w:ind w:left="2340"/>
              <w:spacing w:after="0"/>
              <w:rPr>
                <w:sz w:val="20"/>
                <w:szCs w:val="20"/>
                <w:color w:val="auto"/>
              </w:rPr>
            </w:pPr>
            <w:r>
              <w:rPr>
                <w:rFonts w:ascii="Arial" w:cs="Arial" w:eastAsia="Arial" w:hAnsi="Arial"/>
                <w:sz w:val="18"/>
                <w:szCs w:val="18"/>
                <w:color w:val="auto"/>
              </w:rPr>
              <w:t>Barclays Capital Inc.</w:t>
            </w:r>
          </w:p>
        </w:tc>
      </w:tr>
      <w:tr>
        <w:trPr>
          <w:trHeight w:val="216"/>
        </w:trPr>
        <w:tc>
          <w:tcPr>
            <w:tcW w:w="3660" w:type="dxa"/>
            <w:vAlign w:val="bottom"/>
          </w:tcPr>
          <w:p>
            <w:pPr>
              <w:spacing w:after="0"/>
              <w:rPr>
                <w:sz w:val="18"/>
                <w:szCs w:val="18"/>
                <w:color w:val="auto"/>
              </w:rPr>
            </w:pPr>
          </w:p>
        </w:tc>
        <w:tc>
          <w:tcPr>
            <w:tcW w:w="7760" w:type="dxa"/>
            <w:vAlign w:val="bottom"/>
          </w:tcPr>
          <w:p>
            <w:pPr>
              <w:ind w:left="2340"/>
              <w:spacing w:after="0"/>
              <w:rPr>
                <w:sz w:val="20"/>
                <w:szCs w:val="20"/>
                <w:color w:val="auto"/>
              </w:rPr>
            </w:pPr>
            <w:r>
              <w:rPr>
                <w:rFonts w:ascii="Arial" w:cs="Arial" w:eastAsia="Arial" w:hAnsi="Arial"/>
                <w:sz w:val="18"/>
                <w:szCs w:val="18"/>
                <w:color w:val="auto"/>
              </w:rPr>
              <w:t>Citigroup Global Markets Inc.</w:t>
            </w:r>
          </w:p>
        </w:tc>
      </w:tr>
      <w:tr>
        <w:trPr>
          <w:trHeight w:val="230"/>
        </w:trPr>
        <w:tc>
          <w:tcPr>
            <w:tcW w:w="3660" w:type="dxa"/>
            <w:vAlign w:val="bottom"/>
          </w:tcPr>
          <w:p>
            <w:pPr>
              <w:spacing w:after="0"/>
              <w:rPr>
                <w:sz w:val="20"/>
                <w:szCs w:val="20"/>
                <w:color w:val="auto"/>
              </w:rPr>
            </w:pPr>
          </w:p>
        </w:tc>
        <w:tc>
          <w:tcPr>
            <w:tcW w:w="7760" w:type="dxa"/>
            <w:vAlign w:val="bottom"/>
          </w:tcPr>
          <w:p>
            <w:pPr>
              <w:ind w:left="2340"/>
              <w:spacing w:after="0"/>
              <w:rPr>
                <w:sz w:val="20"/>
                <w:szCs w:val="20"/>
                <w:color w:val="auto"/>
              </w:rPr>
            </w:pPr>
            <w:r>
              <w:rPr>
                <w:rFonts w:ascii="Arial" w:cs="Arial" w:eastAsia="Arial" w:hAnsi="Arial"/>
                <w:sz w:val="18"/>
                <w:szCs w:val="18"/>
                <w:color w:val="auto"/>
              </w:rPr>
              <w:t>Goldman, Sachs &amp; Co.</w:t>
            </w:r>
          </w:p>
        </w:tc>
      </w:tr>
      <w:tr>
        <w:trPr>
          <w:trHeight w:val="632"/>
        </w:trPr>
        <w:tc>
          <w:tcPr>
            <w:tcW w:w="3660" w:type="dxa"/>
            <w:vAlign w:val="bottom"/>
            <w:tcBorders>
              <w:bottom w:val="single" w:sz="8" w:color="808080"/>
            </w:tcBorders>
          </w:tcPr>
          <w:p>
            <w:pPr>
              <w:spacing w:after="0"/>
              <w:rPr>
                <w:sz w:val="24"/>
                <w:szCs w:val="24"/>
                <w:color w:val="auto"/>
              </w:rPr>
            </w:pPr>
          </w:p>
        </w:tc>
        <w:tc>
          <w:tcPr>
            <w:tcW w:w="7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200" w:lineRule="exact"/>
        <w:rPr>
          <w:sz w:val="20"/>
          <w:szCs w:val="20"/>
          <w:color w:val="auto"/>
        </w:rPr>
      </w:pPr>
    </w:p>
    <w:p>
      <w:pPr>
        <w:sectPr>
          <w:pgSz w:w="11900" w:h="16838" w:orient="portrait"/>
          <w:cols w:equalWidth="0" w:num="2">
            <w:col w:w="5280" w:space="720"/>
            <w:col w:w="5200"/>
          </w:cols>
          <w:pgMar w:left="240" w:top="1152" w:right="45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Baa3 (Stable)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S&amp;P: BBB (Stable)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Fitch: BBB (Stable)</w:t>
      </w:r>
    </w:p>
    <w:p>
      <w:pPr>
        <w:spacing w:after="0" w:line="103" w:lineRule="exact"/>
        <w:rPr>
          <w:sz w:val="20"/>
          <w:szCs w:val="20"/>
          <w:color w:val="auto"/>
        </w:rPr>
      </w:pPr>
    </w:p>
    <w:p>
      <w:pPr>
        <w:sectPr>
          <w:pgSz w:w="11900" w:h="16838" w:orient="portrait"/>
          <w:cols w:equalWidth="0" w:num="2">
            <w:col w:w="5280" w:space="720"/>
            <w:col w:w="5200"/>
          </w:cols>
          <w:pgMar w:left="240" w:top="1152" w:right="459" w:bottom="1440" w:gutter="0" w:footer="0" w:header="0"/>
          <w:type w:val="continuous"/>
        </w:sect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contacting: (1) Banc of America Securities LLC by calling toll-free at (800) 294-1322 or by emailing dg.prospectus_distribution@bofasecurities.com or (2) Barclays Capital Inc. by calling toll-free at (888) 603-5847 or by emailing barclaysprospectus@broadridge.com.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152" w:right="45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Representatives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49"/>
        </w:trPr>
        <w:tc>
          <w:tcPr>
            <w:tcW w:w="9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171"/>
        </w:trPr>
        <w:tc>
          <w:tcPr>
            <w:tcW w:w="96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Barclays Capital Inc.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Goldman, Sachs &amp; Co.</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108,000,000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Morgan Stanley &amp; Co. Incorporated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RBS Securities Inc.</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600,000,000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96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0" w:name="page41"/>
    <w:bookmarkEnd w:id="40"/>
    <w:p>
      <w:pPr>
        <w:jc w:val="center"/>
        <w:ind w:right="-1200"/>
        <w:spacing w:after="0"/>
        <w:rPr>
          <w:sz w:val="20"/>
          <w:szCs w:val="20"/>
          <w:color w:val="auto"/>
        </w:rPr>
      </w:pPr>
      <w:r>
        <w:rPr>
          <w:rFonts w:ascii="Arial" w:cs="Arial" w:eastAsia="Arial" w:hAnsi="Arial"/>
          <w:sz w:val="18"/>
          <w:szCs w:val="18"/>
          <w:b w:val="1"/>
          <w:bCs w:val="1"/>
          <w:color w:val="auto"/>
        </w:rPr>
        <w:t>ANNEX A</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FREE WRITING PROSPECTUSES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Schedule I attached to this Underwriting Agreement.</w:t>
      </w:r>
    </w:p>
    <w:p>
      <w:pPr>
        <w:sectPr>
          <w:pgSz w:w="11900" w:h="16838" w:orient="portrait"/>
          <w:cols w:equalWidth="0" w:num="1">
            <w:col w:w="10219"/>
          </w:cols>
          <w:pgMar w:left="240" w:top="959"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4.2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103"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undersigned, the Vice President – Finance and Treasurer, and the Corporate Secretary of Waste Management, Inc. (the “Company”), hereby certify that:</w:t>
      </w:r>
    </w:p>
    <w:p>
      <w:pPr>
        <w:spacing w:after="0" w:line="62" w:lineRule="exact"/>
        <w:rPr>
          <w:sz w:val="20"/>
          <w:szCs w:val="20"/>
          <w:color w:val="auto"/>
        </w:rPr>
      </w:pPr>
    </w:p>
    <w:p>
      <w:pPr>
        <w:ind w:right="260" w:firstLine="233"/>
        <w:spacing w:after="0" w:line="279" w:lineRule="auto"/>
        <w:tabs>
          <w:tab w:leader="none" w:pos="402"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June 8, 2010 (the “Order”) for the authentication and delivery by the Trustee of $600,000,000 aggregate principal amount of 4.75% Notes due 2020 (the “Notes”).</w:t>
      </w:r>
    </w:p>
    <w:p>
      <w:pPr>
        <w:spacing w:after="0" w:line="63" w:lineRule="exact"/>
        <w:rPr>
          <w:rFonts w:ascii="Arial" w:cs="Arial" w:eastAsia="Arial" w:hAnsi="Arial"/>
          <w:sz w:val="17"/>
          <w:szCs w:val="17"/>
          <w:color w:val="auto"/>
        </w:rPr>
      </w:pPr>
    </w:p>
    <w:p>
      <w:pPr>
        <w:ind w:left="400" w:hanging="167"/>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17" w:lineRule="exact"/>
        <w:rPr>
          <w:rFonts w:ascii="Arial" w:cs="Arial" w:eastAsia="Arial" w:hAnsi="Arial"/>
          <w:sz w:val="18"/>
          <w:szCs w:val="18"/>
          <w:color w:val="auto"/>
        </w:rPr>
      </w:pPr>
    </w:p>
    <w:p>
      <w:pPr>
        <w:ind w:right="360" w:firstLine="233"/>
        <w:spacing w:after="0" w:line="342" w:lineRule="auto"/>
        <w:tabs>
          <w:tab w:leader="none" w:pos="40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5" w:lineRule="exact"/>
        <w:rPr>
          <w:rFonts w:ascii="Arial" w:cs="Arial" w:eastAsia="Arial" w:hAnsi="Arial"/>
          <w:sz w:val="16"/>
          <w:szCs w:val="16"/>
          <w:color w:val="auto"/>
        </w:rPr>
      </w:pPr>
    </w:p>
    <w:p>
      <w:pPr>
        <w:ind w:left="400" w:hanging="167"/>
        <w:spacing w:after="0"/>
        <w:tabs>
          <w:tab w:leader="none" w:pos="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undersigned have examined the Order, and they have examined the covenants, conditions and provisions of the Indenture relating thereto.</w:t>
      </w:r>
    </w:p>
    <w:p>
      <w:pPr>
        <w:spacing w:after="0" w:line="128" w:lineRule="exact"/>
        <w:rPr>
          <w:rFonts w:ascii="Arial" w:cs="Arial" w:eastAsia="Arial" w:hAnsi="Arial"/>
          <w:sz w:val="17"/>
          <w:szCs w:val="17"/>
          <w:color w:val="auto"/>
        </w:rPr>
      </w:pPr>
    </w:p>
    <w:p>
      <w:pPr>
        <w:ind w:right="360" w:firstLine="233"/>
        <w:spacing w:after="0" w:line="308" w:lineRule="auto"/>
        <w:tabs>
          <w:tab w:leader="none" w:pos="405"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38" w:lineRule="exact"/>
        <w:rPr>
          <w:rFonts w:ascii="Arial" w:cs="Arial" w:eastAsia="Arial" w:hAnsi="Arial"/>
          <w:sz w:val="17"/>
          <w:szCs w:val="17"/>
          <w:color w:val="auto"/>
        </w:rPr>
      </w:pPr>
    </w:p>
    <w:p>
      <w:pPr>
        <w:ind w:right="240" w:firstLine="233"/>
        <w:spacing w:after="0" w:line="277" w:lineRule="auto"/>
        <w:tabs>
          <w:tab w:leader="none" w:pos="3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conditions precedent provided in the Indenture to the authentication by the Trustee of $600,000,000 aggregate principal amount of the Notes have been complied with, and such Notes may be delivered in accordance with the Order as provided in the Indenture.</w:t>
      </w:r>
    </w:p>
    <w:p>
      <w:pPr>
        <w:spacing w:after="0" w:line="62" w:lineRule="exact"/>
        <w:rPr>
          <w:rFonts w:ascii="Arial" w:cs="Arial" w:eastAsia="Arial" w:hAnsi="Arial"/>
          <w:sz w:val="18"/>
          <w:szCs w:val="18"/>
          <w:color w:val="auto"/>
        </w:rPr>
      </w:pPr>
    </w:p>
    <w:p>
      <w:pPr>
        <w:jc w:val="both"/>
        <w:ind w:firstLine="233"/>
        <w:spacing w:after="0" w:line="264" w:lineRule="auto"/>
        <w:tabs>
          <w:tab w:leader="none" w:pos="4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duly authorized by resolutions of the Board of Directors of the Company as of August 20, 2009 and such resolutions,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IN WITNESS WHEREOF, the undersigned has hereunto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159385</wp:posOffset>
            </wp:positionV>
            <wp:extent cx="28301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4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Cherie C. Rice</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Vice President – Finance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252095</wp:posOffset>
            </wp:positionV>
            <wp:extent cx="28301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8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Linda J. Smith</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Corporate Secretary</w:t>
      </w:r>
    </w:p>
    <w:p>
      <w:pPr>
        <w:spacing w:after="0" w:line="31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Section 301 of the Indenture dated as of September 10,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412750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6"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Notes</w:t>
      </w:r>
    </w:p>
    <w:p>
      <w:pPr>
        <w:spacing w:after="0" w:line="103"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Pursuant to authority granted by the Board of Directors of the Company on August 20, 2009 and the Sole Director of Waste Management Holdings, Inc. on May 27, 2010,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5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title of the series of Securities shall be “4.75% Senior Notes due 2020” (the “Notes”).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130" w:lineRule="exact"/>
        <w:rPr>
          <w:rFonts w:ascii="Arial" w:cs="Arial" w:eastAsia="Arial" w:hAnsi="Arial"/>
          <w:sz w:val="18"/>
          <w:szCs w:val="18"/>
          <w:color w:val="auto"/>
        </w:rPr>
      </w:pPr>
    </w:p>
    <w:p>
      <w:pPr>
        <w:ind w:left="460" w:right="180" w:hanging="452"/>
        <w:spacing w:after="0" w:line="279"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initial aggregate principal amount of the Notes that may be authenticated and delivered under the Indenture shall be $600,000,000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76" w:lineRule="exact"/>
        <w:rPr>
          <w:rFonts w:ascii="Arial" w:cs="Arial" w:eastAsia="Arial" w:hAnsi="Arial"/>
          <w:sz w:val="17"/>
          <w:szCs w:val="17"/>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June 30, 2020.</w:t>
      </w:r>
    </w:p>
    <w:p>
      <w:pPr>
        <w:spacing w:after="0" w:line="130" w:lineRule="exact"/>
        <w:rPr>
          <w:rFonts w:ascii="Arial" w:cs="Arial" w:eastAsia="Arial" w:hAnsi="Arial"/>
          <w:sz w:val="18"/>
          <w:szCs w:val="18"/>
          <w:color w:val="auto"/>
        </w:rPr>
      </w:pPr>
    </w:p>
    <w:p>
      <w:pPr>
        <w:ind w:left="460" w:right="280" w:hanging="452"/>
        <w:spacing w:after="0" w:line="30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Note shall bear interest from June 8, 2010 at the fixed rate of 4.75% per annum; the Interest Payment Dates on which such interest shall be payable shall be June 30 and December 30, of each year, commencing December 30, 2010, until maturity unless such date falls on a day that is not a Business Day, in which case, such payment shall be made on the next day that is a Business Day. The Regular Record Date for the determination of Holders to whom interest is payable shall be June 15 or December 15, respectively, immediately preceding such date, as the case may be.</w:t>
      </w:r>
    </w:p>
    <w:p>
      <w:pPr>
        <w:spacing w:after="0" w:line="59" w:lineRule="exact"/>
        <w:rPr>
          <w:rFonts w:ascii="Arial" w:cs="Arial" w:eastAsia="Arial" w:hAnsi="Arial"/>
          <w:sz w:val="16"/>
          <w:szCs w:val="16"/>
          <w:color w:val="auto"/>
        </w:rPr>
      </w:pPr>
    </w:p>
    <w:p>
      <w:pPr>
        <w:ind w:left="460" w:right="160" w:hanging="452"/>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86"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4" w:name="page45"/>
    <w:bookmarkEnd w:id="44"/>
    <w:p>
      <w:pPr>
        <w:ind w:left="452" w:right="160" w:hanging="452"/>
        <w:spacing w:after="0" w:line="259"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92" w:lineRule="exact"/>
        <w:rPr>
          <w:rFonts w:ascii="Arial" w:cs="Arial" w:eastAsia="Arial" w:hAnsi="Arial"/>
          <w:sz w:val="18"/>
          <w:szCs w:val="18"/>
          <w:color w:val="auto"/>
        </w:rPr>
      </w:pPr>
    </w:p>
    <w:p>
      <w:pPr>
        <w:ind w:left="452" w:right="140" w:hanging="452"/>
        <w:spacing w:after="0" w:line="297" w:lineRule="auto"/>
        <w:tabs>
          <w:tab w:leader="none" w:pos="4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Notes will be redeemable, at the option of the Company, at any time in whole, or from time to time in part, at a Redemption Price equal to the greater of (i) 100% of the principal amount of the Notes to be redeemed or (ii) the sum of the present value of the remaining scheduled payments of principal and interest (at the rate in effect on the date of calculation of the Redemption Price) thereon (exclusive of interest accrued to the Redemption Date (as defined in the Notes)) discounted to the Redemption Date on a semiannual basis (assuming a 360 day year consisting of twelve 30-day months) at the applicable Treasury Yield (as defined in the Notes) plus 25 basis points; plus, in either case, accrued interest to the Redemption Date.</w:t>
      </w:r>
    </w:p>
    <w:p>
      <w:pPr>
        <w:spacing w:after="0" w:line="63" w:lineRule="exact"/>
        <w:rPr>
          <w:rFonts w:ascii="Arial" w:cs="Arial" w:eastAsia="Arial" w:hAnsi="Arial"/>
          <w:sz w:val="16"/>
          <w:szCs w:val="16"/>
          <w:color w:val="auto"/>
        </w:rPr>
      </w:pPr>
    </w:p>
    <w:p>
      <w:pPr>
        <w:ind w:left="452" w:right="500" w:hanging="452"/>
        <w:spacing w:after="0" w:line="277"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75" w:lineRule="exact"/>
        <w:rPr>
          <w:rFonts w:ascii="Arial" w:cs="Arial" w:eastAsia="Arial" w:hAnsi="Arial"/>
          <w:sz w:val="18"/>
          <w:szCs w:val="18"/>
          <w:color w:val="auto"/>
        </w:rPr>
      </w:pPr>
    </w:p>
    <w:p>
      <w:pPr>
        <w:ind w:left="452" w:right="960" w:hanging="452"/>
        <w:spacing w:after="0" w:line="277" w:lineRule="auto"/>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Bank of New York Mellon shall serve initially as Security Registrar for the Notes.</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130" w:lineRule="exact"/>
        <w:rPr>
          <w:rFonts w:ascii="Arial" w:cs="Arial" w:eastAsia="Arial" w:hAnsi="Arial"/>
          <w:sz w:val="18"/>
          <w:szCs w:val="18"/>
          <w:color w:val="auto"/>
        </w:rPr>
      </w:pPr>
    </w:p>
    <w:p>
      <w:pPr>
        <w:ind w:left="452" w:hanging="452"/>
        <w:spacing w:after="0" w:line="302" w:lineRule="auto"/>
        <w:tabs>
          <w:tab w:leader="none" w:pos="4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Notes will be fully and unconditionally guaranteed on a senior basis by the Company’s wholly-owned subsidiary, Waste Management Holdings, Inc., pursuant to the terms and conditions of a Guarantee Agreement dated June 8, 2010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362585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BOOK-ENTRY SECURITY</w:t>
      </w:r>
    </w:p>
    <w:p>
      <w:pPr>
        <w:spacing w:after="0" w:line="117" w:lineRule="exact"/>
        <w:rPr>
          <w:sz w:val="20"/>
          <w:szCs w:val="20"/>
          <w:color w:val="auto"/>
        </w:rPr>
      </w:pPr>
    </w:p>
    <w:p>
      <w:pPr>
        <w:ind w:right="260" w:firstLine="222"/>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RGN</w:t>
            </w:r>
          </w:p>
        </w:tc>
        <w:tc>
          <w:tcPr>
            <w:tcW w:w="3760" w:type="dxa"/>
            <w:vAlign w:val="bottom"/>
          </w:tcPr>
          <w:p>
            <w:pPr>
              <w:jc w:val="right"/>
              <w:spacing w:after="0"/>
              <w:rPr>
                <w:sz w:val="20"/>
                <w:szCs w:val="20"/>
                <w:color w:val="auto"/>
              </w:rPr>
            </w:pPr>
            <w:r>
              <w:rPr>
                <w:rFonts w:ascii="Arial" w:cs="Arial" w:eastAsia="Arial" w:hAnsi="Arial"/>
                <w:sz w:val="18"/>
                <w:szCs w:val="18"/>
                <w:color w:val="auto"/>
              </w:rPr>
              <w:t>Principal Amount</w:t>
            </w:r>
          </w:p>
        </w:tc>
        <w:tc>
          <w:tcPr>
            <w:tcW w:w="0" w:type="dxa"/>
            <w:vAlign w:val="bottom"/>
          </w:tcPr>
          <w:p>
            <w:pPr>
              <w:spacing w:after="0"/>
              <w:rPr>
                <w:sz w:val="1"/>
                <w:szCs w:val="1"/>
                <w:color w:val="auto"/>
              </w:rPr>
            </w:pPr>
          </w:p>
        </w:tc>
      </w:tr>
      <w:tr>
        <w:trPr>
          <w:trHeight w:val="418"/>
        </w:trPr>
        <w:tc>
          <w:tcPr>
            <w:tcW w:w="7660" w:type="dxa"/>
            <w:vAlign w:val="bottom"/>
          </w:tcPr>
          <w:p>
            <w:pPr>
              <w:jc w:val="center"/>
              <w:ind w:left="3990"/>
              <w:spacing w:after="0"/>
              <w:rPr>
                <w:sz w:val="20"/>
                <w:szCs w:val="20"/>
                <w:color w:val="auto"/>
              </w:rPr>
            </w:pPr>
            <w:r>
              <w:rPr>
                <w:rFonts w:ascii="Arial" w:cs="Arial" w:eastAsia="Arial" w:hAnsi="Arial"/>
                <w:sz w:val="18"/>
                <w:szCs w:val="18"/>
                <w:color w:val="auto"/>
                <w:w w:val="97"/>
              </w:rPr>
              <w:t>WASTE MANAGEMENT, INC.</w:t>
            </w:r>
          </w:p>
        </w:tc>
        <w:tc>
          <w:tcPr>
            <w:tcW w:w="3760" w:type="dxa"/>
            <w:vAlign w:val="bottom"/>
          </w:tcPr>
          <w:p>
            <w:pPr>
              <w:jc w:val="right"/>
              <w:spacing w:after="0"/>
              <w:rPr>
                <w:sz w:val="20"/>
                <w:szCs w:val="20"/>
                <w:color w:val="auto"/>
              </w:rPr>
            </w:pPr>
            <w:r>
              <w:rPr>
                <w:rFonts w:ascii="Arial" w:cs="Arial" w:eastAsia="Arial" w:hAnsi="Arial"/>
                <w:sz w:val="18"/>
                <w:szCs w:val="18"/>
                <w:color w:val="auto"/>
              </w:rPr>
              <w:t>U.S. $   , which may be decreased by the</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Schedule of Exchanges of Definitive Security</w:t>
            </w:r>
          </w:p>
        </w:tc>
        <w:tc>
          <w:tcPr>
            <w:tcW w:w="0" w:type="dxa"/>
            <w:vAlign w:val="bottom"/>
          </w:tcPr>
          <w:p>
            <w:pPr>
              <w:spacing w:after="0"/>
              <w:rPr>
                <w:sz w:val="1"/>
                <w:szCs w:val="1"/>
                <w:color w:val="auto"/>
              </w:rPr>
            </w:pPr>
          </w:p>
        </w:tc>
      </w:tr>
      <w:tr>
        <w:trPr>
          <w:trHeight w:val="230"/>
        </w:trPr>
        <w:tc>
          <w:tcPr>
            <w:tcW w:w="7660" w:type="dxa"/>
            <w:vAlign w:val="bottom"/>
            <w:vMerge w:val="restart"/>
          </w:tcPr>
          <w:p>
            <w:pPr>
              <w:jc w:val="center"/>
              <w:ind w:left="4010"/>
              <w:spacing w:after="0"/>
              <w:rPr>
                <w:sz w:val="20"/>
                <w:szCs w:val="20"/>
                <w:color w:val="auto"/>
              </w:rPr>
            </w:pPr>
            <w:r>
              <w:rPr>
                <w:rFonts w:ascii="Arial" w:cs="Arial" w:eastAsia="Arial" w:hAnsi="Arial"/>
                <w:sz w:val="18"/>
                <w:szCs w:val="18"/>
                <w:color w:val="auto"/>
                <w:w w:val="92"/>
              </w:rPr>
              <w:t>4.75% SENIOR NOTES DUE 2020</w:t>
            </w:r>
          </w:p>
        </w:tc>
        <w:tc>
          <w:tcPr>
            <w:tcW w:w="3760" w:type="dxa"/>
            <w:vAlign w:val="bottom"/>
          </w:tcPr>
          <w:p>
            <w:pPr>
              <w:jc w:val="right"/>
              <w:spacing w:after="0"/>
              <w:rPr>
                <w:sz w:val="20"/>
                <w:szCs w:val="20"/>
                <w:color w:val="auto"/>
              </w:rPr>
            </w:pPr>
            <w:r>
              <w:rPr>
                <w:rFonts w:ascii="Arial" w:cs="Arial" w:eastAsia="Arial" w:hAnsi="Arial"/>
                <w:sz w:val="18"/>
                <w:szCs w:val="18"/>
                <w:color w:val="auto"/>
              </w:rPr>
              <w:t>attached hereto</w:t>
            </w:r>
          </w:p>
        </w:tc>
        <w:tc>
          <w:tcPr>
            <w:tcW w:w="0" w:type="dxa"/>
            <w:vAlign w:val="bottom"/>
          </w:tcPr>
          <w:p>
            <w:pPr>
              <w:spacing w:after="0"/>
              <w:rPr>
                <w:sz w:val="1"/>
                <w:szCs w:val="1"/>
                <w:color w:val="auto"/>
              </w:rPr>
            </w:pPr>
          </w:p>
        </w:tc>
      </w:tr>
      <w:tr>
        <w:trPr>
          <w:trHeight w:val="216"/>
        </w:trPr>
        <w:tc>
          <w:tcPr>
            <w:tcW w:w="7660" w:type="dxa"/>
            <w:vAlign w:val="bottom"/>
            <w:vMerge w:val="continue"/>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60" w:type="dxa"/>
            <w:vAlign w:val="bottom"/>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color w:val="auto"/>
              </w:rPr>
              <w:t>CUSIP 94106LAW9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Million ($ ) U.S. dollars, or such lesser principal sum as is shown on the attached Schedule of Exchanges of Definitive Security, on June 30, 2020 in such coin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6" w:name="page47"/>
    <w:bookmarkEnd w:id="46"/>
    <w:p>
      <w:pPr>
        <w:spacing w:after="0" w:line="259" w:lineRule="auto"/>
        <w:rPr>
          <w:sz w:val="20"/>
          <w:szCs w:val="20"/>
          <w:color w:val="auto"/>
        </w:rPr>
      </w:pPr>
      <w:r>
        <w:rPr>
          <w:rFonts w:ascii="Arial" w:cs="Arial" w:eastAsia="Arial" w:hAnsi="Arial"/>
          <w:sz w:val="18"/>
          <w:szCs w:val="18"/>
          <w:color w:val="auto"/>
        </w:rPr>
        <w:t>currency of the United States of America as at the time of payment shall be legal tender for the payment of public and private debts, and to pay interest at an annual rate of 4.75% payable on June 30 and December 30 of each year, to the person in whose name this Security is registered at the close of business on the record date for such interest, which shall be the preceding June 15 or December 15, respectively, payable commencing December 30, 2010, with interest consisting of interest accrued from June 8, 2010.</w:t>
      </w:r>
    </w:p>
    <w:p>
      <w:pPr>
        <w:spacing w:after="0" w:line="79"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62"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62"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$600,000,000 in principal amount designated as the 4.75% Senior Notes due 2020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85"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7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 charge.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7" w:name="page48"/>
    <w:bookmarkEnd w:id="47"/>
    <w:p>
      <w:pPr>
        <w:ind w:right="40" w:firstLine="222"/>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Dated: June 8, 2010</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INC.,</w:t>
            </w:r>
          </w:p>
        </w:tc>
      </w:t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a Delaware corporation</w:t>
            </w:r>
          </w:p>
        </w:tc>
      </w:tr>
      <w:tr>
        <w:trPr>
          <w:trHeight w:val="432"/>
        </w:trPr>
        <w:tc>
          <w:tcPr>
            <w:tcW w:w="3400" w:type="dxa"/>
            <w:vAlign w:val="bottom"/>
          </w:tcPr>
          <w:p>
            <w:pPr>
              <w:spacing w:after="0"/>
              <w:rPr>
                <w:sz w:val="24"/>
                <w:szCs w:val="24"/>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w:t>
            </w: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Cherie C. Rice</w:t>
            </w:r>
          </w:p>
        </w:tc>
      </w:tr>
      <w:tr>
        <w:trPr>
          <w:trHeight w:val="230"/>
        </w:trPr>
        <w:tc>
          <w:tcPr>
            <w:tcW w:w="3400" w:type="dxa"/>
            <w:vAlign w:val="bottom"/>
          </w:tcPr>
          <w:p>
            <w:pPr>
              <w:spacing w:after="0"/>
              <w:rPr>
                <w:sz w:val="20"/>
                <w:szCs w:val="20"/>
                <w:color w:val="auto"/>
              </w:rPr>
            </w:pPr>
          </w:p>
        </w:tc>
        <w:tc>
          <w:tcPr>
            <w:tcW w:w="6340" w:type="dxa"/>
            <w:vAlign w:val="bottom"/>
            <w:gridSpan w:val="2"/>
          </w:tcPr>
          <w:p>
            <w:pPr>
              <w:ind w:left="2300"/>
              <w:spacing w:after="0"/>
              <w:rPr>
                <w:sz w:val="20"/>
                <w:szCs w:val="20"/>
                <w:color w:val="auto"/>
              </w:rPr>
            </w:pPr>
            <w:r>
              <w:rPr>
                <w:rFonts w:ascii="Arial" w:cs="Arial" w:eastAsia="Arial" w:hAnsi="Arial"/>
                <w:sz w:val="18"/>
                <w:szCs w:val="18"/>
                <w:color w:val="auto"/>
              </w:rPr>
              <w:t>Vice President-Finance and Treasurer</w:t>
            </w:r>
          </w:p>
        </w:tc>
      </w:tr>
      <w:tr>
        <w:trPr>
          <w:trHeight w:val="432"/>
        </w:trPr>
        <w:tc>
          <w:tcPr>
            <w:tcW w:w="3400" w:type="dxa"/>
            <w:vAlign w:val="bottom"/>
          </w:tcPr>
          <w:p>
            <w:pPr>
              <w:spacing w:after="0"/>
              <w:rPr>
                <w:sz w:val="24"/>
                <w:szCs w:val="24"/>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Attest:</w:t>
            </w:r>
          </w:p>
        </w:tc>
      </w:tr>
      <w:tr>
        <w:trPr>
          <w:trHeight w:val="432"/>
        </w:trPr>
        <w:tc>
          <w:tcPr>
            <w:tcW w:w="3400" w:type="dxa"/>
            <w:vAlign w:val="bottom"/>
          </w:tcPr>
          <w:p>
            <w:pPr>
              <w:spacing w:after="0"/>
              <w:rPr>
                <w:sz w:val="24"/>
                <w:szCs w:val="24"/>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w:t>
            </w: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J. Smith</w:t>
            </w:r>
          </w:p>
        </w:tc>
      </w:tr>
      <w:tr>
        <w:trPr>
          <w:trHeight w:val="230"/>
        </w:trPr>
        <w:tc>
          <w:tcPr>
            <w:tcW w:w="3400" w:type="dxa"/>
            <w:vAlign w:val="bottom"/>
          </w:tcPr>
          <w:p>
            <w:pPr>
              <w:spacing w:after="0"/>
              <w:rPr>
                <w:sz w:val="20"/>
                <w:szCs w:val="20"/>
                <w:color w:val="auto"/>
              </w:rPr>
            </w:pPr>
          </w:p>
        </w:tc>
        <w:tc>
          <w:tcPr>
            <w:tcW w:w="6340" w:type="dxa"/>
            <w:vAlign w:val="bottom"/>
            <w:gridSpan w:val="2"/>
          </w:tcPr>
          <w:p>
            <w:pPr>
              <w:ind w:left="2300"/>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Date of Authentication: June 8, 2010</w:t>
            </w:r>
          </w:p>
        </w:tc>
        <w:tc>
          <w:tcPr>
            <w:tcW w:w="5720" w:type="dxa"/>
            <w:vAlign w:val="bottom"/>
            <w:gridSpan w:val="2"/>
          </w:tcPr>
          <w:p>
            <w:pPr>
              <w:ind w:left="1340"/>
              <w:spacing w:after="0"/>
              <w:rPr>
                <w:sz w:val="20"/>
                <w:szCs w:val="20"/>
                <w:color w:val="auto"/>
              </w:rPr>
            </w:pPr>
            <w:r>
              <w:rPr>
                <w:rFonts w:ascii="Arial" w:cs="Arial" w:eastAsia="Arial" w:hAnsi="Arial"/>
                <w:sz w:val="18"/>
                <w:szCs w:val="18"/>
                <w:color w:val="auto"/>
              </w:rPr>
              <w:t>The Bank of New York Mellon Trust</w:t>
            </w:r>
          </w:p>
        </w:tc>
        <w:tc>
          <w:tcPr>
            <w:tcW w:w="168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p>
        </w:tc>
        <w:tc>
          <w:tcPr>
            <w:tcW w:w="5720" w:type="dxa"/>
            <w:vAlign w:val="bottom"/>
            <w:gridSpan w:val="2"/>
          </w:tcPr>
          <w:p>
            <w:pPr>
              <w:ind w:left="1340"/>
              <w:spacing w:after="0"/>
              <w:rPr>
                <w:sz w:val="20"/>
                <w:szCs w:val="20"/>
                <w:color w:val="auto"/>
              </w:rPr>
            </w:pPr>
            <w:r>
              <w:rPr>
                <w:rFonts w:ascii="Arial" w:cs="Arial" w:eastAsia="Arial" w:hAnsi="Arial"/>
                <w:sz w:val="18"/>
                <w:szCs w:val="18"/>
                <w:color w:val="auto"/>
              </w:rPr>
              <w:t>Company N.A., as Trustee</w:t>
            </w:r>
          </w:p>
        </w:tc>
        <w:tc>
          <w:tcPr>
            <w:tcW w:w="1680" w:type="dxa"/>
            <w:vAlign w:val="bottom"/>
          </w:tcPr>
          <w:p>
            <w:pPr>
              <w:spacing w:after="0"/>
              <w:rPr>
                <w:sz w:val="20"/>
                <w:szCs w:val="20"/>
                <w:color w:val="auto"/>
              </w:rPr>
            </w:pPr>
          </w:p>
        </w:tc>
      </w:tr>
      <w:tr>
        <w:trPr>
          <w:trHeight w:val="432"/>
        </w:trPr>
        <w:tc>
          <w:tcPr>
            <w:tcW w:w="4020" w:type="dxa"/>
            <w:vAlign w:val="bottom"/>
          </w:tcPr>
          <w:p>
            <w:pPr>
              <w:spacing w:after="0"/>
              <w:rPr>
                <w:sz w:val="24"/>
                <w:szCs w:val="24"/>
                <w:color w:val="auto"/>
              </w:rPr>
            </w:pPr>
          </w:p>
        </w:tc>
        <w:tc>
          <w:tcPr>
            <w:tcW w:w="5720" w:type="dxa"/>
            <w:vAlign w:val="bottom"/>
            <w:gridSpan w:val="2"/>
          </w:tcPr>
          <w:p>
            <w:pPr>
              <w:ind w:left="1340"/>
              <w:spacing w:after="0"/>
              <w:rPr>
                <w:sz w:val="20"/>
                <w:szCs w:val="20"/>
                <w:color w:val="auto"/>
              </w:rPr>
            </w:pPr>
            <w:r>
              <w:rPr>
                <w:rFonts w:ascii="Arial" w:cs="Arial" w:eastAsia="Arial" w:hAnsi="Arial"/>
                <w:sz w:val="18"/>
                <w:szCs w:val="18"/>
                <w:color w:val="auto"/>
              </w:rPr>
              <w:t>By:</w:t>
            </w:r>
          </w:p>
        </w:tc>
        <w:tc>
          <w:tcPr>
            <w:tcW w:w="1680" w:type="dxa"/>
            <w:vAlign w:val="bottom"/>
          </w:tcPr>
          <w:p>
            <w:pPr>
              <w:spacing w:after="0"/>
              <w:rPr>
                <w:sz w:val="24"/>
                <w:szCs w:val="24"/>
                <w:color w:val="auto"/>
              </w:rPr>
            </w:pPr>
          </w:p>
        </w:tc>
      </w:tr>
      <w:tr>
        <w:trPr>
          <w:trHeight w:val="195"/>
        </w:trPr>
        <w:tc>
          <w:tcPr>
            <w:tcW w:w="4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Marcella Burgess</w:t>
            </w:r>
          </w:p>
        </w:tc>
        <w:tc>
          <w:tcPr>
            <w:tcW w:w="1680" w:type="dxa"/>
            <w:vAlign w:val="bottom"/>
          </w:tcPr>
          <w:p>
            <w:pPr>
              <w:spacing w:after="0"/>
              <w:rPr>
                <w:sz w:val="16"/>
                <w:szCs w:val="16"/>
                <w:color w:val="auto"/>
              </w:rPr>
            </w:pPr>
          </w:p>
        </w:tc>
      </w:tr>
      <w:tr>
        <w:trPr>
          <w:trHeight w:val="230"/>
        </w:trPr>
        <w:tc>
          <w:tcPr>
            <w:tcW w:w="4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w:t>
            </w:r>
          </w:p>
        </w:tc>
        <w:tc>
          <w:tcPr>
            <w:tcW w:w="1680" w:type="dxa"/>
            <w:vAlign w:val="bottom"/>
          </w:tcPr>
          <w:p>
            <w:pPr>
              <w:spacing w:after="0"/>
              <w:rPr>
                <w:sz w:val="20"/>
                <w:szCs w:val="20"/>
                <w:color w:val="auto"/>
              </w:rPr>
            </w:pPr>
          </w:p>
        </w:tc>
      </w:tr>
      <w:tr>
        <w:trPr>
          <w:trHeight w:val="621"/>
        </w:trPr>
        <w:tc>
          <w:tcPr>
            <w:tcW w:w="4020" w:type="dxa"/>
            <w:vAlign w:val="bottom"/>
          </w:tcPr>
          <w:p>
            <w:pPr>
              <w:spacing w:after="0"/>
              <w:rPr>
                <w:sz w:val="24"/>
                <w:szCs w:val="24"/>
                <w:color w:val="auto"/>
              </w:rPr>
            </w:pPr>
          </w:p>
        </w:tc>
        <w:tc>
          <w:tcPr>
            <w:tcW w:w="5720" w:type="dxa"/>
            <w:vAlign w:val="bottom"/>
            <w:gridSpan w:val="2"/>
          </w:tcPr>
          <w:p>
            <w:pPr>
              <w:jc w:val="right"/>
              <w:ind w:right="3890"/>
              <w:spacing w:after="0"/>
              <w:rPr>
                <w:sz w:val="20"/>
                <w:szCs w:val="20"/>
                <w:color w:val="auto"/>
              </w:rPr>
            </w:pPr>
            <w:r>
              <w:rPr>
                <w:rFonts w:ascii="Arial" w:cs="Arial" w:eastAsia="Arial" w:hAnsi="Arial"/>
                <w:sz w:val="18"/>
                <w:szCs w:val="18"/>
                <w:color w:val="auto"/>
              </w:rPr>
              <w:t>7</w:t>
            </w:r>
          </w:p>
        </w:tc>
        <w:tc>
          <w:tcPr>
            <w:tcW w:w="1680" w:type="dxa"/>
            <w:vAlign w:val="bottom"/>
          </w:tcPr>
          <w:p>
            <w:pPr>
              <w:spacing w:after="0"/>
              <w:rPr>
                <w:sz w:val="24"/>
                <w:szCs w:val="24"/>
                <w:color w:val="auto"/>
              </w:rPr>
            </w:pPr>
          </w:p>
        </w:tc>
      </w:tr>
      <w:tr>
        <w:trPr>
          <w:trHeight w:val="226"/>
        </w:trPr>
        <w:tc>
          <w:tcPr>
            <w:tcW w:w="40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4.75% SENIOR NOTES DUE 2020</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4.75% Senior Notes due 2020 of the Company, in initial aggregate principal amount of $600,000,000 (the “Securities”).</w:t>
      </w:r>
    </w:p>
    <w:p>
      <w:pPr>
        <w:spacing w:after="0" w:line="81" w:lineRule="exact"/>
        <w:rPr>
          <w:sz w:val="20"/>
          <w:szCs w:val="20"/>
          <w:color w:val="auto"/>
        </w:rPr>
      </w:pPr>
    </w:p>
    <w:p>
      <w:pPr>
        <w:ind w:left="420" w:hanging="187"/>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promises to pay interest on the principal amount of this Security at the rate of 4.75% per annum.</w:t>
      </w:r>
    </w:p>
    <w:p>
      <w:pPr>
        <w:spacing w:after="0" w:line="117"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The Company will pay interest semi-annually on June 30 and December 30 of each year (each an “Interest Payment Date”), commencing December 30, 2010. Interest on the Securities will accrue from the most recent date to which interest has been paid or, if no interest has been paid on the Securities, from June 8, 2010.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4.75% per annum, in each case to the extent lawful.</w:t>
      </w:r>
    </w:p>
    <w:p>
      <w:pPr>
        <w:spacing w:after="0" w:line="50" w:lineRule="exact"/>
        <w:rPr>
          <w:sz w:val="20"/>
          <w:szCs w:val="20"/>
          <w:color w:val="auto"/>
        </w:rPr>
      </w:pPr>
    </w:p>
    <w:p>
      <w:pPr>
        <w:ind w:left="420" w:hanging="187"/>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ind w:right="40"/>
        <w:spacing w:after="0" w:line="257" w:lineRule="auto"/>
        <w:rPr>
          <w:sz w:val="20"/>
          <w:szCs w:val="20"/>
          <w:color w:val="auto"/>
        </w:rPr>
      </w:pPr>
      <w:r>
        <w:rPr>
          <w:rFonts w:ascii="Arial" w:cs="Arial" w:eastAsia="Arial" w:hAnsi="Arial"/>
          <w:sz w:val="18"/>
          <w:szCs w:val="18"/>
          <w:color w:val="auto"/>
        </w:rPr>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80" w:lineRule="exact"/>
        <w:rPr>
          <w:sz w:val="20"/>
          <w:szCs w:val="20"/>
          <w:color w:val="auto"/>
        </w:rPr>
      </w:pPr>
    </w:p>
    <w:p>
      <w:pPr>
        <w:ind w:left="420" w:hanging="187"/>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Initially, The Bank of New York Mellon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73" w:lineRule="exact"/>
        <w:rPr>
          <w:sz w:val="20"/>
          <w:szCs w:val="20"/>
          <w:color w:val="auto"/>
        </w:rPr>
      </w:pPr>
    </w:p>
    <w:p>
      <w:pPr>
        <w:ind w:left="420" w:hanging="187"/>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is one of a duly authorized issue of Debt Securities of the Company issued and to be issued in one or more series under the Indenture.</w:t>
      </w:r>
    </w:p>
    <w:p>
      <w:pPr>
        <w:spacing w:after="0" w:line="129"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20, 2009 (the “Resolutions”) and the written consent of the sole Director of Waste Management Holdings, Inc. on May 27, 2010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$600,000,000.</w:t>
      </w:r>
    </w:p>
    <w:p>
      <w:pPr>
        <w:spacing w:after="0" w:line="70" w:lineRule="exact"/>
        <w:rPr>
          <w:sz w:val="20"/>
          <w:szCs w:val="20"/>
          <w:color w:val="auto"/>
        </w:rPr>
      </w:pPr>
    </w:p>
    <w:p>
      <w:pPr>
        <w:ind w:left="420" w:hanging="187"/>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25 basis points; plus, in either case, accrued interest to the Redemption Date.</w:t>
      </w:r>
    </w:p>
    <w:p>
      <w:pPr>
        <w:spacing w:after="0" w:line="64"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0" w:name="page51"/>
    <w:bookmarkEnd w:id="50"/>
    <w:p>
      <w:pPr>
        <w:ind w:right="20"/>
        <w:spacing w:after="0" w:line="279" w:lineRule="auto"/>
        <w:rPr>
          <w:sz w:val="20"/>
          <w:szCs w:val="20"/>
          <w:color w:val="auto"/>
        </w:rPr>
      </w:pPr>
      <w:r>
        <w:rPr>
          <w:rFonts w:ascii="Arial" w:cs="Arial" w:eastAsia="Arial" w:hAnsi="Arial"/>
          <w:sz w:val="17"/>
          <w:szCs w:val="17"/>
          <w:color w:val="auto"/>
        </w:rPr>
        <w:t>redeemed, the Redemption Date,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3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73" w:lineRule="exact"/>
        <w:rPr>
          <w:sz w:val="20"/>
          <w:szCs w:val="20"/>
          <w:color w:val="auto"/>
        </w:rPr>
      </w:pPr>
    </w:p>
    <w:p>
      <w:pPr>
        <w:ind w:right="360" w:firstLine="225"/>
        <w:spacing w:after="0" w:line="312" w:lineRule="auto"/>
        <w:rPr>
          <w:sz w:val="20"/>
          <w:szCs w:val="20"/>
          <w:color w:val="auto"/>
        </w:rPr>
      </w:pPr>
      <w:r>
        <w:rPr>
          <w:rFonts w:ascii="Arial" w:cs="Arial" w:eastAsia="Arial" w:hAnsi="Arial"/>
          <w:sz w:val="16"/>
          <w:szCs w:val="16"/>
          <w:color w:val="auto"/>
        </w:rPr>
        <w:t>“Independent Investment Banker” means any of Banc of America Securities LLC, Barclays Capital Inc., Citigroup Global Markets Inc. and Goldman, Sachs &amp; Co. (and their respective successors), or, if all of such firms are unwilling or unable to select the applicable Comparable Treasury Issue, an independent investment banking institution of national standing appointed by the Trustee and reasonably acceptable to the Company.</w:t>
      </w:r>
    </w:p>
    <w:p>
      <w:pPr>
        <w:spacing w:after="0" w:line="3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“Comparable Treasury Price” means, with respect to any Redemption Date, (i) the bid price for the Comparable Treasury Issue (expressed as a percentage of its principal amount) at 4:00 p.m., New York City time, on the third Business Day preceding such Redemption Date, as set forth on “Telerate Page 500” (or such other page as may replace Telerate Page 500), or (ii) if such page (or any successor page) is not displayed or does not contain such bid prices at such time (a) the average of the Reference Treasury Dealer Quotations obtained by the Trustee for such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“Reference Treasury Dealer” means (i) each Banc of America Securities LLC, Barclays Capital Inc., Citigroup Global Markets Inc. and Goldman, Sachs</w:t>
      </w:r>
    </w:p>
    <w:p>
      <w:pPr>
        <w:spacing w:after="0" w:line="46" w:lineRule="exact"/>
        <w:rPr>
          <w:sz w:val="20"/>
          <w:szCs w:val="20"/>
          <w:color w:val="auto"/>
        </w:rPr>
      </w:pPr>
    </w:p>
    <w:p>
      <w:pPr>
        <w:ind w:right="80" w:firstLine="8"/>
        <w:spacing w:after="0" w:line="255" w:lineRule="auto"/>
        <w:tabs>
          <w:tab w:leader="none" w:pos="1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ind w:firstLine="225"/>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117" w:lineRule="exact"/>
        <w:rPr>
          <w:sz w:val="20"/>
          <w:szCs w:val="20"/>
          <w:color w:val="auto"/>
        </w:rPr>
      </w:pPr>
    </w:p>
    <w:p>
      <w:pPr>
        <w:ind w:left="420" w:hanging="187"/>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85" w:lineRule="exact"/>
        <w:rPr>
          <w:sz w:val="20"/>
          <w:szCs w:val="20"/>
          <w:color w:val="auto"/>
        </w:rPr>
      </w:pPr>
    </w:p>
    <w:p>
      <w:pPr>
        <w:ind w:right="340" w:firstLine="222"/>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117" w:lineRule="exact"/>
        <w:rPr>
          <w:sz w:val="20"/>
          <w:szCs w:val="20"/>
          <w:color w:val="auto"/>
        </w:rPr>
      </w:pPr>
    </w:p>
    <w:p>
      <w:pPr>
        <w:ind w:left="660" w:hanging="436"/>
        <w:spacing w:after="0"/>
        <w:tabs>
          <w:tab w:leader="none" w:pos="660" w:val="left"/>
        </w:tabs>
        <w:numPr>
          <w:ilvl w:val="0"/>
          <w:numId w:val="52"/>
        </w:numPr>
        <w:rPr>
          <w:rFonts w:ascii="Arial" w:cs="Arial" w:eastAsia="Arial" w:hAnsi="Arial"/>
          <w:sz w:val="17"/>
          <w:szCs w:val="17"/>
          <w:b w:val="1"/>
          <w:bCs w:val="1"/>
          <w:color w:val="auto"/>
        </w:rPr>
      </w:pPr>
      <w:r>
        <w:rPr>
          <w:rFonts w:ascii="Arial" w:cs="Arial" w:eastAsia="Arial" w:hAnsi="Arial"/>
          <w:sz w:val="17"/>
          <w:szCs w:val="17"/>
          <w:color w:val="auto"/>
        </w:rPr>
        <w:t>accept for payment all Securities or portions of Securities properly tendered and not withdrawn pursuant to the Change of Control Offer;</w:t>
      </w:r>
    </w:p>
    <w:p>
      <w:pPr>
        <w:spacing w:after="0" w:line="142" w:lineRule="exact"/>
        <w:rPr>
          <w:rFonts w:ascii="Arial" w:cs="Arial" w:eastAsia="Arial" w:hAnsi="Arial"/>
          <w:sz w:val="17"/>
          <w:szCs w:val="17"/>
          <w:b w:val="1"/>
          <w:bCs w:val="1"/>
          <w:color w:val="auto"/>
        </w:rPr>
      </w:pPr>
    </w:p>
    <w:p>
      <w:pPr>
        <w:ind w:left="660" w:right="400" w:hanging="436"/>
        <w:spacing w:after="0" w:line="277" w:lineRule="auto"/>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52" w:name="page53"/>
    <w:bookmarkEnd w:id="52"/>
    <w:p>
      <w:pPr>
        <w:ind w:left="660" w:right="160" w:hanging="436"/>
        <w:spacing w:after="0" w:line="277" w:lineRule="auto"/>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80"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117" w:lineRule="exact"/>
        <w:rPr>
          <w:sz w:val="20"/>
          <w:szCs w:val="20"/>
          <w:color w:val="auto"/>
        </w:rPr>
      </w:pPr>
    </w:p>
    <w:p>
      <w:pPr>
        <w:ind w:right="80" w:firstLine="225"/>
        <w:spacing w:after="0" w:line="268"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3" w:name="page54"/>
    <w:bookmarkEnd w:id="53"/>
    <w:p>
      <w:pPr>
        <w:ind w:right="400" w:firstLine="225"/>
        <w:spacing w:after="0" w:line="288"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ind w:right="220" w:firstLine="8"/>
        <w:spacing w:after="0" w:line="255" w:lineRule="auto"/>
        <w:tabs>
          <w:tab w:leader="none" w:pos="2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“Fitch” means Fitch Inc. and its successors.</w:t>
      </w:r>
    </w:p>
    <w:p>
      <w:pPr>
        <w:spacing w:after="0" w:line="117"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17"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Rule 15c3-1(c)(2)(vi)(F) under the Exchange Act selected by the Company (as certified by a resolution of our Board of Directors) as a replacement agency for Fitch, Moody’s or S&amp;P, or all of them, as the case may be.</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“S&amp;P” means Standard &amp; Poor’s Ratings Services, a division of The McGraw-Hill Companies, Inc., and its successors.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right="340" w:firstLine="225"/>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62" w:lineRule="exact"/>
        <w:rPr>
          <w:sz w:val="20"/>
          <w:szCs w:val="20"/>
          <w:color w:val="auto"/>
        </w:rPr>
      </w:pPr>
    </w:p>
    <w:p>
      <w:pPr>
        <w:ind w:left="420" w:hanging="187"/>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117"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39" w:lineRule="exact"/>
        <w:rPr>
          <w:sz w:val="20"/>
          <w:szCs w:val="20"/>
          <w:color w:val="auto"/>
        </w:rPr>
      </w:pPr>
    </w:p>
    <w:p>
      <w:pPr>
        <w:ind w:left="420" w:hanging="187"/>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117" w:lineRule="exact"/>
        <w:rPr>
          <w:sz w:val="20"/>
          <w:szCs w:val="20"/>
          <w:color w:val="auto"/>
        </w:rPr>
      </w:pPr>
    </w:p>
    <w:p>
      <w:pPr>
        <w:ind w:left="420" w:hanging="187"/>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81" w:lineRule="exact"/>
        <w:rPr>
          <w:sz w:val="20"/>
          <w:szCs w:val="20"/>
          <w:color w:val="auto"/>
        </w:rPr>
      </w:pPr>
    </w:p>
    <w:p>
      <w:pPr>
        <w:ind w:left="500" w:hanging="267"/>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117" w:lineRule="exact"/>
        <w:rPr>
          <w:sz w:val="20"/>
          <w:szCs w:val="20"/>
          <w:color w:val="auto"/>
        </w:rPr>
      </w:pPr>
    </w:p>
    <w:p>
      <w:pPr>
        <w:ind w:right="100" w:firstLine="225"/>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left="300" w:hanging="292"/>
        <w:spacing w:after="0"/>
        <w:tabs>
          <w:tab w:leader="none" w:pos="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 sums paid or advanced by the Trustee and the reasonable compensation, expenses, disbursements and advances of the Trustee, its agents and counsel</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ind w:right="200" w:firstLine="8"/>
        <w:spacing w:after="0" w:line="297" w:lineRule="auto"/>
        <w:tabs>
          <w:tab w:leader="none" w:pos="2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50" w:lineRule="exact"/>
        <w:rPr>
          <w:sz w:val="20"/>
          <w:szCs w:val="20"/>
          <w:color w:val="auto"/>
        </w:rPr>
      </w:pPr>
    </w:p>
    <w:p>
      <w:pPr>
        <w:ind w:left="500" w:hanging="267"/>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117"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6" w:lineRule="exact"/>
        <w:rPr>
          <w:sz w:val="20"/>
          <w:szCs w:val="20"/>
          <w:color w:val="auto"/>
        </w:rPr>
      </w:pPr>
    </w:p>
    <w:p>
      <w:pPr>
        <w:ind w:left="500" w:hanging="267"/>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129" w:lineRule="exact"/>
        <w:rPr>
          <w:sz w:val="20"/>
          <w:szCs w:val="20"/>
          <w:color w:val="auto"/>
        </w:rPr>
      </w:pPr>
    </w:p>
    <w:p>
      <w:pPr>
        <w:ind w:left="500" w:hanging="267"/>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73" w:lineRule="exact"/>
        <w:rPr>
          <w:sz w:val="20"/>
          <w:szCs w:val="20"/>
          <w:color w:val="auto"/>
        </w:rPr>
      </w:pPr>
    </w:p>
    <w:p>
      <w:pPr>
        <w:ind w:left="500" w:hanging="267"/>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73" w:lineRule="exact"/>
        <w:rPr>
          <w:sz w:val="20"/>
          <w:szCs w:val="20"/>
          <w:color w:val="auto"/>
        </w:rPr>
      </w:pPr>
    </w:p>
    <w:p>
      <w:pPr>
        <w:ind w:left="500" w:hanging="267"/>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73" w:lineRule="exact"/>
        <w:rPr>
          <w:sz w:val="20"/>
          <w:szCs w:val="20"/>
          <w:color w:val="auto"/>
        </w:rPr>
      </w:pPr>
    </w:p>
    <w:p>
      <w:pPr>
        <w:ind w:left="500" w:hanging="267"/>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jc w:val="both"/>
        <w:spacing w:after="0" w:line="312" w:lineRule="auto"/>
        <w:rPr>
          <w:sz w:val="20"/>
          <w:szCs w:val="20"/>
          <w:color w:val="auto"/>
        </w:rPr>
      </w:pPr>
      <w:r>
        <w:rPr>
          <w:rFonts w:ascii="Arial" w:cs="Arial" w:eastAsia="Arial" w:hAnsi="Arial"/>
          <w:sz w:val="16"/>
          <w:szCs w:val="16"/>
          <w:color w:val="auto"/>
        </w:rPr>
        <w:t>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39" w:lineRule="exact"/>
        <w:rPr>
          <w:sz w:val="20"/>
          <w:szCs w:val="20"/>
          <w:color w:val="auto"/>
        </w:rPr>
      </w:pPr>
    </w:p>
    <w:p>
      <w:pPr>
        <w:ind w:left="500" w:hanging="267"/>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117" w:lineRule="exact"/>
        <w:rPr>
          <w:sz w:val="20"/>
          <w:szCs w:val="20"/>
          <w:color w:val="auto"/>
        </w:rPr>
      </w:pPr>
    </w:p>
    <w:p>
      <w:pPr>
        <w:ind w:left="500" w:hanging="267"/>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wholly-owned subsidiary, Waste Management Holdings, Inc., pursuant to the terms and conditions of a Guarantee Agreement dated June 8, 2010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ind w:left="220" w:right="3400" w:firstLine="3187"/>
        <w:spacing w:after="0" w:line="417" w:lineRule="auto"/>
        <w:rPr>
          <w:sz w:val="20"/>
          <w:szCs w:val="20"/>
          <w:color w:val="auto"/>
        </w:rPr>
      </w:pPr>
      <w:r>
        <w:rPr>
          <w:rFonts w:ascii="Arial" w:cs="Arial" w:eastAsia="Arial" w:hAnsi="Arial"/>
          <w:sz w:val="17"/>
          <w:szCs w:val="17"/>
          <w:color w:val="auto"/>
        </w:rPr>
        <w:t>SCHEDULE OF EXCHANGES OF DEFINITIVE SECURITY The following exchanges of a part of this Book-Entry Security for definitive Securities have been made:</w:t>
      </w:r>
    </w:p>
    <w:tbl>
      <w:tblPr>
        <w:tblLayout w:type="fixed"/>
        <w:tblInd w:w="0" w:type="dxa"/>
        <w:tblCellMar>
          <w:top w:w="0" w:type="dxa"/>
          <w:left w:w="0" w:type="dxa"/>
          <w:bottom w:w="0" w:type="dxa"/>
          <w:right w:w="0" w:type="dxa"/>
        </w:tblCellMar>
      </w:tblPr>
      <w:tr>
        <w:trPr>
          <w:trHeight w:val="150"/>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Amount of</w:t>
            </w:r>
          </w:p>
        </w:tc>
        <w:tc>
          <w:tcPr>
            <w:tcW w:w="360" w:type="dxa"/>
            <w:vAlign w:val="bottom"/>
          </w:tcPr>
          <w:p>
            <w:pPr>
              <w:spacing w:after="0"/>
              <w:rPr>
                <w:sz w:val="13"/>
                <w:szCs w:val="13"/>
                <w:color w:val="auto"/>
              </w:rPr>
            </w:pPr>
          </w:p>
        </w:tc>
        <w:tc>
          <w:tcPr>
            <w:tcW w:w="2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1"/>
              </w:rPr>
              <w:t>Amount of increase</w:t>
            </w:r>
          </w:p>
        </w:tc>
        <w:tc>
          <w:tcPr>
            <w:tcW w:w="340" w:type="dxa"/>
            <w:vAlign w:val="bottom"/>
          </w:tcPr>
          <w:p>
            <w:pPr>
              <w:spacing w:after="0"/>
              <w:rPr>
                <w:sz w:val="13"/>
                <w:szCs w:val="13"/>
                <w:color w:val="auto"/>
              </w:rPr>
            </w:pPr>
          </w:p>
        </w:tc>
        <w:tc>
          <w:tcPr>
            <w:tcW w:w="2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Principal Amount</w:t>
            </w:r>
          </w:p>
        </w:tc>
        <w:tc>
          <w:tcPr>
            <w:tcW w:w="36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decrease in</w:t>
            </w:r>
          </w:p>
        </w:tc>
        <w:tc>
          <w:tcPr>
            <w:tcW w:w="36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36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36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3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0" w:type="dxa"/>
            <w:vAlign w:val="bottom"/>
          </w:tcPr>
          <w:p>
            <w:pPr>
              <w:spacing w:after="0"/>
              <w:rPr>
                <w:sz w:val="1"/>
                <w:szCs w:val="1"/>
                <w:color w:val="auto"/>
              </w:rPr>
            </w:pPr>
          </w:p>
        </w:tc>
      </w:tr>
      <w:tr>
        <w:trPr>
          <w:trHeight w:val="149"/>
        </w:trPr>
        <w:tc>
          <w:tcPr>
            <w:tcW w:w="20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Date of Exchange</w:t>
            </w:r>
          </w:p>
        </w:tc>
        <w:tc>
          <w:tcPr>
            <w:tcW w:w="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36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Book-Entry</w:t>
            </w:r>
          </w:p>
        </w:tc>
        <w:tc>
          <w:tcPr>
            <w:tcW w:w="34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3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36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34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3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i w:val="1"/>
          <w:iCs w:val="1"/>
          <w:color w:val="auto"/>
        </w:rPr>
        <w:t>Annex 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Waste Management, Inc.</w:t>
      </w:r>
    </w:p>
    <w:p>
      <w:pPr>
        <w:spacing w:after="0" w:line="99"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22, 2006, Waste Management, Inc. (the “Company”) filed with the Securities Exchange Commission (the “SEC”) an</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 shelf registration statement on Form S-3, File No. 333-137526 (the “Automatic Shelf”),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76"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rules and regulations promulgated by SEC, the Automatic Shelf expires, by its terms, on September 22, 2009, three years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of the Automatic Shelf; and</w:t>
      </w:r>
    </w:p>
    <w:p>
      <w:pPr>
        <w:spacing w:after="0" w:line="54"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and finds it in the best interests of the Company, to file a new automatic shelf registration statement on Form S-3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facilitate any future offerings of securities by the Company or any selling security holders.</w:t>
      </w:r>
    </w:p>
    <w:p>
      <w:pPr>
        <w:spacing w:after="0" w:line="54" w:lineRule="exact"/>
        <w:rPr>
          <w:sz w:val="20"/>
          <w:szCs w:val="20"/>
          <w:color w:val="auto"/>
        </w:rPr>
      </w:pPr>
    </w:p>
    <w:p>
      <w:pPr>
        <w:ind w:right="120" w:firstLine="225"/>
        <w:spacing w:after="0" w:line="254"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Company is hereby authorized to prepare and file with the SEC an automatic shelf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on Form S-3 (the “New Automatic Shelf”), pursuant to the Securities Act of 1933, as amended, and the rules and regulations promulgated thereunder (the “Securities Act”), which New Automatic Shelf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Waste Management Holdings, Inc., a wholly-owned subsidiary of the Company; and any units consisting of one or more of the foregoing (the Debt Securities, Common Stock, warrants, preferred stock, guarantees and units collectively referred to herein as the “Securities”), to be issued from time to time;</w:t>
      </w:r>
    </w:p>
    <w:p>
      <w:pPr>
        <w:spacing w:after="0" w:line="81" w:lineRule="exact"/>
        <w:rPr>
          <w:sz w:val="20"/>
          <w:szCs w:val="20"/>
          <w:color w:val="auto"/>
        </w:rPr>
      </w:pPr>
    </w:p>
    <w:p>
      <w:pPr>
        <w:ind w:right="240" w:firstLine="225"/>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(as established pursuant to these resolutions) be, and they hereby are, authorized, in their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68"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and the authorized employees (as established pursuant to these resolutions) be, and each of them hereby</w:t>
      </w:r>
      <w:r>
        <w:rPr>
          <w:rFonts w:ascii="Arial" w:cs="Arial" w:eastAsia="Arial" w:hAnsi="Arial"/>
          <w:sz w:val="17"/>
          <w:szCs w:val="17"/>
          <w:b w:val="1"/>
          <w:bCs w:val="1"/>
          <w:color w:val="auto"/>
        </w:rPr>
        <w:t xml:space="preserve"> </w:t>
      </w:r>
      <w:r>
        <w:rPr>
          <w:rFonts w:ascii="Arial" w:cs="Arial" w:eastAsia="Arial" w:hAnsi="Arial"/>
          <w:sz w:val="17"/>
          <w:szCs w:val="17"/>
          <w:color w:val="auto"/>
        </w:rPr>
        <w:t>is, authorized, in the name and on behalf of the Company, to execute and cause to be filed with the SEC any and all amendments (including, without limitation, post-effective amendments) or supplements to the New Automatic Shelf and any prospectus included therein and any additional documents which such officer or employee may deem necessary or desirable with respect to the registration and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sectPr>
      </w:pPr>
    </w:p>
    <w:bookmarkStart w:id="59" w:name="page60"/>
    <w:bookmarkEnd w:id="59"/>
    <w:p>
      <w:pPr>
        <w:ind w:right="80"/>
        <w:spacing w:after="0" w:line="277" w:lineRule="auto"/>
        <w:rPr>
          <w:sz w:val="20"/>
          <w:szCs w:val="20"/>
          <w:color w:val="auto"/>
        </w:rPr>
      </w:pPr>
      <w:r>
        <w:rPr>
          <w:rFonts w:ascii="Arial" w:cs="Arial" w:eastAsia="Arial" w:hAnsi="Arial"/>
          <w:sz w:val="18"/>
          <w:szCs w:val="18"/>
          <w:color w:val="auto"/>
        </w:rPr>
        <w:t>offering of the Securities, and such amendments, supplements, registration statements and documents to be in such form as the officer or employee executing the same may approve, as conclusively evidenced by his execution thereof;</w:t>
      </w:r>
    </w:p>
    <w:p>
      <w:pPr>
        <w:spacing w:after="0" w:line="58"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General Counsel of the Company be, and he hereby is, designated and appointed the agent for service of process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Securities Act in connection with the New Automatic Shelf and any and all amendments and supplements thereto, with all powers incident to such appointment;</w:t>
      </w:r>
    </w:p>
    <w:p>
      <w:pPr>
        <w:spacing w:after="0" w:line="6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authorized employees be and hereby are authorized and directed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8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with the same force and effect as if set out verbatim herein;</w:t>
      </w:r>
    </w:p>
    <w:p>
      <w:pPr>
        <w:spacing w:after="0" w:line="76"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any of the proper officers or authorized employees be, and each of them hereby is, authorized to approve at any time and</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64"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be, and each of them hereby is, authorized, at any time and from time to time,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to determine, within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right="80"/>
        <w:spacing w:after="0" w:line="297" w:lineRule="auto"/>
        <w:rPr>
          <w:sz w:val="20"/>
          <w:szCs w:val="20"/>
          <w:color w:val="auto"/>
        </w:rPr>
      </w:pPr>
      <w:r>
        <w:rPr>
          <w:rFonts w:ascii="Arial" w:cs="Arial" w:eastAsia="Arial" w:hAnsi="Arial"/>
          <w:sz w:val="16"/>
          <w:szCs w:val="16"/>
          <w:color w:val="auto"/>
        </w:rPr>
        <w:t>any limits that may be set by the Board of Directors, the number of shares of Common Stock, preferred stock or other equity securities to be offered and sold by the Company pursuant to the New Automatic Shelf,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Automatic Shelf and the applicable purchase agreement, which action could be taken or which things could be done by the Board of Directors of the Company;</w:t>
      </w:r>
    </w:p>
    <w:p>
      <w:pPr>
        <w:spacing w:after="0" w:line="46"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may, at any time and from time to time, on behalf of the Company, authorize the issuance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76" w:lineRule="exact"/>
        <w:rPr>
          <w:sz w:val="20"/>
          <w:szCs w:val="20"/>
          <w:color w:val="auto"/>
        </w:rPr>
      </w:pPr>
    </w:p>
    <w:p>
      <w:pPr>
        <w:ind w:right="160" w:firstLine="225"/>
        <w:spacing w:after="0" w:line="298"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(but without limiting the authority hereinafter in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46" w:lineRule="exact"/>
        <w:rPr>
          <w:sz w:val="20"/>
          <w:szCs w:val="20"/>
          <w:color w:val="auto"/>
        </w:rPr>
      </w:pPr>
    </w:p>
    <w:p>
      <w:pPr>
        <w:jc w:val="both"/>
        <w:ind w:right="14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the issuance of Securities of any series which may not be originally issued at one time (except as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34" w:lineRule="exact"/>
        <w:rPr>
          <w:sz w:val="20"/>
          <w:szCs w:val="20"/>
          <w:color w:val="auto"/>
        </w:rPr>
      </w:pPr>
    </w:p>
    <w:p>
      <w:pPr>
        <w:ind w:right="14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34" w:lineRule="exact"/>
        <w:rPr>
          <w:sz w:val="20"/>
          <w:szCs w:val="20"/>
          <w:color w:val="auto"/>
        </w:rPr>
      </w:pPr>
    </w:p>
    <w:p>
      <w:pPr>
        <w:ind w:right="140" w:firstLine="225"/>
        <w:spacing w:after="0" w:line="30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ind w:right="60" w:firstLine="225"/>
        <w:spacing w:after="0" w:line="274"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subject to and in accordance with the Company’s indentures</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66"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and authorized employees be, and each of them hereby is, authorized, in the name and on behalf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70" w:lineRule="exact"/>
        <w:rPr>
          <w:sz w:val="20"/>
          <w:szCs w:val="20"/>
          <w:color w:val="auto"/>
        </w:rPr>
      </w:pPr>
    </w:p>
    <w:p>
      <w:pPr>
        <w:ind w:right="60" w:firstLine="225"/>
        <w:spacing w:after="0" w:line="277"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in the name and on behalf of the Company,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60" w:lineRule="exact"/>
        <w:rPr>
          <w:sz w:val="20"/>
          <w:szCs w:val="20"/>
          <w:color w:val="auto"/>
        </w:rPr>
      </w:pPr>
    </w:p>
    <w:p>
      <w:pPr>
        <w:ind w:firstLine="225"/>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officers and authorized employees of the Company be, and each of them hereby is, authorized to take, or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Automatic Shelf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2" w:name="page63"/>
    <w:bookmarkEnd w:id="62"/>
    <w:p>
      <w:pPr>
        <w:ind w:right="80" w:firstLine="225"/>
        <w:spacing w:after="0" w:line="261"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for purposes of these resolutions, the term “proper officer” shall mean any or all of the Chief Executive Officer,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the General Counsel, the Chief Accounting Officer and the Treasurer of the Company and the term “authorized employees” shall mean either or both of the Vice President and Assistant General Counsel — Corporate and Securities and the Senior Counsel — Corporate &amp; Securities of the Company;</w:t>
      </w:r>
    </w:p>
    <w:p>
      <w:pPr>
        <w:spacing w:after="0" w:line="72"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form of any additional resolutions required in connection with the foregoing resolutions be and hereby is approved and</w:t>
      </w:r>
      <w:r>
        <w:rPr>
          <w:rFonts w:ascii="Arial" w:cs="Arial" w:eastAsia="Arial" w:hAnsi="Arial"/>
          <w:sz w:val="17"/>
          <w:szCs w:val="17"/>
          <w:b w:val="1"/>
          <w:bCs w:val="1"/>
          <w:color w:val="auto"/>
        </w:rPr>
        <w:t xml:space="preserve"> </w:t>
      </w:r>
      <w:r>
        <w:rPr>
          <w:rFonts w:ascii="Arial" w:cs="Arial" w:eastAsia="Arial" w:hAnsi="Arial"/>
          <w:sz w:val="17"/>
          <w:szCs w:val="17"/>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with the same force and effect as if set out verbatim herein; and</w:t>
      </w:r>
    </w:p>
    <w:p>
      <w:pPr>
        <w:spacing w:after="0" w:line="57" w:lineRule="exact"/>
        <w:rPr>
          <w:sz w:val="20"/>
          <w:szCs w:val="20"/>
          <w:color w:val="auto"/>
        </w:rPr>
      </w:pPr>
    </w:p>
    <w:p>
      <w:pPr>
        <w:ind w:right="140" w:firstLine="225"/>
        <w:spacing w:after="0" w:line="261"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officer of the Company is hereby authorized and directed to make, provide, execute, and deliver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931" w:right="2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4.4</w:t>
      </w:r>
    </w:p>
    <w:p>
      <w:pPr>
        <w:spacing w:after="0" w:line="33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GUARANTEE</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BY WASTE MANAGEMENT HOLDINGS, INC.</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(formerly known as Waste Management, Inc.)</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Favor of The Bank of New York Mellon Trust Company, N.A., as Trustee for the Holders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of Certain Debt Securities of</w:t>
      </w:r>
    </w:p>
    <w:p>
      <w:pPr>
        <w:spacing w:after="0" w:line="10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$600,000,000</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4.75% Senior Notes due 2020</w:t>
      </w:r>
    </w:p>
    <w:p>
      <w:pPr>
        <w:spacing w:after="0" w:line="10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June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4" w:name="page65"/>
    <w:bookmarkEnd w:id="64"/>
    <w:p>
      <w:pPr>
        <w:ind w:right="60" w:firstLine="225"/>
        <w:spacing w:after="0" w:line="259" w:lineRule="auto"/>
        <w:rPr>
          <w:sz w:val="20"/>
          <w:szCs w:val="20"/>
          <w:color w:val="auto"/>
        </w:rPr>
      </w:pPr>
      <w:r>
        <w:rPr>
          <w:rFonts w:ascii="Arial" w:cs="Arial" w:eastAsia="Arial" w:hAnsi="Arial"/>
          <w:sz w:val="18"/>
          <w:szCs w:val="18"/>
          <w:color w:val="auto"/>
        </w:rPr>
        <w:t>GUARANTEE, dated as of June 8, 2010 (as amended from time to time, this “Guarantee”), made by Waste Management Holdings, Inc. (formerly known as Waste Management, Inc.), a Delaware corporation (the “Guarantor”), in favor of The Bank of New York Mellon Trust Company, N.A., as trustee for the holders of the $600 million 4.75% Senior Notes due 2020 (the “Debt Securities”) of Waste Management, Inc. (formerly known as USA Waste Services, Inc.), a Delaware corporation (the “Issuer”).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225" w:lineRule="exact"/>
        <w:rPr>
          <w:sz w:val="20"/>
          <w:szCs w:val="20"/>
          <w:color w:val="auto"/>
        </w:rPr>
      </w:pPr>
    </w:p>
    <w:p>
      <w:pPr>
        <w:ind w:firstLine="458"/>
        <w:spacing w:after="0" w:line="257" w:lineRule="auto"/>
        <w:tabs>
          <w:tab w:leader="none" w:pos="6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w:t>
      </w:r>
    </w:p>
    <w:p>
      <w:pPr>
        <w:spacing w:after="0" w:line="80" w:lineRule="exact"/>
        <w:rPr>
          <w:rFonts w:ascii="Arial" w:cs="Arial" w:eastAsia="Arial" w:hAnsi="Arial"/>
          <w:sz w:val="18"/>
          <w:szCs w:val="18"/>
          <w:color w:val="auto"/>
        </w:rPr>
      </w:pPr>
    </w:p>
    <w:p>
      <w:pPr>
        <w:ind w:right="60" w:firstLine="458"/>
        <w:spacing w:after="0" w:line="293" w:lineRule="auto"/>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57" w:lineRule="exact"/>
        <w:rPr>
          <w:sz w:val="20"/>
          <w:szCs w:val="20"/>
          <w:color w:val="auto"/>
        </w:rPr>
      </w:pPr>
    </w:p>
    <w:p>
      <w:pPr>
        <w:ind w:right="560" w:firstLine="225"/>
        <w:spacing w:after="0" w:line="31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Guarantee Absolute</w:t>
      </w:r>
      <w:r>
        <w:rPr>
          <w:rFonts w:ascii="Arial" w:cs="Arial" w:eastAsia="Arial" w:hAnsi="Arial"/>
          <w:sz w:val="16"/>
          <w:szCs w:val="16"/>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39" w:lineRule="exact"/>
        <w:rPr>
          <w:sz w:val="20"/>
          <w:szCs w:val="20"/>
          <w:color w:val="auto"/>
        </w:rPr>
      </w:pPr>
    </w:p>
    <w:p>
      <w:pPr>
        <w:ind w:left="680" w:hanging="219"/>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17" w:lineRule="exact"/>
        <w:rPr>
          <w:rFonts w:ascii="Arial" w:cs="Arial" w:eastAsia="Arial" w:hAnsi="Arial"/>
          <w:sz w:val="18"/>
          <w:szCs w:val="18"/>
          <w:color w:val="auto"/>
        </w:rPr>
      </w:pPr>
    </w:p>
    <w:p>
      <w:pPr>
        <w:ind w:left="240" w:right="160" w:firstLine="221"/>
        <w:spacing w:after="0" w:line="277" w:lineRule="auto"/>
        <w:tabs>
          <w:tab w:leader="none" w:pos="7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62" w:lineRule="exact"/>
        <w:rPr>
          <w:rFonts w:ascii="Arial" w:cs="Arial" w:eastAsia="Arial" w:hAnsi="Arial"/>
          <w:sz w:val="18"/>
          <w:szCs w:val="18"/>
          <w:color w:val="auto"/>
        </w:rPr>
      </w:pPr>
    </w:p>
    <w:p>
      <w:pPr>
        <w:ind w:left="240" w:right="640" w:firstLine="221"/>
        <w:spacing w:after="0" w:line="277"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62" w:lineRule="exact"/>
        <w:rPr>
          <w:rFonts w:ascii="Arial" w:cs="Arial" w:eastAsia="Arial" w:hAnsi="Arial"/>
          <w:sz w:val="18"/>
          <w:szCs w:val="18"/>
          <w:color w:val="auto"/>
        </w:rPr>
      </w:pPr>
    </w:p>
    <w:p>
      <w:pPr>
        <w:ind w:left="760" w:hanging="299"/>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ind w:right="540" w:firstLine="225"/>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225" w:lineRule="exact"/>
        <w:rPr>
          <w:sz w:val="20"/>
          <w:szCs w:val="20"/>
          <w:color w:val="auto"/>
        </w:rPr>
      </w:pPr>
    </w:p>
    <w:p>
      <w:pPr>
        <w:ind w:firstLine="458"/>
        <w:spacing w:after="0" w:line="264" w:lineRule="auto"/>
        <w:tabs>
          <w:tab w:leader="none" w:pos="6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73" w:lineRule="exact"/>
        <w:rPr>
          <w:rFonts w:ascii="Arial" w:cs="Arial" w:eastAsia="Arial" w:hAnsi="Arial"/>
          <w:sz w:val="18"/>
          <w:szCs w:val="18"/>
          <w:color w:val="auto"/>
        </w:rPr>
      </w:pPr>
    </w:p>
    <w:p>
      <w:pPr>
        <w:ind w:right="80" w:firstLine="458"/>
        <w:spacing w:after="0" w:line="312" w:lineRule="auto"/>
        <w:tabs>
          <w:tab w:leader="none" w:pos="70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39" w:lineRule="exact"/>
        <w:rPr>
          <w:sz w:val="20"/>
          <w:szCs w:val="20"/>
          <w:color w:val="auto"/>
        </w:rPr>
      </w:pPr>
    </w:p>
    <w:p>
      <w:pPr>
        <w:jc w:val="both"/>
        <w:ind w:right="160" w:firstLine="225"/>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39"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Revolving Credit Agreement dated August 17, 2006, by and among the Issuer, the Guarantor (as guarantor), Citibank, N.A., as administrative agent, J.P. Morgan Securities Inc. and Banc of America Securities LLC, as lead arrangers and joint book runners (or under any replacement or new principal credit facility of the Issuer) of the guarantee of the Guarantor thereunder, (ii) be binding upon the Guarantor, its successors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ind w:right="60"/>
        <w:spacing w:after="0" w:line="277" w:lineRule="auto"/>
        <w:rPr>
          <w:sz w:val="20"/>
          <w:szCs w:val="20"/>
          <w:color w:val="auto"/>
        </w:rPr>
      </w:pPr>
      <w:r>
        <w:rPr>
          <w:rFonts w:ascii="Arial" w:cs="Arial" w:eastAsia="Arial" w:hAnsi="Arial"/>
          <w:sz w:val="18"/>
          <w:szCs w:val="18"/>
          <w:color w:val="auto"/>
        </w:rPr>
        <w:t>assigns, and (iii) inure to the benefit of and be enforceable by any holder of Debt Securities, the Trustee, and by their respective successors, transferees, and assigns.</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73"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73"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 Finance and Treasurer</w:t>
      </w:r>
    </w:p>
    <w:p>
      <w:pPr>
        <w:spacing w:after="0" w:line="200" w:lineRule="exact"/>
        <w:rPr>
          <w:sz w:val="20"/>
          <w:szCs w:val="20"/>
          <w:color w:val="auto"/>
        </w:rPr>
      </w:pPr>
    </w:p>
    <w:p>
      <w:pPr>
        <w:spacing w:after="0" w:line="2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Devina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Assistant Treasurer</w:t>
      </w: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Guarantee</w:t>
      </w:r>
    </w:p>
    <w:p>
      <w:pPr>
        <w:sectPr>
          <w:pgSz w:w="11900" w:h="16838" w:orient="portrait"/>
          <w:cols w:equalWidth="0" w:num="1">
            <w:col w:w="11280"/>
          </w:cols>
          <w:pgMar w:left="240" w:top="935" w:right="379" w:bottom="1440" w:gutter="0" w:footer="0" w:header="0"/>
        </w:sectPr>
      </w:pPr>
    </w:p>
    <w:bookmarkStart w:id="67" w:name="page68"/>
    <w:bookmarkEnd w:id="67"/>
    <w:p>
      <w:pPr>
        <w:spacing w:after="0" w:line="200" w:lineRule="exact"/>
        <w:rPr>
          <w:sz w:val="20"/>
          <w:szCs w:val="20"/>
          <w:color w:val="auto"/>
        </w:rPr>
      </w:pPr>
    </w:p>
    <w:p>
      <w:pPr>
        <w:spacing w:after="0" w:line="34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ONE SHELL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69799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97990" cy="171450"/>
                    </a:xfrm>
                    <a:prstGeom prst="rect">
                      <a:avLst/>
                    </a:prstGeom>
                    <a:noFill/>
                  </pic:spPr>
                </pic:pic>
              </a:graphicData>
            </a:graphic>
          </wp:anchor>
        </w:drawing>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910 LOUISIANA</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77002-4995</w:t>
      </w:r>
    </w:p>
    <w:p>
      <w:pPr>
        <w:spacing w:after="0" w:line="10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TEL +1 713.229.1234</w:t>
      </w:r>
    </w:p>
    <w:p>
      <w:pPr>
        <w:spacing w:after="0" w:line="46"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FAX +1 713.229.1522</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www.bakerbotts.com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June 7,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AUSTIN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MOSCOW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RIYADH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1966" w:lineRule="exact"/>
        <w:rPr>
          <w:sz w:val="20"/>
          <w:szCs w:val="20"/>
          <w:color w:val="auto"/>
        </w:rPr>
      </w:pPr>
    </w:p>
    <w:p>
      <w:pPr>
        <w:sectPr>
          <w:pgSz w:w="11900" w:h="16838" w:orient="portrait"/>
          <w:cols w:equalWidth="0" w:num="2">
            <w:col w:w="8420" w:space="720"/>
            <w:col w:w="2280"/>
          </w:cols>
          <w:pgMar w:left="240" w:top="121" w:right="239" w:bottom="1440" w:gutter="0" w:footer="0" w:header="0"/>
        </w:sectPr>
      </w:pPr>
    </w:p>
    <w:p>
      <w:pPr>
        <w:ind w:right="40" w:firstLine="447"/>
        <w:spacing w:after="0" w:line="291" w:lineRule="auto"/>
        <w:rPr>
          <w:sz w:val="20"/>
          <w:szCs w:val="20"/>
          <w:color w:val="auto"/>
        </w:rPr>
      </w:pPr>
      <w:r>
        <w:rPr>
          <w:rFonts w:ascii="Arial" w:cs="Arial" w:eastAsia="Arial" w:hAnsi="Arial"/>
          <w:sz w:val="16"/>
          <w:szCs w:val="16"/>
          <w:color w:val="auto"/>
        </w:rPr>
        <w:t>Waste Management, Inc., a Delaware corporation (the “Company”), and Waste Management Holdings, Inc., a Delaware corporation (“Holdings”), have engaged us to render the opinions expressed below in connection with the Company’s proposed issuance of $600,000,000 aggregate principal amount of</w:t>
      </w:r>
    </w:p>
    <w:p>
      <w:pPr>
        <w:ind w:right="140"/>
        <w:spacing w:after="0" w:line="254" w:lineRule="auto"/>
        <w:rPr>
          <w:sz w:val="20"/>
          <w:szCs w:val="20"/>
          <w:color w:val="auto"/>
        </w:rPr>
      </w:pPr>
      <w:r>
        <w:rPr>
          <w:rFonts w:ascii="Arial" w:cs="Arial" w:eastAsia="Arial" w:hAnsi="Arial"/>
          <w:sz w:val="18"/>
          <w:szCs w:val="18"/>
          <w:color w:val="auto"/>
        </w:rPr>
        <w:t>4.75% Senior Notes due 2020 (the “Notes”) and the issuance of the related guarantee of the Notes by Holdings (the “Guarantee”), as contemplated by the Registration Statement on Form S-3 (Registration No. 333-162059)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82" w:lineRule="exact"/>
        <w:rPr>
          <w:sz w:val="20"/>
          <w:szCs w:val="20"/>
          <w:color w:val="auto"/>
        </w:rPr>
      </w:pPr>
    </w:p>
    <w:p>
      <w:pPr>
        <w:ind w:right="280" w:firstLine="447"/>
        <w:spacing w:after="0" w:line="264" w:lineRule="auto"/>
        <w:rPr>
          <w:sz w:val="20"/>
          <w:szCs w:val="20"/>
          <w:color w:val="auto"/>
        </w:rPr>
      </w:pPr>
      <w:r>
        <w:rPr>
          <w:rFonts w:ascii="Arial" w:cs="Arial" w:eastAsia="Arial" w:hAnsi="Arial"/>
          <w:sz w:val="18"/>
          <w:szCs w:val="18"/>
          <w:color w:val="auto"/>
        </w:rPr>
        <w:t>The Registration Statement has been filed with the Commission and became effective upon filing. The Company’s prospectus dated September 22, 2009 and prospectus supplement dated June 3, 2010 relating to the Notes (collectively, the “Prospectus”) have been filed with the Commission pursuant to Rule 424(b) under the Act.</w:t>
      </w:r>
    </w:p>
    <w:p>
      <w:pPr>
        <w:spacing w:after="0" w:line="73" w:lineRule="exact"/>
        <w:rPr>
          <w:sz w:val="20"/>
          <w:szCs w:val="20"/>
          <w:color w:val="auto"/>
        </w:rPr>
      </w:pPr>
    </w:p>
    <w:p>
      <w:pPr>
        <w:ind w:right="80" w:firstLine="447"/>
        <w:spacing w:after="0" w:line="276" w:lineRule="auto"/>
        <w:rPr>
          <w:sz w:val="20"/>
          <w:szCs w:val="20"/>
          <w:color w:val="auto"/>
        </w:rPr>
      </w:pPr>
      <w:r>
        <w:rPr>
          <w:rFonts w:ascii="Arial" w:cs="Arial" w:eastAsia="Arial" w:hAnsi="Arial"/>
          <w:sz w:val="17"/>
          <w:szCs w:val="17"/>
          <w:color w:val="auto"/>
        </w:rPr>
        <w:t>The Company and Holdings entered into an Underwriting Agreement (the “Underwriting Agreement”), dated June 3, 2010, with Banc of America Securities LLC, Barclays Capital Inc., Citigroup Global Markets Inc. and Goldman, Sachs &amp; Co.,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 A., as the current successor to Texas Commerce Bank National Association, as trustee (the “Trustee”).</w:t>
      </w:r>
    </w:p>
    <w:p>
      <w:pPr>
        <w:spacing w:after="0" w:line="64" w:lineRule="exact"/>
        <w:rPr>
          <w:sz w:val="20"/>
          <w:szCs w:val="20"/>
          <w:color w:val="auto"/>
        </w:rPr>
      </w:pPr>
    </w:p>
    <w:p>
      <w:pPr>
        <w:ind w:right="420" w:firstLine="450"/>
        <w:spacing w:after="0" w:line="264" w:lineRule="auto"/>
        <w:rPr>
          <w:sz w:val="20"/>
          <w:szCs w:val="20"/>
          <w:color w:val="auto"/>
        </w:rPr>
      </w:pPr>
      <w:r>
        <w:rPr>
          <w:rFonts w:ascii="Arial" w:cs="Arial" w:eastAsia="Arial" w:hAnsi="Arial"/>
          <w:sz w:val="18"/>
          <w:szCs w:val="18"/>
          <w:color w:val="auto"/>
        </w:rPr>
        <w:t>In our capacity as counsel to the Company and Holdings in connection with the matters referred to above, we have examined the following: (i) the Third Restated Certificate of Incorporation and the Amended and Restated Bylaws of the Company, each as amended to date; (ii) the Third Restated Certificate of Incorporation and Bylaws of Holdings, each as amended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8" w:name="page69"/>
    <w:bookmarkEnd w:id="68"/>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1123315"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123315" cy="120015"/>
                    </a:xfrm>
                    <a:prstGeom prst="rect">
                      <a:avLst/>
                    </a:prstGeom>
                    <a:noFill/>
                  </pic:spPr>
                </pic:pic>
              </a:graphicData>
            </a:graphic>
          </wp:anchor>
        </w:drawing>
      </w:r>
    </w:p>
    <w:p>
      <w:pPr>
        <w:spacing w:after="0"/>
        <w:tabs>
          <w:tab w:leader="none" w:pos="5560" w:val="left"/>
          <w:tab w:leader="none" w:pos="10480" w:val="left"/>
        </w:tabs>
        <w:rPr>
          <w:sz w:val="20"/>
          <w:szCs w:val="20"/>
          <w:color w:val="auto"/>
        </w:rPr>
      </w:pPr>
      <w:r>
        <w:rPr>
          <w:rFonts w:ascii="Arial" w:cs="Arial" w:eastAsia="Arial" w:hAnsi="Arial"/>
          <w:sz w:val="18"/>
          <w:szCs w:val="18"/>
          <w:color w:val="auto"/>
        </w:rPr>
        <w:t>Waste Management, Inc.</w:t>
      </w:r>
      <w:r>
        <w:rPr>
          <w:sz w:val="20"/>
          <w:szCs w:val="20"/>
          <w:color w:val="auto"/>
        </w:rPr>
        <w:tab/>
      </w:r>
      <w:r>
        <w:rPr>
          <w:rFonts w:ascii="Arial" w:cs="Arial" w:eastAsia="Arial" w:hAnsi="Arial"/>
          <w:sz w:val="18"/>
          <w:szCs w:val="18"/>
          <w:color w:val="auto"/>
        </w:rPr>
        <w:t>- 2 -</w:t>
      </w:r>
      <w:r>
        <w:rPr>
          <w:sz w:val="20"/>
          <w:szCs w:val="20"/>
          <w:color w:val="auto"/>
        </w:rPr>
        <w:tab/>
      </w:r>
      <w:r>
        <w:rPr>
          <w:rFonts w:ascii="Arial" w:cs="Arial" w:eastAsia="Arial" w:hAnsi="Arial"/>
          <w:sz w:val="15"/>
          <w:szCs w:val="15"/>
          <w:color w:val="auto"/>
        </w:rPr>
        <w:t>June 7, 2010</w:t>
      </w:r>
    </w:p>
    <w:p>
      <w:pPr>
        <w:spacing w:after="0" w:line="117" w:lineRule="exact"/>
        <w:rPr>
          <w:sz w:val="20"/>
          <w:szCs w:val="20"/>
          <w:color w:val="auto"/>
        </w:rPr>
      </w:pPr>
    </w:p>
    <w:p>
      <w:pPr>
        <w:ind w:right="40" w:firstLine="8"/>
        <w:spacing w:after="0" w:line="291" w:lineRule="auto"/>
        <w:tabs>
          <w:tab w:leader="none" w:pos="3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Indenture; (iv) the Guarantee to be entered into by Holdings in favor of the holders of the Notes concurrently with the issuance of the Notes under the Indenture (the “Guarantee Agreement”); (v) the Underwriting Agreement; (vi) the Registration Statement and the Prospectus; and (vii) originals, or copies certified or otherwise identified, of corporate records of the Company and Holdings, certificates of public officials and of representatives of the Company and Holdings, statutes and other instruments and documents as a basis for the opinions hereinafter expressed. We have relied upon certificates of officers of the Company and Holdings and of public officials with respect to the accuracy of the material factual matters contained in such certificates.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59"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62"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On the basis of the foregoing, and subject to the assumptions, limitations and qualifications set forth herein, we are of the opinion that (i) 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enforcement is considered in a proceeding in equity or at law), which principles may include implied duties of good faith and fair dealing; and (ii) the Guarantee will, when Holdings has duly authorized, executed and delivered the Guarantee Agreement and the Notes have been duly authorized, executed, authenticated, issued and delivered in accordance with the provisions of the Indenture and duly purchased and paid for in accordance with the terms of the Underwriting Agreement, constitute a legal, valid and binding obligation of Holdings enforceable against it in accordance with its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67" w:lineRule="exact"/>
        <w:rPr>
          <w:sz w:val="20"/>
          <w:szCs w:val="20"/>
          <w:color w:val="auto"/>
        </w:rPr>
      </w:pPr>
    </w:p>
    <w:p>
      <w:pPr>
        <w:ind w:right="40" w:firstLine="447"/>
        <w:spacing w:after="0" w:line="277" w:lineRule="auto"/>
        <w:rPr>
          <w:sz w:val="20"/>
          <w:szCs w:val="20"/>
          <w:color w:val="auto"/>
        </w:rPr>
      </w:pPr>
      <w:r>
        <w:rPr>
          <w:rFonts w:ascii="Arial" w:cs="Arial" w:eastAsia="Arial" w:hAnsi="Arial"/>
          <w:sz w:val="18"/>
          <w:szCs w:val="18"/>
          <w:color w:val="auto"/>
        </w:rPr>
        <w:t>The opinions set forth above are limited in all respects to matters of the General Corporation Law of the State of Delaware, the contract law of the State of New York, and applicable federal laws of the United States, each as currently in effect.</w:t>
      </w:r>
    </w:p>
    <w:p>
      <w:pPr>
        <w:spacing w:after="0" w:line="62"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and to the incorporation by reference of this opinion of counsel into the Registration Statement. We also consent to the reference to our Firm under the heading “Legal Matters” in the Prospectus. In giving this consent, we do not thereby admit that we are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9" w:name="page70"/>
    <w:bookmarkEnd w:id="69"/>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817880</wp:posOffset>
            </wp:positionV>
            <wp:extent cx="1123315"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123315" cy="120015"/>
                    </a:xfrm>
                    <a:prstGeom prst="rect">
                      <a:avLst/>
                    </a:prstGeom>
                    <a:noFill/>
                  </pic:spPr>
                </pic:pic>
              </a:graphicData>
            </a:graphic>
          </wp:anchor>
        </w:drawing>
      </w:r>
    </w:p>
    <w:p>
      <w:pPr>
        <w:spacing w:after="0"/>
        <w:tabs>
          <w:tab w:leader="none" w:pos="5560" w:val="left"/>
          <w:tab w:leader="none" w:pos="10480" w:val="left"/>
        </w:tabs>
        <w:rPr>
          <w:sz w:val="20"/>
          <w:szCs w:val="20"/>
          <w:color w:val="auto"/>
        </w:rPr>
      </w:pPr>
      <w:r>
        <w:rPr>
          <w:rFonts w:ascii="Arial" w:cs="Arial" w:eastAsia="Arial" w:hAnsi="Arial"/>
          <w:sz w:val="18"/>
          <w:szCs w:val="18"/>
          <w:color w:val="auto"/>
        </w:rPr>
        <w:t>Waste Management, Inc.</w:t>
      </w:r>
      <w:r>
        <w:rPr>
          <w:sz w:val="20"/>
          <w:szCs w:val="20"/>
          <w:color w:val="auto"/>
        </w:rPr>
        <w:tab/>
      </w:r>
      <w:r>
        <w:rPr>
          <w:rFonts w:ascii="Arial" w:cs="Arial" w:eastAsia="Arial" w:hAnsi="Arial"/>
          <w:sz w:val="18"/>
          <w:szCs w:val="18"/>
          <w:color w:val="auto"/>
        </w:rPr>
        <w:t>- 3 -</w:t>
      </w:r>
      <w:r>
        <w:rPr>
          <w:sz w:val="20"/>
          <w:szCs w:val="20"/>
          <w:color w:val="auto"/>
        </w:rPr>
        <w:tab/>
      </w:r>
      <w:r>
        <w:rPr>
          <w:rFonts w:ascii="Arial" w:cs="Arial" w:eastAsia="Arial" w:hAnsi="Arial"/>
          <w:sz w:val="15"/>
          <w:szCs w:val="15"/>
          <w:color w:val="auto"/>
        </w:rPr>
        <w:t>June 7,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category of persons whose consent is required under Section 7 of the Act and the rules and regulations of the Commission thereunder.</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Baker Botts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JDK/JAR/JAA/ATR</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o"/>
      <w:numFmt w:val="bullet"/>
      <w:start w:val="1"/>
    </w:lvl>
  </w:abstractNum>
  <w:abstractNum w:abstractNumId="1">
    <w:nsid w:val="77465F01"/>
    <w:multiLevelType w:val="hybridMultilevel"/>
    <w:lvl w:ilvl="0">
      <w:lvlJc w:val="left"/>
      <w:lvlText w:val="%1."/>
      <w:numFmt w:val="decimal"/>
      <w:start w:val="1"/>
    </w:lvl>
    <w:lvl w:ilvl="1">
      <w:lvlJc w:val="left"/>
      <w:lvlText w:val="%2)"/>
      <w:numFmt w:val="decimal"/>
    </w:lvl>
    <w:lvl w:ilvl="2">
      <w:lvlJc w:val="left"/>
      <w:lvlText w:val="(%3)"/>
      <w:numFmt w:val="lowerLetter"/>
      <w:start w:val="1"/>
    </w:lvl>
  </w:abstractNum>
  <w:abstractNum w:abstractNumId="2">
    <w:nsid w:val="7724C67E"/>
    <w:multiLevelType w:val="hybridMultilevel"/>
    <w:lvl w:ilvl="0">
      <w:lvlJc w:val="left"/>
      <w:lvlText w:val="(%1)"/>
      <w:numFmt w:val="lowerLetter"/>
      <w:start w:val="3"/>
    </w:lvl>
  </w:abstractNum>
  <w:abstractNum w:abstractNumId="3">
    <w:nsid w:val="5C482A97"/>
    <w:multiLevelType w:val="hybridMultilevel"/>
    <w:lvl w:ilvl="0">
      <w:lvlJc w:val="left"/>
      <w:lvlText w:val="(%1)"/>
      <w:numFmt w:val="lowerLetter"/>
      <w:start w:val="6"/>
    </w:lvl>
  </w:abstractNum>
  <w:abstractNum w:abstractNumId="4">
    <w:nsid w:val="2463B9EA"/>
    <w:multiLevelType w:val="hybridMultilevel"/>
    <w:lvl w:ilvl="0">
      <w:lvlJc w:val="left"/>
      <w:lvlText w:val="(%1)"/>
      <w:numFmt w:val="lowerLetter"/>
      <w:start w:val="10"/>
    </w:lvl>
  </w:abstractNum>
  <w:abstractNum w:abstractNumId="5">
    <w:nsid w:val="5E884ADC"/>
    <w:multiLevelType w:val="hybridMultilevel"/>
    <w:lvl w:ilvl="0">
      <w:lvlJc w:val="left"/>
      <w:lvlText w:val="(%1)"/>
      <w:numFmt w:val="lowerLetter"/>
      <w:start w:val="15"/>
    </w:lvl>
  </w:abstractNum>
  <w:abstractNum w:abstractNumId="6">
    <w:nsid w:val="51EAD36B"/>
    <w:multiLevelType w:val="hybridMultilevel"/>
    <w:lvl w:ilvl="0">
      <w:lvlJc w:val="left"/>
      <w:lvlText w:val="(%1)"/>
      <w:numFmt w:val="lowerLetter"/>
      <w:start w:val="18"/>
    </w:lvl>
  </w:abstractNum>
  <w:abstractNum w:abstractNumId="7">
    <w:nsid w:val="2D517796"/>
    <w:multiLevelType w:val="hybridMultilevel"/>
    <w:lvl w:ilvl="0">
      <w:lvlJc w:val="left"/>
      <w:lvlText w:val="(%1)"/>
      <w:numFmt w:val="lowerLetter"/>
      <w:start w:val="23"/>
    </w:lvl>
  </w:abstractNum>
  <w:abstractNum w:abstractNumId="8">
    <w:nsid w:val="580BD78F"/>
    <w:multiLevelType w:val="hybridMultilevel"/>
    <w:lvl w:ilvl="0">
      <w:lvlJc w:val="left"/>
      <w:lvlText w:val="(%1)"/>
      <w:numFmt w:val="lowerLetter"/>
      <w:start w:val="27"/>
    </w:lvl>
  </w:abstractNum>
  <w:abstractNum w:abstractNumId="9">
    <w:nsid w:val="153EA438"/>
    <w:multiLevelType w:val="hybridMultilevel"/>
    <w:lvl w:ilvl="0">
      <w:lvlJc w:val="left"/>
      <w:lvlText w:val="%1"/>
      <w:numFmt w:val="lowerLetter"/>
      <w:start w:val="1"/>
    </w:lvl>
    <w:lvl w:ilvl="1">
      <w:lvlJc w:val="left"/>
      <w:lvlText w:val="(%2)"/>
      <w:numFmt w:val="lowerLetter"/>
      <w:start w:val="28"/>
    </w:lvl>
  </w:abstractNum>
  <w:abstractNum w:abstractNumId="10">
    <w:nsid w:val="3855585C"/>
    <w:multiLevelType w:val="hybridMultilevel"/>
    <w:lvl w:ilvl="0">
      <w:lvlJc w:val="left"/>
      <w:lvlText w:val="(%1)"/>
      <w:numFmt w:val="lowerLetter"/>
      <w:start w:val="9"/>
    </w:lvl>
    <w:lvl w:ilvl="1">
      <w:lvlJc w:val="left"/>
      <w:lvlText w:val="%2"/>
      <w:numFmt w:val="lowerLetter"/>
      <w:start w:val="1"/>
    </w:lvl>
  </w:abstractNum>
  <w:abstractNum w:abstractNumId="11">
    <w:nsid w:val="70A64E2A"/>
    <w:multiLevelType w:val="hybridMultilevel"/>
    <w:lvl w:ilvl="0">
      <w:lvlJc w:val="left"/>
      <w:lvlText w:val="(%1)"/>
      <w:numFmt w:val="lowerLetter"/>
      <w:start w:val="61"/>
    </w:lvl>
    <w:lvl w:ilvl="1">
      <w:lvlJc w:val="left"/>
      <w:lvlText w:val="(%2)"/>
      <w:numFmt w:val="lowerLetter"/>
      <w:start w:val="31"/>
    </w:lvl>
  </w:abstractNum>
  <w:abstractNum w:abstractNumId="12">
    <w:nsid w:val="6A2342EC"/>
    <w:multiLevelType w:val="hybridMultilevel"/>
    <w:lvl w:ilvl="0">
      <w:lvlJc w:val="left"/>
      <w:lvlText w:val="(%1)"/>
      <w:numFmt w:val="lowerLetter"/>
      <w:start w:val="35"/>
    </w:lvl>
    <w:lvl w:ilvl="1">
      <w:lvlJc w:val="left"/>
      <w:lvlText w:val="(%2)"/>
      <w:numFmt w:val="lowerLetter"/>
      <w:start w:val="33"/>
    </w:lvl>
  </w:abstractNum>
  <w:abstractNum w:abstractNumId="13">
    <w:nsid w:val="2A487CB0"/>
    <w:multiLevelType w:val="hybridMultilevel"/>
    <w:lvl w:ilvl="0">
      <w:lvlJc w:val="left"/>
      <w:lvlText w:val="(%1)"/>
      <w:numFmt w:val="lowerLetter"/>
      <w:start w:val="36"/>
    </w:lvl>
  </w:abstractNum>
  <w:abstractNum w:abstractNumId="14">
    <w:nsid w:val="1D4ED43B"/>
    <w:multiLevelType w:val="hybridMultilevel"/>
    <w:lvl w:ilvl="0">
      <w:lvlJc w:val="left"/>
      <w:lvlText w:val="(%1)"/>
      <w:numFmt w:val="lowerLetter"/>
      <w:start w:val="41"/>
    </w:lvl>
  </w:abstractNum>
  <w:abstractNum w:abstractNumId="15">
    <w:nsid w:val="725A06FB"/>
    <w:multiLevelType w:val="hybridMultilevel"/>
    <w:lvl w:ilvl="0">
      <w:lvlJc w:val="left"/>
      <w:lvlText w:val="%1."/>
      <w:numFmt w:val="decimal"/>
      <w:start w:val="2"/>
    </w:lvl>
  </w:abstractNum>
  <w:abstractNum w:abstractNumId="16">
    <w:nsid w:val="2CD89A32"/>
    <w:multiLevelType w:val="hybridMultilevel"/>
    <w:lvl w:ilvl="0">
      <w:lvlJc w:val="left"/>
      <w:lvlText w:val="%1."/>
      <w:numFmt w:val="decimal"/>
      <w:start w:val="3"/>
    </w:lvl>
    <w:lvl w:ilvl="1">
      <w:lvlJc w:val="left"/>
      <w:lvlText w:val="(%2)"/>
      <w:numFmt w:val="lowerLetter"/>
      <w:start w:val="1"/>
    </w:lvl>
  </w:abstractNum>
  <w:abstractNum w:abstractNumId="17">
    <w:nsid w:val="57E4CCAF"/>
    <w:multiLevelType w:val="hybridMultilevel"/>
    <w:lvl w:ilvl="0">
      <w:lvlJc w:val="left"/>
      <w:lvlText w:val="(%1)"/>
      <w:numFmt w:val="lowerLetter"/>
      <w:start w:val="2"/>
    </w:lvl>
  </w:abstractNum>
  <w:abstractNum w:abstractNumId="18">
    <w:nsid w:val="7A6D8D3C"/>
    <w:multiLevelType w:val="hybridMultilevel"/>
    <w:lvl w:ilvl="0">
      <w:lvlJc w:val="left"/>
      <w:lvlText w:val="(%1)"/>
      <w:numFmt w:val="lowerLetter"/>
      <w:start w:val="35"/>
    </w:lvl>
    <w:lvl w:ilvl="1">
      <w:lvlJc w:val="left"/>
      <w:lvlText w:val="(%2)"/>
      <w:numFmt w:val="lowerLetter"/>
      <w:start w:val="5"/>
    </w:lvl>
  </w:abstractNum>
  <w:abstractNum w:abstractNumId="19">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
    <w:nsid w:val="542289EC"/>
    <w:multiLevelType w:val="hybridMultilevel"/>
    <w:lvl w:ilvl="0">
      <w:lvlJc w:val="left"/>
      <w:lvlText w:val="%1."/>
      <w:numFmt w:val="decimal"/>
      <w:start w:val="6"/>
    </w:lvl>
    <w:lvl w:ilvl="1">
      <w:lvlJc w:val="left"/>
      <w:lvlText w:val="(%2)"/>
      <w:numFmt w:val="lowerLetter"/>
      <w:start w:val="8"/>
    </w:lvl>
    <w:lvl w:ilvl="2">
      <w:lvlJc w:val="left"/>
      <w:lvlText w:val="(%3)"/>
      <w:numFmt w:val="lowerLetter"/>
      <w:start w:val="1"/>
    </w:lvl>
  </w:abstractNum>
  <w:abstractNum w:abstractNumId="21">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2">
    <w:nsid w:val="38437FD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3">
    <w:nsid w:val="7644A45C"/>
    <w:multiLevelType w:val="hybridMultilevel"/>
    <w:lvl w:ilvl="0">
      <w:lvlJc w:val="left"/>
      <w:lvlText w:val="(%1)"/>
      <w:numFmt w:val="lowerLetter"/>
      <w:start w:val="1"/>
    </w:lvl>
    <w:lvl w:ilvl="1">
      <w:lvlJc w:val="left"/>
      <w:lvlText w:val="(%2)"/>
      <w:numFmt w:val="lowerRoman"/>
      <w:start w:val="1"/>
    </w:lvl>
  </w:abstractNum>
  <w:abstractNum w:abstractNumId="24">
    <w:nsid w:val="32FFF902"/>
    <w:multiLevelType w:val="hybridMultilevel"/>
    <w:lvl w:ilvl="0">
      <w:lvlJc w:val="left"/>
      <w:lvlText w:val="(%1)"/>
      <w:numFmt w:val="lowerRoman"/>
      <w:start w:val="5"/>
    </w:lvl>
  </w:abstractNum>
  <w:abstractNum w:abstractNumId="25">
    <w:nsid w:val="684A481A"/>
    <w:multiLevelType w:val="hybridMultilevel"/>
    <w:lvl w:ilvl="0">
      <w:lvlJc w:val="left"/>
      <w:lvlText w:val="(%1)"/>
      <w:numFmt w:val="lowerRoman"/>
      <w:start w:val="11"/>
    </w:lvl>
  </w:abstractNum>
  <w:abstractNum w:abstractNumId="26">
    <w:nsid w:val="579478FE"/>
    <w:multiLevelType w:val="hybridMultilevel"/>
    <w:lvl w:ilvl="0">
      <w:lvlJc w:val="left"/>
      <w:lvlText w:val="(%1)"/>
      <w:numFmt w:val="lowerLetter"/>
      <w:start w:val="1"/>
    </w:lvl>
  </w:abstractNum>
  <w:abstractNum w:abstractNumId="27">
    <w:nsid w:val="749ABB43"/>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28">
    <w:nsid w:val="3DC240FB"/>
    <w:multiLevelType w:val="hybridMultilevel"/>
    <w:lvl w:ilvl="0">
      <w:lvlJc w:val="left"/>
      <w:lvlText w:val="%1"/>
      <w:numFmt w:val="lowerLetter"/>
      <w:start w:val="1"/>
    </w:lvl>
    <w:lvl w:ilvl="1">
      <w:lvlJc w:val="left"/>
      <w:lvlText w:val="(%2)"/>
      <w:numFmt w:val="lowerRoman"/>
      <w:start w:val="4"/>
    </w:lvl>
  </w:abstractNum>
  <w:abstractNum w:abstractNumId="29">
    <w:nsid w:val="1BA026FA"/>
    <w:multiLevelType w:val="hybridMultilevel"/>
    <w:lvl w:ilvl="0">
      <w:lvlJc w:val="left"/>
      <w:lvlText w:val="(%1)"/>
      <w:numFmt w:val="lowerLetter"/>
      <w:start w:val="4"/>
    </w:lvl>
    <w:lvl w:ilvl="1">
      <w:lvlJc w:val="left"/>
      <w:lvlText w:val="%2"/>
      <w:numFmt w:val="lowerRoman"/>
      <w:start w:val="1"/>
    </w:lvl>
  </w:abstractNum>
  <w:abstractNum w:abstractNumId="30">
    <w:nsid w:val="79A1DEAA"/>
    <w:multiLevelType w:val="hybridMultilevel"/>
    <w:lvl w:ilvl="0">
      <w:lvlJc w:val="left"/>
      <w:lvlText w:val="%1"/>
      <w:numFmt w:val="lowerLetter"/>
      <w:start w:val="1"/>
    </w:lvl>
    <w:lvl w:ilvl="1">
      <w:lvlJc w:val="left"/>
      <w:lvlText w:val="(%2)"/>
      <w:numFmt w:val="lowerRoman"/>
      <w:start w:val="1"/>
    </w:lvl>
  </w:abstractNum>
  <w:abstractNum w:abstractNumId="31">
    <w:nsid w:val="75C6C33A"/>
    <w:multiLevelType w:val="hybridMultilevel"/>
    <w:lvl w:ilvl="0">
      <w:lvlJc w:val="left"/>
      <w:lvlText w:val="(%1)"/>
      <w:numFmt w:val="lowerLetter"/>
      <w:start w:val="6"/>
    </w:lvl>
    <w:lvl w:ilvl="1">
      <w:lvlJc w:val="left"/>
      <w:lvlText w:val="(%2)"/>
      <w:numFmt w:val="lowerRoman"/>
      <w:start w:val="1"/>
    </w:lvl>
  </w:abstractNum>
  <w:abstractNum w:abstractNumId="32">
    <w:nsid w:val="12E685FB"/>
    <w:multiLevelType w:val="hybridMultilevel"/>
    <w:lvl w:ilvl="0">
      <w:lvlJc w:val="left"/>
      <w:lvlText w:val="(%1)"/>
      <w:numFmt w:val="lowerRoman"/>
      <w:start w:val="3"/>
    </w:lvl>
  </w:abstractNum>
  <w:abstractNum w:abstractNumId="33">
    <w:nsid w:val="70C6A529"/>
    <w:multiLevelType w:val="hybridMultilevel"/>
    <w:lvl w:ilvl="0">
      <w:lvlJc w:val="left"/>
      <w:lvlText w:val="(%1)"/>
      <w:numFmt w:val="lowerLetter"/>
      <w:start w:val="7"/>
    </w:lvl>
  </w:abstractNum>
  <w:abstractNum w:abstractNumId="34">
    <w:nsid w:val="520EEDD1"/>
    <w:multiLevelType w:val="hybridMultilevel"/>
    <w:lvl w:ilvl="0">
      <w:lvlJc w:val="left"/>
      <w:lvlText w:val="%1."/>
      <w:numFmt w:val="decimal"/>
      <w:start w:val="8"/>
    </w:lvl>
  </w:abstractNum>
  <w:abstractNum w:abstractNumId="35">
    <w:nsid w:val="374A3FE6"/>
    <w:multiLevelType w:val="hybridMultilevel"/>
    <w:lvl w:ilvl="0">
      <w:lvlJc w:val="left"/>
      <w:lvlText w:val="%1"/>
      <w:numFmt w:val="lowerLetter"/>
      <w:start w:val="1"/>
    </w:lvl>
    <w:lvl w:ilvl="1">
      <w:lvlJc w:val="left"/>
      <w:lvlText w:val="(%2)"/>
      <w:numFmt w:val="lowerLetter"/>
      <w:start w:val="2"/>
    </w:lvl>
  </w:abstractNum>
  <w:abstractNum w:abstractNumId="36">
    <w:nsid w:val="4F4EF005"/>
    <w:multiLevelType w:val="hybridMultilevel"/>
    <w:lvl w:ilvl="0">
      <w:lvlJc w:val="left"/>
      <w:lvlText w:val="(%1)"/>
      <w:numFmt w:val="lowerLetter"/>
      <w:start w:val="2"/>
    </w:lvl>
    <w:lvl w:ilvl="1">
      <w:lvlJc w:val="left"/>
      <w:lvlText w:val="%2"/>
      <w:numFmt w:val="lowerLetter"/>
      <w:start w:val="1"/>
    </w:lvl>
  </w:abstractNum>
  <w:abstractNum w:abstractNumId="37">
    <w:nsid w:val="23F9C13C"/>
    <w:multiLevelType w:val="hybridMultilevel"/>
    <w:lvl w:ilvl="0">
      <w:lvlJc w:val="left"/>
      <w:lvlText w:val="(%1)"/>
      <w:numFmt w:val="lowerLetter"/>
      <w:start w:val="4"/>
    </w:lvl>
  </w:abstractNum>
  <w:abstractNum w:abstractNumId="38">
    <w:nsid w:val="649BB77C"/>
    <w:multiLevelType w:val="hybridMultilevel"/>
    <w:lvl w:ilvl="0">
      <w:lvlJc w:val="left"/>
      <w:lvlText w:val="%1."/>
      <w:numFmt w:val="decimal"/>
      <w:start w:val="10"/>
    </w:lvl>
  </w:abstractNum>
  <w:abstractNum w:abstractNumId="39">
    <w:nsid w:val="275AC794"/>
    <w:multiLevelType w:val="hybridMultilevel"/>
    <w:lvl w:ilvl="0">
      <w:lvlJc w:val="left"/>
      <w:lvlText w:val="%1."/>
      <w:numFmt w:val="decimal"/>
      <w:start w:val="13"/>
    </w:lvl>
  </w:abstractNum>
  <w:abstractNum w:abstractNumId="40">
    <w:nsid w:val="39386575"/>
    <w:multiLevelType w:val="hybridMultilevel"/>
    <w:lvl w:ilvl="0">
      <w:lvlJc w:val="left"/>
      <w:lvlText w:val="%1."/>
      <w:numFmt w:val="decimal"/>
      <w:start w:val="19"/>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8"/>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1."/>
      <w:numFmt w:val="decimal"/>
      <w:start w:val="2"/>
    </w:lvl>
  </w:abstractNum>
  <w:abstractNum w:abstractNumId="46">
    <w:nsid w:val="15B5AF5C"/>
    <w:multiLevelType w:val="hybridMultilevel"/>
    <w:lvl w:ilvl="0">
      <w:lvlJc w:val="left"/>
      <w:lvlText w:val="%1."/>
      <w:numFmt w:val="decimal"/>
      <w:start w:val="3"/>
    </w:lvl>
  </w:abstractNum>
  <w:abstractNum w:abstractNumId="47">
    <w:nsid w:val="741226BB"/>
    <w:multiLevelType w:val="hybridMultilevel"/>
    <w:lvl w:ilvl="0">
      <w:lvlJc w:val="left"/>
      <w:lvlText w:val="%1."/>
      <w:numFmt w:val="decimal"/>
      <w:start w:val="4"/>
    </w:lvl>
  </w:abstractNum>
  <w:abstractNum w:abstractNumId="48">
    <w:nsid w:val="D34B6A8"/>
    <w:multiLevelType w:val="hybridMultilevel"/>
    <w:lvl w:ilvl="0">
      <w:lvlJc w:val="left"/>
      <w:lvlText w:val="%1."/>
      <w:numFmt w:val="decimal"/>
      <w:start w:val="5"/>
    </w:lvl>
  </w:abstractNum>
  <w:abstractNum w:abstractNumId="49">
    <w:nsid w:val="10233C99"/>
    <w:multiLevelType w:val="hybridMultilevel"/>
    <w:lvl w:ilvl="0">
      <w:lvlJc w:val="left"/>
      <w:lvlText w:val="&amp;"/>
      <w:numFmt w:val="bullet"/>
      <w:start w:val="1"/>
    </w:lvl>
  </w:abstractNum>
  <w:abstractNum w:abstractNumId="50">
    <w:nsid w:val="3F6AB60F"/>
    <w:multiLevelType w:val="hybridMultilevel"/>
    <w:lvl w:ilvl="0">
      <w:lvlJc w:val="left"/>
      <w:lvlText w:val="%1."/>
      <w:numFmt w:val="decimal"/>
      <w:start w:val="6"/>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1)"/>
      <w:numFmt w:val="upperLetter"/>
      <w:start w:val="2"/>
    </w:lvl>
  </w:abstractNum>
  <w:abstractNum w:abstractNumId="54">
    <w:nsid w:val="579BE4F1"/>
    <w:multiLevelType w:val="hybridMultilevel"/>
    <w:lvl w:ilvl="0">
      <w:lvlJc w:val="left"/>
      <w:lvlText w:val="%1."/>
      <w:numFmt w:val="decimal"/>
      <w:start w:val="7"/>
    </w:lvl>
  </w:abstractNum>
  <w:abstractNum w:abstractNumId="55">
    <w:nsid w:val="310C50B3"/>
    <w:multiLevelType w:val="hybridMultilevel"/>
    <w:lvl w:ilvl="0">
      <w:lvlJc w:val="left"/>
      <w:lvlText w:val="%1."/>
      <w:numFmt w:val="decimal"/>
      <w:start w:val="8"/>
    </w:lvl>
  </w:abstractNum>
  <w:abstractNum w:abstractNumId="56">
    <w:nsid w:val="5FF87E05"/>
    <w:multiLevelType w:val="hybridMultilevel"/>
    <w:lvl w:ilvl="0">
      <w:lvlJc w:val="left"/>
      <w:lvlText w:val="%1."/>
      <w:numFmt w:val="decimal"/>
      <w:start w:val="9"/>
    </w:lvl>
  </w:abstractNum>
  <w:abstractNum w:abstractNumId="57">
    <w:nsid w:val="2F305DEF"/>
    <w:multiLevelType w:val="hybridMultilevel"/>
    <w:lvl w:ilvl="0">
      <w:lvlJc w:val="left"/>
      <w:lvlText w:val="%1."/>
      <w:numFmt w:val="decimal"/>
      <w:start w:val="10"/>
    </w:lvl>
  </w:abstractNum>
  <w:abstractNum w:abstractNumId="58">
    <w:nsid w:val="25A70BF7"/>
    <w:multiLevelType w:val="hybridMultilevel"/>
    <w:lvl w:ilvl="0">
      <w:lvlJc w:val="left"/>
      <w:lvlText w:val="(%1)"/>
      <w:numFmt w:val="upperLetter"/>
      <w:start w:val="4"/>
    </w:lvl>
  </w:abstractNum>
  <w:abstractNum w:abstractNumId="59">
    <w:nsid w:val="1DBABF00"/>
    <w:multiLevelType w:val="hybridMultilevel"/>
    <w:lvl w:ilvl="0">
      <w:lvlJc w:val="left"/>
      <w:lvlText w:val="(%1)"/>
      <w:numFmt w:val="decimal"/>
      <w:start w:val="2"/>
    </w:lvl>
  </w:abstractNum>
  <w:abstractNum w:abstractNumId="60">
    <w:nsid w:val="4AD084E9"/>
    <w:multiLevelType w:val="hybridMultilevel"/>
    <w:lvl w:ilvl="0">
      <w:lvlJc w:val="left"/>
      <w:lvlText w:val="%1."/>
      <w:numFmt w:val="decimal"/>
      <w:start w:val="11"/>
    </w:lvl>
  </w:abstractNum>
  <w:abstractNum w:abstractNumId="61">
    <w:nsid w:val="1F48EAA1"/>
    <w:multiLevelType w:val="hybridMultilevel"/>
    <w:lvl w:ilvl="0">
      <w:lvlJc w:val="left"/>
      <w:lvlText w:val="%1."/>
      <w:numFmt w:val="decimal"/>
      <w:start w:val="12"/>
    </w:lvl>
  </w:abstractNum>
  <w:abstractNum w:abstractNumId="62">
    <w:nsid w:val="1381823A"/>
    <w:multiLevelType w:val="hybridMultilevel"/>
    <w:lvl w:ilvl="0">
      <w:lvlJc w:val="left"/>
      <w:lvlText w:val="%1."/>
      <w:numFmt w:val="decimal"/>
      <w:start w:val="13"/>
    </w:lvl>
  </w:abstractNum>
  <w:abstractNum w:abstractNumId="63">
    <w:nsid w:val="5DB70AE5"/>
    <w:multiLevelType w:val="hybridMultilevel"/>
    <w:lvl w:ilvl="0">
      <w:lvlJc w:val="left"/>
      <w:lvlText w:val="%1."/>
      <w:numFmt w:val="decimal"/>
      <w:start w:val="14"/>
    </w:lvl>
  </w:abstractNum>
  <w:abstractNum w:abstractNumId="64">
    <w:nsid w:val="100F8FCA"/>
    <w:multiLevelType w:val="hybridMultilevel"/>
    <w:lvl w:ilvl="0">
      <w:lvlJc w:val="left"/>
      <w:lvlText w:val="%1."/>
      <w:numFmt w:val="decimal"/>
      <w:start w:val="15"/>
    </w:lvl>
  </w:abstractNum>
  <w:abstractNum w:abstractNumId="65">
    <w:nsid w:val="6590700B"/>
    <w:multiLevelType w:val="hybridMultilevel"/>
    <w:lvl w:ilvl="0">
      <w:lvlJc w:val="left"/>
      <w:lvlText w:val="%1."/>
      <w:numFmt w:val="decimal"/>
      <w:start w:val="16"/>
    </w:lvl>
  </w:abstractNum>
  <w:abstractNum w:abstractNumId="66">
    <w:nsid w:val="15014ACB"/>
    <w:multiLevelType w:val="hybridMultilevel"/>
    <w:lvl w:ilvl="0">
      <w:lvlJc w:val="left"/>
      <w:lvlText w:val="%1."/>
      <w:numFmt w:val="decimal"/>
      <w:start w:val="17"/>
    </w:lvl>
  </w:abstractNum>
  <w:abstractNum w:abstractNumId="67">
    <w:nsid w:val="5F5E7FD0"/>
    <w:multiLevelType w:val="hybridMultilevel"/>
    <w:lvl w:ilvl="0">
      <w:lvlJc w:val="left"/>
      <w:lvlText w:val="%1."/>
      <w:numFmt w:val="decimal"/>
      <w:start w:val="18"/>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1)"/>
      <w:numFmt w:val="lowerRoman"/>
      <w:start w:val="1"/>
    </w:lvl>
  </w:abstractNum>
  <w:abstractNum w:abstractNumId="70">
    <w:nsid w:val="6B94764"/>
    <w:multiLevelType w:val="hybridMultilevel"/>
    <w:lvl w:ilvl="0">
      <w:lvlJc w:val="left"/>
      <w:lvlText w:val="(%1)"/>
      <w:numFmt w:val="lowerLetter"/>
      <w:start w:val="1"/>
    </w:lvl>
  </w:abstractNum>
  <w:abstractNum w:abstractNumId="71">
    <w:nsid w:val="42C296B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2019-12-10T07:03:16Z</dcterms:created>
  <dcterms:modified xsi:type="dcterms:W3CDTF">2019-12-10T07:03:16Z</dcterms:modified>
</cp:coreProperties>
</file>