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14, 2025, Waste Management, Inc. (the “Company”) announced that its Board of Directors (the “Board”) has promoted John J. Morris, Jr. to the position of President, reporting to Chief Executive Officer James C. Fish, Jr., and Mr. Fish voluntarily resigned from the position of President. Mr. Morris, age 55, has served as the Company’s Executive Vice President and Chief Operating Officer since 2019, and he will now serve as President and Chief Operating Officer. Information about Mr. Morris’s interest in transactions required to be disclosed pursuant to Item 404(a) of Regulation S-K is set forth under the heading “Related Party Transactions” in the Company’s </w:t>
      </w:r>
      <w:hyperlink r:id="rId14">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Securities and Exchange Commission on April 1, 2025 and is incorporated herein by reference.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Mr. Morris’s promotion, his annual base salary has been increased to $1 million, and his target annual cash incentive will be 125% of his base salary in effect at year end. Additionally, the Management Development and Compensation Committee of the Board approved an award of restricted stock units (“RSUs”) under the Company’s 2023 Stock Incentive Plan with a grant date of May 20, 2025 and a value of $1.05 million. The number of RSUs granted will be calculated by dividing such value by the average of the high and low price of the Company’s common stock over the 30 trading days preceding the grant date. Key terms of the RSUs are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3460" w:type="dxa"/>
            <w:vAlign w:val="bottom"/>
          </w:tcPr>
          <w:p>
            <w:pPr>
              <w:spacing w:after="0"/>
              <w:rPr>
                <w:sz w:val="17"/>
                <w:szCs w:val="17"/>
                <w:color w:val="auto"/>
              </w:rPr>
            </w:pPr>
          </w:p>
        </w:tc>
        <w:tc>
          <w:tcPr>
            <w:tcW w:w="7340" w:type="dxa"/>
            <w:vAlign w:val="bottom"/>
          </w:tcPr>
          <w:p>
            <w:pPr>
              <w:spacing w:after="0"/>
              <w:rPr>
                <w:sz w:val="17"/>
                <w:szCs w:val="17"/>
                <w:color w:val="auto"/>
              </w:rPr>
            </w:pPr>
          </w:p>
        </w:tc>
      </w:tr>
      <w:tr>
        <w:trPr>
          <w:trHeight w:val="4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“Vesting Dates”</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34% on the first anniversary of grant</w:t>
            </w:r>
          </w:p>
        </w:tc>
      </w:tr>
      <w:tr>
        <w:trPr>
          <w:trHeight w:val="216"/>
        </w:trPr>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33% on the second anniversary of grant</w:t>
            </w:r>
          </w:p>
        </w:tc>
      </w:tr>
      <w:tr>
        <w:trPr>
          <w:trHeight w:val="216"/>
        </w:trPr>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33% on the third anniversary of grant</w:t>
            </w:r>
          </w:p>
        </w:tc>
      </w:tr>
      <w:tr>
        <w:trPr>
          <w:trHeight w:val="234"/>
        </w:trPr>
        <w:tc>
          <w:tcPr>
            <w:tcW w:w="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Each RSU will be converted into one share of Company common stock.</w:t>
            </w:r>
          </w:p>
        </w:tc>
      </w:tr>
      <w:tr>
        <w:trPr>
          <w:trHeight w:val="43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Equivalents</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Dividends will accrue and be paid in cash upon any payout of RSUs.</w:t>
            </w:r>
          </w:p>
        </w:tc>
      </w:tr>
      <w:tr>
        <w:trPr>
          <w:trHeight w:val="43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7340" w:type="dxa"/>
            <w:vAlign w:val="bottom"/>
          </w:tcPr>
          <w:p>
            <w:pPr>
              <w:spacing w:after="0"/>
              <w:rPr>
                <w:sz w:val="24"/>
                <w:szCs w:val="24"/>
                <w:color w:val="auto"/>
              </w:rPr>
            </w:pPr>
          </w:p>
        </w:tc>
      </w:tr>
      <w:tr>
        <w:trPr>
          <w:trHeight w:val="414"/>
        </w:trPr>
        <w:tc>
          <w:tcPr>
            <w:tcW w:w="44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Death or Disability</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date of such death or</w:t>
            </w:r>
          </w:p>
        </w:tc>
      </w:tr>
      <w:tr>
        <w:trPr>
          <w:trHeight w:val="234"/>
        </w:trPr>
        <w:tc>
          <w:tcPr>
            <w:tcW w:w="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disability.</w:t>
            </w:r>
          </w:p>
        </w:tc>
      </w:tr>
      <w:tr>
        <w:trPr>
          <w:trHeight w:val="414"/>
        </w:trPr>
        <w:tc>
          <w:tcPr>
            <w:tcW w:w="44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Retirement (as defined in the award</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If Retirement occurs on or after January 1, 2026, all RSUs will vest and be issued and paid</w:t>
            </w:r>
          </w:p>
        </w:tc>
      </w:tr>
      <w:tr>
        <w:trPr>
          <w:trHeight w:val="216"/>
        </w:trPr>
        <w:tc>
          <w:tcPr>
            <w:tcW w:w="4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following the normal Vesting Dates. If Retirement occurs before January 1, 2026, RSUs</w:t>
            </w:r>
          </w:p>
        </w:tc>
      </w:tr>
      <w:tr>
        <w:trPr>
          <w:trHeight w:val="216"/>
        </w:trPr>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equal to the total number of unvested RSUs, prorated based on the portion of calendar year</w:t>
            </w:r>
          </w:p>
        </w:tc>
      </w:tr>
      <w:tr>
        <w:trPr>
          <w:trHeight w:val="216"/>
        </w:trPr>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2025 that the employee was employed, will vest and be issued and paid following the normal</w:t>
            </w:r>
          </w:p>
        </w:tc>
      </w:tr>
      <w:tr>
        <w:trPr>
          <w:trHeight w:val="234"/>
        </w:trPr>
        <w:tc>
          <w:tcPr>
            <w:tcW w:w="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Vesting Dates.</w:t>
            </w:r>
          </w:p>
        </w:tc>
      </w:tr>
      <w:tr>
        <w:trPr>
          <w:trHeight w:val="414"/>
        </w:trPr>
        <w:tc>
          <w:tcPr>
            <w:tcW w:w="44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 without Cause</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RSUs equal to the total number of unvested RSUs, prorated based on the portion of the entire</w:t>
            </w:r>
          </w:p>
        </w:tc>
      </w:tr>
      <w:tr>
        <w:trPr>
          <w:trHeight w:val="216"/>
        </w:trPr>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three-year vesting period that the employee was employed, will vest and be issued and paid</w:t>
            </w:r>
          </w:p>
        </w:tc>
      </w:tr>
      <w:tr>
        <w:trPr>
          <w:trHeight w:val="234"/>
        </w:trPr>
        <w:tc>
          <w:tcPr>
            <w:tcW w:w="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following the normal Vesting Dates.</w:t>
            </w:r>
          </w:p>
        </w:tc>
      </w:tr>
      <w:tr>
        <w:trPr>
          <w:trHeight w:val="414"/>
        </w:trPr>
        <w:tc>
          <w:tcPr>
            <w:tcW w:w="44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Resignation; Involuntary Termination</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All unvested RSUs are forfeited.</w:t>
            </w:r>
          </w:p>
        </w:tc>
      </w:tr>
      <w:tr>
        <w:trPr>
          <w:trHeight w:val="234"/>
        </w:trPr>
        <w:tc>
          <w:tcPr>
            <w:tcW w:w="4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for Cause</w:t>
            </w:r>
          </w:p>
        </w:tc>
        <w:tc>
          <w:tcPr>
            <w:tcW w:w="734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 without Cause</w:t>
            </w:r>
          </w:p>
        </w:tc>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normal Vesting Dates.</w:t>
            </w:r>
          </w:p>
        </w:tc>
      </w:tr>
      <w:tr>
        <w:trPr>
          <w:trHeight w:val="234"/>
        </w:trPr>
        <w:tc>
          <w:tcPr>
            <w:tcW w:w="4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following a Change in Control</w:t>
            </w:r>
          </w:p>
        </w:tc>
        <w:tc>
          <w:tcPr>
            <w:tcW w:w="7340" w:type="dxa"/>
            <w:vAlign w:val="bottom"/>
          </w:tcPr>
          <w:p>
            <w:pPr>
              <w:spacing w:after="0"/>
              <w:rPr>
                <w:sz w:val="20"/>
                <w:szCs w:val="20"/>
                <w:color w:val="auto"/>
              </w:rPr>
            </w:pPr>
          </w:p>
        </w:tc>
      </w:tr>
      <w:tr>
        <w:trPr>
          <w:trHeight w:val="648"/>
        </w:trPr>
        <w:tc>
          <w:tcPr>
            <w:tcW w:w="4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is qualified in its entirety by reference to the RSU award agreement that is Exhibit 10.1 to this report and incorporated herein by reference. A copy of the press release announcing Mr. Morris’s promotion is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920" w:right="300" w:hanging="903"/>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16">
        <w:r>
          <w:rPr>
            <w:rFonts w:ascii="Times New Roman" w:cs="Times New Roman" w:eastAsia="Times New Roman" w:hAnsi="Times New Roman"/>
            <w:sz w:val="18"/>
            <w:szCs w:val="18"/>
            <w:u w:val="single" w:color="auto"/>
            <w:color w:val="0000EE"/>
          </w:rPr>
          <w:t>Form of 2025 Long Term Incentive Compensation RSU Award Agreement (incorporated by reference to Exhibit 10.4 to Form 10-Q for the</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quarter ended March 31, 2025).</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14, 2025</w:t>
      </w:r>
    </w:p>
    <w:p>
      <w:pPr>
        <w:spacing w:after="0" w:line="225" w:lineRule="exact"/>
        <w:rPr>
          <w:rFonts w:ascii="Times New Roman" w:cs="Times New Roman" w:eastAsia="Times New Roman" w:hAnsi="Times New Roman"/>
          <w:sz w:val="18"/>
          <w:szCs w:val="18"/>
          <w:u w:val="single" w:color="auto"/>
          <w:color w:val="0000EE"/>
        </w:rPr>
      </w:pPr>
    </w:p>
    <w:p>
      <w:pPr>
        <w:ind w:left="5560" w:right="3800" w:hanging="5552"/>
        <w:spacing w:after="0" w:line="783" w:lineRule="auto"/>
        <w:tabs>
          <w:tab w:leader="none" w:pos="9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WM Names John Morris President</w:t>
      </w:r>
    </w:p>
    <w:p>
      <w:pPr>
        <w:spacing w:after="0" w:line="200" w:lineRule="exact"/>
        <w:rPr>
          <w:sz w:val="20"/>
          <w:szCs w:val="20"/>
          <w:color w:val="auto"/>
        </w:rPr>
      </w:pPr>
    </w:p>
    <w:p>
      <w:pPr>
        <w:spacing w:after="0" w:line="22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HOUSTON — May 14, 2025 </w:t>
      </w:r>
      <w:r>
        <w:rPr>
          <w:rFonts w:ascii="Arial" w:cs="Arial" w:eastAsia="Arial" w:hAnsi="Arial"/>
          <w:sz w:val="20"/>
          <w:szCs w:val="20"/>
          <w:color w:val="auto"/>
        </w:rPr>
        <w:t>— WM (NYSE: WM) announced that its Board of Directors has appointed John J. Morris, Jr.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position of President, reporting to Jim Fish, the company’s Chief Executive Officer. Morris also retains his existing role as Chief Operating Officer.</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Morris will maintain responsibility for all field operations, and the company’s Chief Officers leading Sustainability, Customer Experience and Enterprise Strategy will report to him as well.</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“Our People First strategy is tailored to address the dynamic needs of the changing world and workforce, with a strong emphasis on developing future leaders at WM. This intentional leadership-development focus has given us the confidence to elevate John to the position of President,” said Jim Fish, Chief Executive Officer of WM. "John’s more than 30-year tenure within the industry, coupled with his impressive track record of delivering results and enhancing shareholder value, highlights his leadership capabilities making his appointment as President exceptionally well-deserved. The Board of Directors and I expect great things from John in his new role as President, working in collaboration with me and the entire Senior Leadership Team."</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“I’m truly honored to take on this role and deeply grateful for the trust Jim and the Board of Directors have placed in me,” said Morris. “This opportunity is both humbling and inspiring, and I’m committed to serving our 62,000 associates as we work together to advance WM’s strategy. Our company has a strong foundation and tremendous potential to build on our leadership in environmental services. I have full confidence in our team’s ability to deliver lasting value for our customers, shareholders, and communities—always with a deep respect for the environment and a commitment to making WM a great place to work.”</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Prior to becoming COO, Morris held several positions at WM including Market Area General Manager of New York City, Area Vice President of the Greater Mid-Atlantic Area, Chief Strategy Officer, and Senior Vice President, Field Operations. He is a graduate of Rutgers University.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WM</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WM (WM.com)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WM has the largest disposal network and collection fleet in North America, is the largest recycler of post-consumer materials and is a leader in beneficial use of landfill gas, with a growing network of renewable natural gas plants and the most landfill gas-to-electricity plants in North America. WM also has the largest heavy-duty natural gas truck fleet in the industry in North America. WM Healthcare Solutions provides collection and disposal services of regulated medical waste, as well as secure information destruction services, in the U.S., Canada and Western Europe. To learn more about WM and the company's sustainability progress and solutions, visit Sustainability.WM.com.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7AB800"/>
        </w:rPr>
        <w:t>FOR MORE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www.wm.com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234" w:lineRule="auto"/>
        <w:rPr>
          <w:sz w:val="20"/>
          <w:szCs w:val="20"/>
          <w:color w:val="auto"/>
        </w:rPr>
      </w:pPr>
      <w:r>
        <w:rPr>
          <w:rFonts w:ascii="Arial" w:cs="Arial" w:eastAsia="Arial" w:hAnsi="Arial"/>
          <w:sz w:val="18"/>
          <w:szCs w:val="18"/>
          <w:color w:val="auto"/>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eegl@wm.com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Toni Werner</w:t>
      </w:r>
    </w:p>
    <w:p>
      <w:pPr>
        <w:spacing w:after="0"/>
        <w:rPr>
          <w:sz w:val="20"/>
          <w:szCs w:val="20"/>
          <w:color w:val="auto"/>
        </w:rPr>
      </w:pPr>
      <w:r>
        <w:rPr>
          <w:rFonts w:ascii="Arial" w:cs="Arial" w:eastAsia="Arial" w:hAnsi="Arial"/>
          <w:sz w:val="18"/>
          <w:szCs w:val="18"/>
          <w:color w:val="auto"/>
        </w:rPr>
        <w:t>media@wm.com</w:t>
      </w:r>
    </w:p>
    <w:p>
      <w:pPr>
        <w:spacing w:after="0" w:line="177"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8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s://www.sec.gov/ix?doc=/Archives/edgar/data/823768/000110465925030318/tm251991-2_def14a.htm" TargetMode="External"/><Relationship Id="rId16" Type="http://schemas.openxmlformats.org/officeDocument/2006/relationships/hyperlink" Target="https://www.sec.gov/Archives/edgar/data/823768/000155837025005805/wm-20250331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2025-05-14T16:13:25Z</dcterms:created>
  <dcterms:modified xsi:type="dcterms:W3CDTF">2025-05-14T16:13:25Z</dcterms:modified>
</cp:coreProperties>
</file>