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84" w:lineRule="exact"/>
        <w:rPr>
          <w:sz w:val="24"/>
          <w:szCs w:val="24"/>
          <w:color w:val="auto"/>
        </w:rPr>
      </w:pPr>
    </w:p>
    <w:p>
      <w:pPr>
        <w:ind w:left="480" w:right="120" w:hanging="337"/>
        <w:spacing w:after="0" w:line="262"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1"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8" w:lineRule="exact"/>
        <w:rPr>
          <w:sz w:val="24"/>
          <w:szCs w:val="24"/>
          <w:color w:val="auto"/>
        </w:rPr>
      </w:pPr>
    </w:p>
    <w:p>
      <w:pPr>
        <w:ind w:left="480" w:right="100" w:hanging="337"/>
        <w:spacing w:after="0" w:line="262"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480"/>
        <w:spacing w:after="0"/>
        <w:tabs>
          <w:tab w:leader="none" w:pos="3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1-12154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40" w:type="dxa"/>
            <w:vAlign w:val="bottom"/>
          </w:tcPr>
          <w:p>
            <w:pPr>
              <w:jc w:val="center"/>
              <w:ind w:left="199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77"/>
              <w:spacing w:after="0"/>
              <w:rPr>
                <w:sz w:val="20"/>
                <w:szCs w:val="20"/>
                <w:color w:val="auto"/>
              </w:rPr>
            </w:pPr>
            <w:r>
              <w:rPr>
                <w:rFonts w:ascii="Times New Roman" w:cs="Times New Roman" w:eastAsia="Times New Roman" w:hAnsi="Times New Roman"/>
                <w:sz w:val="18"/>
                <w:szCs w:val="18"/>
                <w:b w:val="1"/>
                <w:bCs w:val="1"/>
                <w:color w:val="auto"/>
                <w:w w:val="98"/>
              </w:rPr>
              <w:t>73-1309529</w:t>
            </w:r>
          </w:p>
        </w:tc>
      </w:tr>
      <w:tr>
        <w:trPr>
          <w:trHeight w:val="203"/>
        </w:trPr>
        <w:tc>
          <w:tcPr>
            <w:tcW w:w="20" w:type="dxa"/>
            <w:vAlign w:val="bottom"/>
          </w:tcPr>
          <w:p>
            <w:pPr>
              <w:spacing w:after="0"/>
              <w:rPr>
                <w:sz w:val="17"/>
                <w:szCs w:val="17"/>
                <w:color w:val="auto"/>
              </w:rPr>
            </w:pPr>
          </w:p>
        </w:tc>
        <w:tc>
          <w:tcPr>
            <w:tcW w:w="3680" w:type="dxa"/>
            <w:vAlign w:val="bottom"/>
            <w:gridSpan w:val="4"/>
          </w:tcPr>
          <w:p>
            <w:pPr>
              <w:jc w:val="center"/>
              <w:ind w:left="1357"/>
              <w:spacing w:after="0" w:line="202" w:lineRule="exact"/>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97"/>
              <w:spacing w:after="0" w:line="202"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0" w:type="dxa"/>
            <w:vAlign w:val="bottom"/>
          </w:tcPr>
          <w:p>
            <w:pPr>
              <w:spacing w:after="0"/>
              <w:rPr>
                <w:sz w:val="20"/>
                <w:szCs w:val="20"/>
                <w:color w:val="auto"/>
              </w:rPr>
            </w:pPr>
          </w:p>
        </w:tc>
        <w:tc>
          <w:tcPr>
            <w:tcW w:w="3680" w:type="dxa"/>
            <w:vAlign w:val="bottom"/>
            <w:gridSpan w:val="4"/>
          </w:tcPr>
          <w:p>
            <w:pPr>
              <w:jc w:val="center"/>
              <w:ind w:left="1357"/>
              <w:spacing w:after="0"/>
              <w:rPr>
                <w:sz w:val="20"/>
                <w:szCs w:val="20"/>
                <w:color w:val="auto"/>
              </w:rPr>
            </w:pPr>
            <w:r>
              <w:rPr>
                <w:rFonts w:ascii="Times New Roman" w:cs="Times New Roman" w:eastAsia="Times New Roman" w:hAnsi="Times New Roman"/>
                <w:sz w:val="18"/>
                <w:szCs w:val="18"/>
                <w:i w:val="1"/>
                <w:iCs w:val="1"/>
                <w:color w:val="auto"/>
              </w:rPr>
              <w:t>incorporation or organization)</w:t>
            </w: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777"/>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315"/>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9"/>
              </w:rPr>
              <w:t>800 Capitol Street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rPr>
              <w:t>Suite 3000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8"/>
              </w:rPr>
              <w:t>Houston, Texas 77002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Pr>
          <w:p>
            <w:pPr>
              <w:jc w:val="center"/>
              <w:ind w:right="55"/>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317"/>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9"/>
              </w:rPr>
              <w:t>(713) 512-6200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960" w:type="dxa"/>
            <w:vAlign w:val="bottom"/>
            <w:gridSpan w:val="6"/>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3200" w:type="dxa"/>
            <w:vAlign w:val="bottom"/>
          </w:tcPr>
          <w:p>
            <w:pPr>
              <w:spacing w:after="0"/>
              <w:rPr>
                <w:sz w:val="20"/>
                <w:szCs w:val="20"/>
                <w:color w:val="auto"/>
              </w:rPr>
            </w:pPr>
          </w:p>
        </w:tc>
      </w:tr>
      <w:tr>
        <w:trPr>
          <w:trHeight w:val="338"/>
        </w:trPr>
        <w:tc>
          <w:tcPr>
            <w:tcW w:w="6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3040" w:type="dxa"/>
            <w:vAlign w:val="bottom"/>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0" w:type="dxa"/>
            <w:vAlign w:val="bottom"/>
          </w:tcPr>
          <w:p>
            <w:pPr>
              <w:spacing w:after="0"/>
              <w:rPr>
                <w:sz w:val="24"/>
                <w:szCs w:val="24"/>
                <w:color w:val="auto"/>
              </w:rPr>
            </w:pP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2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0" w:type="dxa"/>
            <w:vAlign w:val="bottom"/>
          </w:tcPr>
          <w:p>
            <w:pPr>
              <w:spacing w:after="0"/>
              <w:rPr>
                <w:sz w:val="15"/>
                <w:szCs w:val="15"/>
                <w:color w:val="auto"/>
              </w:rPr>
            </w:pPr>
          </w:p>
        </w:tc>
        <w:tc>
          <w:tcPr>
            <w:tcW w:w="3040" w:type="dxa"/>
            <w:vAlign w:val="bottom"/>
            <w:tcBorders>
              <w:top w:val="single" w:sz="8" w:color="auto"/>
            </w:tcBorders>
          </w:tcPr>
          <w:p>
            <w:pPr>
              <w:jc w:val="center"/>
              <w:ind w:left="217"/>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3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color w:val="auto"/>
              </w:rPr>
              <w:t>WM</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9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894" w:right="839" w:bottom="1440" w:gutter="0" w:footer="0" w:header="0"/>
        </w:sectPr>
      </w:pPr>
    </w:p>
    <w:p>
      <w:pPr>
        <w:spacing w:after="0" w:line="5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ind w:left="76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2" w:lineRule="exact"/>
        <w:rPr>
          <w:sz w:val="24"/>
          <w:szCs w:val="24"/>
          <w:color w:val="auto"/>
        </w:rPr>
      </w:pPr>
    </w:p>
    <w:p>
      <w:pPr>
        <w:sectPr>
          <w:pgSz w:w="11900" w:h="16838" w:orient="portrait"/>
          <w:cols w:equalWidth="0" w:num="2">
            <w:col w:w="7320" w:space="720"/>
            <w:col w:w="2180"/>
          </w:cols>
          <w:pgMar w:left="840" w:top="894" w:right="839" w:bottom="1440" w:gutter="0" w:footer="0" w:header="0"/>
          <w:type w:val="continuous"/>
        </w:sect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spacing w:after="0" w:line="207" w:lineRule="exact"/>
        <w:tabs>
          <w:tab w:leader="none" w:pos="75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$0.01 par value, of the registrant outstanding as of April 24, 2026 was 401,575,752 (excluding treasury shares of 228,706,709).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440055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28575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62865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894" w:right="8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Par Value Amounts)</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0" w:type="dxa"/>
            <w:vAlign w:val="bottom"/>
            <w:vMerge w:val="restart"/>
          </w:tcPr>
          <w:p>
            <w:pPr>
              <w:ind w:left="66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298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Accounts receivable, net of allowance for doubtful accounts of $62 and $87, respectively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Other receivables, net of allowance for doubtful accounts of $3 and $3, respectively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Parts and supplies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Other current assets</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current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Property and equipment, net of accumulated depreciation and depletion of $25,451 and $25,096,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respectively</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13,873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Restricted funds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long-term assets</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assets</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45,700</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220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Accounts payable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1,803</w:t>
            </w:r>
          </w:p>
        </w:tc>
        <w:tc>
          <w:tcPr>
            <w:tcW w:w="42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Deferred revenues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22,250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Landfill and environmental remediation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1,706</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liabilities</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35,678</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35,844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0" w:type="dxa"/>
            <w:vAlign w:val="bottom"/>
          </w:tcPr>
          <w:p>
            <w:pPr>
              <w:spacing w:after="0" w:line="174" w:lineRule="exact"/>
              <w:rPr>
                <w:sz w:val="20"/>
                <w:szCs w:val="20"/>
                <w:color w:val="auto"/>
              </w:rPr>
            </w:pPr>
            <w:r>
              <w:rPr>
                <w:rFonts w:ascii="Times New Roman" w:cs="Times New Roman" w:eastAsia="Times New Roman" w:hAnsi="Times New Roman"/>
                <w:sz w:val="17"/>
                <w:szCs w:val="17"/>
                <w:color w:val="auto"/>
              </w:rPr>
              <w:t>Commitments and contingencies (Note 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jc w:val="right"/>
              <w:ind w:right="76"/>
              <w:spacing w:after="0" w:line="174"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680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Equity:</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299"/>
              <w:spacing w:after="0" w:line="181"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CCEEFF"/>
            </w:tcBorders>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Waste Management, Inc. stockholders’ equity: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gridSpan w:val="2"/>
          </w:tcPr>
          <w:p>
            <w:pPr>
              <w:jc w:val="right"/>
              <w:ind w:right="299"/>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Common stock, $0.01 par value; 1,500,000,000 shares authorized; 630,282,461 shares issued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Retained earnings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17,571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Treasury stock at cost 228,008,930 and 227,340,757 shares, respectively</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(13,220)</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Waste Management, Inc. stockholders’ equity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Total equity</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10,022</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45,700</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left="40" w:right="39"/>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(In Millions, Except per Share Amounts) (Unaudited)</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5"/>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104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gridSpan w:val="2"/>
          </w:tcPr>
          <w:p>
            <w:pPr>
              <w:jc w:val="center"/>
              <w:ind w:right="1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depletion, amortization and accretion</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loss from divestitures, asset impairments and unusual items, net</w:t>
            </w:r>
          </w:p>
        </w:tc>
        <w:tc>
          <w:tcPr>
            <w:tcW w:w="8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8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8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8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0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8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2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8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7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tcBorders>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instruments, net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securities, net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Post-retirement benefit obligations, net</w:t>
            </w: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Waste Management, Inc.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5"/>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40" w:type="dxa"/>
            <w:vAlign w:val="bottom"/>
            <w:vMerge w:val="restart"/>
          </w:tcPr>
          <w:p>
            <w:pPr>
              <w:ind w:left="67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jc w:val="center"/>
              <w:ind w:right="155"/>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net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consolidated net income to net cash provided by operating activities: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depletion, amortization and accretion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Deferred income tax expense (benefit)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Provision for bad debts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gain on disposal of 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(Gain) loss from divestitures, asset impairments and other, net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 in operating assets and liabilities, net of effects of acquisitions and divestitures: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Receivables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Other current 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Other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Deferred revenues and other liabilities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1,501</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Acquisitions of businesses, net of cash acquired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Capital expenditures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divestitures of businesses and other assets, net of cash divested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net</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New borrowings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Debt repayments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Common stock repurchase program</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Cash dividends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Exercise of common stock options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Tax payments associated with equity-based compensation transactions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Other, net</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40" w:type="dxa"/>
            <w:vAlign w:val="bottom"/>
          </w:tcPr>
          <w:p>
            <w:pPr>
              <w:spacing w:after="0" w:line="161" w:lineRule="exact"/>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 and cash</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equivalents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(decrease) in cash, cash equivalents and restricted cash and cash equivalents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and cash equivalents at beginning of period</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and cash equivalents at end of period</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Reconciliation of cash, cash equivalents and restricted cash and cash equivalents at end of period: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 and cash equivalents included in other current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Restricted cash and cash equivalents included in restricted funds</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and cash equivalents at end of period</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 w:name="page5"/>
    <w:bookmarkEnd w:id="4"/>
    <w:p>
      <w:pPr>
        <w:ind w:left="32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2"/>
          </w:tcPr>
          <w:p>
            <w:pPr>
              <w:ind w:left="240"/>
              <w:spacing w:after="0"/>
              <w:rPr>
                <w:sz w:val="20"/>
                <w:szCs w:val="20"/>
                <w:color w:val="auto"/>
              </w:rPr>
            </w:pPr>
            <w:r>
              <w:rPr>
                <w:rFonts w:ascii="Times New Roman" w:cs="Times New Roman" w:eastAsia="Times New Roman" w:hAnsi="Times New Roman"/>
                <w:sz w:val="13"/>
                <w:szCs w:val="13"/>
                <w:b w:val="1"/>
                <w:bCs w:val="1"/>
                <w:color w:val="auto"/>
              </w:rPr>
              <w:t>Waste Management, Inc. Stockholders’ Equity</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36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3"/>
                <w:szCs w:val="13"/>
                <w:color w:val="auto"/>
                <w:w w:val="98"/>
              </w:rPr>
              <w:t>​</w:t>
            </w:r>
            <w:r>
              <w:rPr>
                <w:rFonts w:ascii="Times New Roman" w:cs="Times New Roman" w:eastAsia="Times New Roman" w:hAnsi="Times New Roman"/>
                <w:sz w:val="13"/>
                <w:szCs w:val="13"/>
                <w:b w:val="1"/>
                <w:bCs w:val="1"/>
                <w:color w:val="auto"/>
                <w:w w:val="98"/>
              </w:rPr>
              <w:t>Amounts</w:t>
            </w:r>
          </w:p>
        </w:tc>
        <w:tc>
          <w:tcPr>
            <w:tcW w:w="1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6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Earnings</w:t>
            </w:r>
          </w:p>
        </w:tc>
        <w:tc>
          <w:tcPr>
            <w:tcW w:w="98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Income (Loss)</w:t>
            </w:r>
          </w:p>
        </w:tc>
        <w:tc>
          <w:tcPr>
            <w:tcW w:w="6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Amounts</w:t>
            </w:r>
          </w:p>
        </w:tc>
        <w:tc>
          <w:tcPr>
            <w:tcW w:w="60" w:type="dxa"/>
            <w:vAlign w:val="bottom"/>
          </w:tcPr>
          <w:p>
            <w:pPr>
              <w:spacing w:after="0"/>
              <w:rPr>
                <w:sz w:val="12"/>
                <w:szCs w:val="12"/>
                <w:color w:val="auto"/>
              </w:rPr>
            </w:pP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128"/>
        </w:trPr>
        <w:tc>
          <w:tcPr>
            <w:tcW w:w="2480" w:type="dxa"/>
            <w:vAlign w:val="bottom"/>
            <w:tcBorders>
              <w:top w:val="single" w:sz="8" w:color="CCEEFF"/>
            </w:tcBorders>
            <w:gridSpan w:val="3"/>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December 31, 2025</w:t>
            </w:r>
          </w:p>
        </w:tc>
        <w:tc>
          <w:tcPr>
            <w:tcW w:w="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9,991</w:t>
            </w:r>
          </w:p>
        </w:tc>
        <w:tc>
          <w:tcPr>
            <w:tcW w:w="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5,676</w:t>
            </w:r>
          </w:p>
        </w:tc>
        <w:tc>
          <w:tcPr>
            <w:tcW w:w="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$ 17,232</w:t>
            </w:r>
          </w:p>
        </w:tc>
        <w:tc>
          <w:tcPr>
            <w:tcW w:w="60" w:type="dxa"/>
            <w:vAlign w:val="bottom"/>
          </w:tcPr>
          <w:p>
            <w:pPr>
              <w:spacing w:after="0"/>
              <w:rPr>
                <w:sz w:val="12"/>
                <w:szCs w:val="12"/>
                <w:color w:val="auto"/>
              </w:rPr>
            </w:pPr>
          </w:p>
        </w:tc>
        <w:tc>
          <w:tcPr>
            <w:tcW w:w="1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(227,341)</w:t>
            </w: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 (12,914)</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4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5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480" w:type="dxa"/>
            <w:vAlign w:val="bottom"/>
            <w:gridSpan w:val="3"/>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w:t>
            </w:r>
          </w:p>
        </w:tc>
        <w:tc>
          <w:tcPr>
            <w:tcW w:w="100" w:type="dxa"/>
            <w:vAlign w:val="bottom"/>
          </w:tcPr>
          <w:p>
            <w:pPr>
              <w:spacing w:after="0"/>
              <w:rPr>
                <w:sz w:val="10"/>
                <w:szCs w:val="10"/>
                <w:color w:val="auto"/>
              </w:rPr>
            </w:pPr>
          </w:p>
        </w:tc>
        <w:tc>
          <w:tcPr>
            <w:tcW w:w="5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(34)</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(34)</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of tax</w:t>
            </w:r>
          </w:p>
        </w:tc>
        <w:tc>
          <w:tcPr>
            <w:tcW w:w="1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80" w:type="dxa"/>
            <w:vAlign w:val="bottom"/>
            <w:gridSpan w:val="3"/>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$0.945 per</w:t>
            </w:r>
          </w:p>
        </w:tc>
        <w:tc>
          <w:tcPr>
            <w:tcW w:w="1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(385)</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(385)</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w:t>
            </w:r>
          </w:p>
        </w:tc>
        <w:tc>
          <w:tcPr>
            <w:tcW w:w="10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80" w:type="dxa"/>
            <w:vAlign w:val="bottom"/>
            <w:gridSpan w:val="3"/>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5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(1,499)</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480" w:type="dxa"/>
            <w:vAlign w:val="bottom"/>
            <w:tcBorders>
              <w:bottom w:val="single" w:sz="8" w:color="CCEEFF"/>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March 31, 2026</w:t>
            </w: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10,022</w:t>
            </w:r>
          </w:p>
        </w:tc>
        <w:tc>
          <w:tcPr>
            <w:tcW w:w="80" w:type="dxa"/>
            <w:vAlign w:val="bottom"/>
            <w:tcBorders>
              <w:bottom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5,708</w:t>
            </w:r>
          </w:p>
        </w:tc>
        <w:tc>
          <w:tcPr>
            <w:tcW w:w="6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$ 17,571</w:t>
            </w:r>
          </w:p>
        </w:tc>
        <w:tc>
          <w:tcPr>
            <w:tcW w:w="6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(228,009)</w:t>
            </w:r>
          </w:p>
        </w:tc>
        <w:tc>
          <w:tcPr>
            <w:tcW w:w="6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(13,220)</w:t>
            </w: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8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December 31, 2024</w:t>
            </w:r>
          </w:p>
        </w:tc>
        <w:tc>
          <w:tcPr>
            <w:tcW w:w="1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8,254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5,496</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$ 15,858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(115)</w:t>
            </w:r>
          </w:p>
        </w:tc>
        <w:tc>
          <w:tcPr>
            <w:tcW w:w="6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(228,788)</w:t>
            </w:r>
          </w:p>
        </w:tc>
        <w:tc>
          <w:tcPr>
            <w:tcW w:w="6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 (12,993)</w:t>
            </w: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24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5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480" w:type="dxa"/>
            <w:vAlign w:val="bottom"/>
            <w:gridSpan w:val="3"/>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w:t>
            </w: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 tax</w:t>
            </w:r>
          </w:p>
        </w:tc>
        <w:tc>
          <w:tcPr>
            <w:tcW w:w="10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80" w:type="dxa"/>
            <w:vAlign w:val="bottom"/>
            <w:gridSpan w:val="3"/>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$0.825 per</w:t>
            </w:r>
          </w:p>
        </w:tc>
        <w:tc>
          <w:tcPr>
            <w:tcW w:w="100" w:type="dxa"/>
            <w:vAlign w:val="bottom"/>
          </w:tcPr>
          <w:p>
            <w:pPr>
              <w:spacing w:after="0"/>
              <w:rPr>
                <w:sz w:val="10"/>
                <w:szCs w:val="10"/>
                <w:color w:val="auto"/>
              </w:rPr>
            </w:pPr>
          </w:p>
        </w:tc>
        <w:tc>
          <w:tcPr>
            <w:tcW w:w="5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(336)</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(336)</w:t>
            </w:r>
          </w:p>
        </w:tc>
        <w:tc>
          <w:tcPr>
            <w:tcW w:w="18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common share</w:t>
            </w:r>
          </w:p>
        </w:tc>
        <w:tc>
          <w:tcPr>
            <w:tcW w:w="1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80" w:type="dxa"/>
            <w:vAlign w:val="bottom"/>
            <w:gridSpan w:val="3"/>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5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2480" w:type="dxa"/>
            <w:vAlign w:val="bottom"/>
            <w:tcBorders>
              <w:top w:val="single" w:sz="8" w:color="CCEEFF"/>
              <w:bottom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March 31, 2025</w:t>
            </w: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8,651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5,515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$ 16,160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(227,911)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(12,944)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360" w:hanging="310"/>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12. 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75" w:lineRule="exact"/>
        <w:rPr>
          <w:sz w:val="20"/>
          <w:szCs w:val="20"/>
          <w:color w:val="auto"/>
        </w:rPr>
      </w:pPr>
    </w:p>
    <w:p>
      <w:pPr>
        <w:jc w:val="both"/>
        <w:ind w:left="80" w:right="59" w:firstLine="324"/>
        <w:spacing w:after="0" w:line="235"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recycling and resource recovery services. Through our Renewable Energy segment, we are also a leading developer, operator and owner of landfill gas-to-energy facilities in the U.S. and Canada that produce renewable electricity and renewable natural gas (“RNG”), which is a significant source of fuel that we allocate to our natural gas fleet. Our Healthcare Solutions segment provides regulated waste and compliance services (“RWCS”) and secure information destruction (“SID”) services in the U.S., Canada and Western Europe that protect people and brands, promote health and well-being and safeguard the environment. Additionally, through our Recycling Processing and Sales segment, we are a leading recycler in the U.S. and Canada, handling materials that include paper, cardboard, glass, plastic and metal.</w:t>
      </w:r>
    </w:p>
    <w:p>
      <w:pPr>
        <w:spacing w:after="0" w:line="187" w:lineRule="exact"/>
        <w:rPr>
          <w:sz w:val="20"/>
          <w:szCs w:val="20"/>
          <w:color w:val="auto"/>
        </w:rPr>
      </w:pPr>
    </w:p>
    <w:p>
      <w:pPr>
        <w:jc w:val="both"/>
        <w:ind w:left="60" w:right="59" w:firstLine="324"/>
        <w:spacing w:after="0" w:line="235"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Renewable Energy and (v) Healthcare Solutions. Our East and West Tiers along with certain ancillary services (“Other Ancillary”) that are not managed through our Tier segments, but that support our collection and disposal operations, form our “Collection and Disposal” business. We also provide additional services not managed through our five reportable segments, which are presented as Corporate and Other. Refer to Note 7 for further discussion.</w:t>
      </w:r>
    </w:p>
    <w:p>
      <w:pPr>
        <w:spacing w:after="0" w:line="20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as of March 31, 2026 and for the three months ended March 31, 2026 and 2025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2025.</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Actual results could differ materially from the estimates and assumptions that we use in the preparation of our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generally recognize revenue as services are performed or products are delivered. For example, revenue typically is recognized as waste is collected; tons are received at our landfills, transfer stations or processing facilities; or recycling and other commodities, such as RNG, electricity and capacity, Renewable Identification Numbers (“RINs”) and Renewable Energy Credits (“RECs”), are sold. Compliance services revenues are recognized over the contractual service period.</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also bill for certain services prior to performance. Such services include, among others, certain commercial and residential contracts and equipment rentals. These advanced billings are included in deferred revenues and recognized as revenue in the period service is provided. Substantially all our deferred revenues during the reported periods are realized as revenues within one to three months, when the related services are performed.</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Contract Acquisition Costs</w:t>
      </w:r>
    </w:p>
    <w:p>
      <w:pPr>
        <w:spacing w:after="0" w:line="216" w:lineRule="exact"/>
        <w:rPr>
          <w:sz w:val="20"/>
          <w:szCs w:val="20"/>
          <w:color w:val="auto"/>
        </w:rPr>
      </w:pPr>
    </w:p>
    <w:p>
      <w:pPr>
        <w:jc w:val="both"/>
        <w:ind w:left="60" w:right="59" w:firstLine="324"/>
        <w:spacing w:after="0"/>
        <w:rPr>
          <w:sz w:val="20"/>
          <w:szCs w:val="20"/>
          <w:color w:val="auto"/>
        </w:rPr>
      </w:pPr>
      <w:r>
        <w:rPr>
          <w:rFonts w:ascii="Times New Roman" w:cs="Times New Roman" w:eastAsia="Times New Roman" w:hAnsi="Times New Roman"/>
          <w:sz w:val="18"/>
          <w:szCs w:val="18"/>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16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Sheets. As of March 31, 2026 and December 31, 2025, we had $229 million and $237 million, respectively, of deferred contract costs, of which $183 million and $177 million, respectively, were related to deferred sales incentives.</w:t>
      </w:r>
    </w:p>
    <w:p>
      <w:pPr>
        <w:spacing w:after="0" w:line="3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Amounts for our operating lease right-of-use assets are recorded in other long-term assets and the current and long-term portion of our operating lease liabilities are reflected in accrued liabilities and other long-term liabilities, respectively, in our Condensed Consolidated Balance Sheets. Amounts for our financing leases are recorded in property and equipment, net of accumulated depreciation and depletion, and current or long-term debt in our Condensed Consolidated Balance Sheets, as appropriate.</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16" w:lineRule="exact"/>
        <w:rPr>
          <w:sz w:val="20"/>
          <w:szCs w:val="20"/>
          <w:color w:val="auto"/>
        </w:rPr>
      </w:pPr>
    </w:p>
    <w:p>
      <w:pPr>
        <w:jc w:val="both"/>
        <w:ind w:left="60" w:right="59" w:firstLine="324"/>
        <w:spacing w:after="0" w:line="237"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and cash equivalents, investments held within restricted funds and accounts and other receivables.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When necessary, reclassifications have been made to our prior period financial information to conform with the current year presentation, including the reclassification of interest accretion on landfill and environmental remediation liabilities from operating expenses to depreciation, depletion, amortization and accretion in our Condensed Consolidated Statements of Operations. These reclassifications are not material to our Condensed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 in 2026</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Improvements to Measurement of Credit Losses for Accounts Receivable and Contract Assets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July 2025, the Financial Accounting Standards Board (“FASB”) issued Accounting Standards Update (“ASU”) 2025-05, “Financial Instruments – Credit Losses (Topic 326): Measurement of Credit Losses for Account Receivable and Contract Assets” (“ASU 2025-05”), which simplifies the estimation of expected credit losses for current accounts receivable and current contract assets arising from transactions accounted for under Accounting Standards Codification 606, Revenue from Contracts with Customers. The amendments permit entities to elect a practical expedient to assume the current conditions as of the balance sheet date will remain unchanged for the remaining life of the asset when developing a reasonable and supportable forecast for purposes of estimating expected credit losses. The Company adopted ASU 2025-05 on a prospective basis and elected the practical expedient during the quarter ended March 31, 2026. The adoption of the amended guidance did not have a material impact on our Condensed Consolidated Financial Statements.</w:t>
      </w:r>
    </w:p>
    <w:p>
      <w:pPr>
        <w:spacing w:after="0" w:line="184" w:lineRule="exact"/>
        <w:rPr>
          <w:sz w:val="20"/>
          <w:szCs w:val="20"/>
          <w:color w:val="auto"/>
        </w:rPr>
      </w:pPr>
    </w:p>
    <w:p>
      <w:pPr>
        <w:ind w:left="360" w:hanging="310"/>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Landfill and Environmental Remediation Liabilities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Liabilities for landfill and environmental remediation costs are presented in the table below (in millions):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120" w:type="dxa"/>
            <w:vAlign w:val="bottom"/>
            <w:gridSpan w:val="4"/>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26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4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30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1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Remediation</w:t>
            </w:r>
          </w:p>
        </w:tc>
        <w:tc>
          <w:tcPr>
            <w:tcW w:w="26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Remediation</w:t>
            </w:r>
          </w:p>
        </w:tc>
        <w:tc>
          <w:tcPr>
            <w:tcW w:w="30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 accrued liabilities)</w:t>
            </w:r>
          </w:p>
        </w:tc>
        <w:tc>
          <w:tcPr>
            <w:tcW w:w="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0" w:type="dxa"/>
            <w:vAlign w:val="bottom"/>
          </w:tcPr>
          <w:p>
            <w:pPr>
              <w:spacing w:after="0"/>
              <w:rPr>
                <w:sz w:val="1"/>
                <w:szCs w:val="1"/>
                <w:color w:val="auto"/>
              </w:rPr>
            </w:pPr>
          </w:p>
        </w:tc>
      </w:tr>
      <w:tr>
        <w:trPr>
          <w:trHeight w:val="210"/>
        </w:trPr>
        <w:tc>
          <w:tcPr>
            <w:tcW w:w="27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changes to landfill and environmental remediation liabilities for the three months ended March 31, 2026 are reflected in the table below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62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Obligations incurred and capitalized</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Obligations settled</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accretion</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Revisions in estimates</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Acquisitions, divestitures and other adjustments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At several of our landfills, we provide financial assurance by depositing cash into restricted trust funds for purposes of settling final capping, closure, post-closure and environmental remediation obligations. Generally, these trust funds are established to comply with statutory requirements and operating agreements. See Note 12 for additional information related to these trusts.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debt at principal amounts as of each balance sheet date (in millions) and provides the maturities and interest rate ranges of each major category as of March 31, 2026:</w:t>
      </w:r>
    </w:p>
    <w:p>
      <w:pPr>
        <w:spacing w:after="0" w:line="4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60" w:type="dxa"/>
            <w:vAlign w:val="bottom"/>
            <w:vMerge w:val="restart"/>
          </w:tcPr>
          <w:p>
            <w:pPr>
              <w:ind w:left="67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8"/>
        </w:trPr>
        <w:tc>
          <w:tcPr>
            <w:tcW w:w="68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Commercial paper program (weighted average interest rate of 4.1% as of March 31, 2026</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December 31, 2025)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Senior notes, maturing through 2054, interest rates ranging from 1.15% to 7.75% (weighted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average interest rate of 4.3% as of March 31, 2026 and December 31, 2025)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senior notes, C$500 million maturing September 2026, interest rate of 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Tax-exempt bonds, maturing through 2055, fixed and variable interest rates ranging from</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0.70% to 4.60% (weighted average interest rate of 3.3% as of March 31, 2026 and 3.4% as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of December 31, 2025)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0" w:type="dxa"/>
            <w:vAlign w:val="bottom"/>
          </w:tcPr>
          <w:p>
            <w:pPr>
              <w:spacing w:after="0"/>
              <w:rPr>
                <w:sz w:val="1"/>
                <w:szCs w:val="1"/>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leases and other, maturing through 2075 (weighted average interest rate of 4.7%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March 31, 2026 and 4.8% as of December 31, 2025)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Debt issuance costs, discounts and other</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22,907</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09"/>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Classification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2026, we had approximately $3.7 billion of debt maturing within the next 12 months, including</w:t>
      </w:r>
    </w:p>
    <w:p>
      <w:pPr>
        <w:spacing w:after="0" w:line="27" w:lineRule="exact"/>
        <w:rPr>
          <w:sz w:val="20"/>
          <w:szCs w:val="20"/>
          <w:color w:val="auto"/>
        </w:rPr>
      </w:pPr>
    </w:p>
    <w:p>
      <w:pPr>
        <w:jc w:val="both"/>
        <w:ind w:left="60" w:right="59" w:hanging="10"/>
        <w:spacing w:after="0" w:line="251" w:lineRule="auto"/>
        <w:tabs>
          <w:tab w:leader="none" w:pos="2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billion of tax-exempt bonds with term interest rate periods that expire within the next 12 months, which is prior to their scheduled maturities; (ii) $1.1 billion of short-term borrowings under our commercial paper program (net of related discount on issuance); (iii) $223 million of 7.1% senior notes that mature in August 2026; (iv) $359 million of 2.6% Canadian senior notes that mature in September 2026 and (v) $201 million of other debt with scheduled maturities within the next 12 months. As of March 31, 2026, we have classified $3.1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$641 million of debt maturing in the next 12 months is classified as current obligations.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Access to and Utilization of Credit Facilities and Commercial Paper Program</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$3.5 Billion Revolving Credit Facility — </w:t>
      </w:r>
      <w:r>
        <w:rPr>
          <w:rFonts w:ascii="Times New Roman" w:cs="Times New Roman" w:eastAsia="Times New Roman" w:hAnsi="Times New Roman"/>
          <w:sz w:val="18"/>
          <w:szCs w:val="18"/>
          <w:color w:val="auto"/>
        </w:rPr>
        <w:t>Our $3.5 billion revolving credit facility, maturing May 2029, provides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credit capacity to be used for cash borrowings, to support letters of credit and to support our commercial paper program. The interest rates we pay on outstanding U.S. or Canadian loans are based on a secured overnight financing rate administered by the Federal Reserve Bank of New York (“SOFR”) or the Canadian Overnight Repo Rate Average (“CORRA”) administered by the Bank of Canada, respectively, plus a spread depending on our senior public debt rating assigned by Moody’s Investors Service, Inc. and Standard and Poor’s Global Ratings. The spread above SOFR or CORRA can range from 0.585% to 1.025% per annum, plus applicable credit adjustments. We also pay certain other fees set forth in the $3.5 billion revolving credit facility agreement, including a facility fee based on the aggregate commitment, regardless of usage. As of March 31, 2026, we had no outstanding borrowings under this facility. We had $1.1 billion of outstanding borrowings (net of related discount on issuance) under our commercial paper program and $226 million of letters of credit issued, both supported by the facility, leaving unused and available credit capacity of $2.2 billion as of March 31, 2026. WM Holdings, Inc. (“WM Holdings”), a wholly-owned subsidiary of WMI, guarantees all the obligations under the $3.5 billion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We have a commercial paper program that enables us to borrow funds for up to 397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at competitive interest rates. The rates we pay for outstanding borrowings are based on the term of the notes. The commercial paper program is fully supported by our $3.5 billion revolving credit facility. As of March 31, 2026, we had $1.1 billion of outstanding borrowings (net of related discount on issuance) under our commercial paper program.</w:t>
      </w:r>
    </w:p>
    <w:p>
      <w:pPr>
        <w:spacing w:after="0" w:line="180"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Letter of Credit Lines — </w:t>
      </w:r>
      <w:r>
        <w:rPr>
          <w:rFonts w:ascii="Times New Roman" w:cs="Times New Roman" w:eastAsia="Times New Roman" w:hAnsi="Times New Roman"/>
          <w:sz w:val="18"/>
          <w:szCs w:val="18"/>
          <w:color w:val="auto"/>
        </w:rPr>
        <w:t>As of March 31, 2026, we had utilized $820 million of other uncommitted letter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lines, with terms maturing through December 2029.</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Borrowings and Repayments</w:t>
      </w:r>
    </w:p>
    <w:p>
      <w:pPr>
        <w:spacing w:after="0" w:line="227"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 </w:t>
      </w:r>
      <w:r>
        <w:rPr>
          <w:rFonts w:ascii="Times New Roman" w:cs="Times New Roman" w:eastAsia="Times New Roman" w:hAnsi="Times New Roman"/>
          <w:sz w:val="18"/>
          <w:szCs w:val="18"/>
          <w:color w:val="auto"/>
        </w:rPr>
        <w:t>During the three months ended March 31, 2026, we made cash repayments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$6.1 billion, which were partially offset by $6.0 billion of cash borrowings (net of related discount on issuance) used for general corporate purposes.</w:t>
      </w:r>
    </w:p>
    <w:p>
      <w:pPr>
        <w:spacing w:after="0" w:line="17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Leases and Other — </w:t>
      </w:r>
      <w:r>
        <w:rPr>
          <w:rFonts w:ascii="Times New Roman" w:cs="Times New Roman" w:eastAsia="Times New Roman" w:hAnsi="Times New Roman"/>
          <w:sz w:val="18"/>
          <w:szCs w:val="18"/>
          <w:color w:val="auto"/>
        </w:rPr>
        <w:t>The increase in our financing leases and other debt obligations in 2026 is due to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non-cash, finance lease activity of $52 million, partially offset by $49 million of cash repayments of debt at maturity.</w:t>
      </w:r>
    </w:p>
    <w:p>
      <w:pPr>
        <w:spacing w:after="0" w:line="156" w:lineRule="exact"/>
        <w:rPr>
          <w:sz w:val="20"/>
          <w:szCs w:val="20"/>
          <w:color w:val="auto"/>
        </w:rPr>
      </w:pPr>
    </w:p>
    <w:p>
      <w:pPr>
        <w:ind w:left="360" w:hanging="310"/>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effective income tax rate was 18.9% and 19.2% for the three months ended March 31, 2026 and 2025, respectively. The decrease in our effective income tax rate when comparing the three months ended March 31, 2026 and 2025 was primarily driven by an increase in federal tax credits, largely attributable to the recognition of Section 45Z clean fuel production tax credits, partially offset by lower investment tax credits at our RNG facilities. We evaluate our effective income tax rate at each interim period and adjust it as facts and circumstances warrant.</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Investments Qualifying for Federal Tax Credits</w:t>
      </w:r>
    </w:p>
    <w:p>
      <w:pPr>
        <w:spacing w:after="0" w:line="22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Renewable Natural Gas </w:t>
      </w:r>
      <w:r>
        <w:rPr>
          <w:rFonts w:ascii="Times New Roman" w:cs="Times New Roman" w:eastAsia="Times New Roman" w:hAnsi="Times New Roman"/>
          <w:sz w:val="18"/>
          <w:szCs w:val="18"/>
          <w:color w:val="auto"/>
        </w:rPr>
        <w:t>— Through our Renewable Energy segment, we have invested in building landfill gas-to-energy facilities in the U.S. and Canada that produce renewable electricity and RNG. Our RNG facilities qualify for investment tax credits and clean fuel production tax credits, which we expect to realize through 2027 and 2029, respectively.</w:t>
      </w:r>
    </w:p>
    <w:p>
      <w:pPr>
        <w:spacing w:after="0" w:line="18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we recognized a reduction in our income tax expense of $24 million and $46 million, respectively due to Section 48 investment tax credits from our RNG investments.</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we recognized a reduction in our income tax expense of $35 million related to clean fuel production tax credits from our RNG production and sales activity, with $8 million attributable to production and sales during the first quarter of 2026 and $27 million attributable to 2025 operations. The timing of the recognition of these production tax credits resulted from the issuance of proposed Treasury regulations during the first quarter of 2026, that clarified the qualification of our RNG sales for the credit.</w:t>
      </w:r>
    </w:p>
    <w:p>
      <w:pPr>
        <w:spacing w:after="0" w:line="18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Low-Income Housing </w:t>
      </w:r>
      <w:r>
        <w:rPr>
          <w:rFonts w:ascii="Times New Roman" w:cs="Times New Roman" w:eastAsia="Times New Roman" w:hAnsi="Times New Roman"/>
          <w:sz w:val="18"/>
          <w:szCs w:val="18"/>
          <w:color w:val="auto"/>
        </w:rPr>
        <w:t>— We have significant financial interests in entities established to invest in and manage low-income housing properties. We support the operations of these entities in exchange for a pro-rata share of the tax credits they generate. The low-income housing investments qualify for federal tax credits that we expect to realize through 2038 under Sections 42 and 45D of the Internal Revenue Code.</w:t>
      </w:r>
    </w:p>
    <w:p>
      <w:pPr>
        <w:spacing w:after="0" w:line="18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we recognized income tax expense of $22 million and $20 million, respectively, related to amortization under ASU 2023-02 and a reduction in our income tax expense of $30 million and $27 million, respectively, primarily due to federal tax credits realized from these investments. In addition, during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three months ended March 31, 2026 and 2025, we recognized interest expense of $8 million and $9 million, respectively, associated with our investments in low-income housing properties.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12 for additional information related to these unconsolidated variable interest entities.</w:t>
      </w:r>
    </w:p>
    <w:p>
      <w:pPr>
        <w:spacing w:after="0" w:line="221"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Basic and diluted earnings per share for the three months ended March 31 were computed using the following common share data (shares in millions):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160" w:type="dxa"/>
            <w:vAlign w:val="bottom"/>
            <w:tcBorders>
              <w:bottom w:val="single" w:sz="8" w:color="CCEEFF"/>
            </w:tcBorders>
          </w:tcPr>
          <w:p>
            <w:pPr>
              <w:ind w:left="70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common shares outstanding at end of period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Dilutive effect of equity-based compensation awards and other contingently issuable shares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Potentially issuable shares</w:t>
            </w: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8"/>
        </w:trPr>
        <w:tc>
          <w:tcPr>
            <w:tcW w:w="7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Number of anti-dilutive potentially issuable shares excluded from diluted common shares</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the Condensed Consolidated Statements of Operations for net income attributable to Waste Management, Inc.</w:t>
      </w:r>
    </w:p>
    <w:p>
      <w:pPr>
        <w:spacing w:after="0" w:line="221" w:lineRule="exact"/>
        <w:rPr>
          <w:sz w:val="20"/>
          <w:szCs w:val="20"/>
          <w:color w:val="auto"/>
        </w:rPr>
      </w:pPr>
    </w:p>
    <w:p>
      <w:pPr>
        <w:ind w:left="360" w:hanging="310"/>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 </w:t>
      </w:r>
      <w:r>
        <w:rPr>
          <w:rFonts w:ascii="Times New Roman" w:cs="Times New Roman" w:eastAsia="Times New Roman" w:hAnsi="Times New Roman"/>
          <w:sz w:val="18"/>
          <w:szCs w:val="18"/>
          <w:color w:val="auto"/>
        </w:rPr>
        <w:t>We have obtained letters of credit, surety bonds and insurance policies and have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85"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Insurance — </w:t>
      </w:r>
      <w:r>
        <w:rPr>
          <w:rFonts w:ascii="Times New Roman" w:cs="Times New Roman" w:eastAsia="Times New Roman" w:hAnsi="Times New Roman"/>
          <w:sz w:val="18"/>
          <w:szCs w:val="18"/>
          <w:color w:val="auto"/>
        </w:rPr>
        <w:t>We carry insurance coverage for protection of our assets and operations from certain risks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and any amounts that exceed our insured limits. Our exposure could increase if our insurers are unable to meet their commitments on a timely basis.</w:t>
      </w:r>
    </w:p>
    <w:p>
      <w:pPr>
        <w:spacing w:after="0" w:line="18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do not expect the impact of any known casualty, property, environmental or other contingency to have a material impact on our financial condition, results of operations or cash flows.</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Guarantees — </w:t>
      </w:r>
      <w:r>
        <w:rPr>
          <w:rFonts w:ascii="Times New Roman" w:cs="Times New Roman" w:eastAsia="Times New Roman" w:hAnsi="Times New Roman"/>
          <w:sz w:val="18"/>
          <w:szCs w:val="18"/>
          <w:color w:val="auto"/>
        </w:rPr>
        <w:t>In the ordinary course of our business, WMI and WM Holdings enter into guarantee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their subsidiaries’ operations. Additionally, WMI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18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of March 31, 2026, we have guaranteed the obligations and certain performance requirements of third parties in connection with both consolidated and unconsolidated entities, including guarantees to cover the difference, if any, between the sale value and the guaranteed market or contractually-determined value of certain homeowner’s properties that are adjacent to or near 18 of our landfills. We have also agreed to indemnify certain third-party purchasers against liabilities associated with divested operations prior to such sale. We do not believe that the remaining contingent obligations will have a material adverse effect on the Company’s business, financial condition, results of operations or cash flows.</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 </w:t>
      </w:r>
      <w:r>
        <w:rPr>
          <w:rFonts w:ascii="Times New Roman" w:cs="Times New Roman" w:eastAsia="Times New Roman" w:hAnsi="Times New Roman"/>
          <w:sz w:val="18"/>
          <w:szCs w:val="18"/>
          <w:color w:val="auto"/>
        </w:rPr>
        <w:t>A significant portion of our operating costs and capital expenditures could be characterized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8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(where estimable), our aggregate potential liability would be approximately $13 million higher than the $227 million recorded in the Condensed Consolidated Balance Sheet as of March 31, 2026.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9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of March 31, 2026, we had been notified by the government that we are a PRP in connection with 75 locations listed on the Environmental Protection Agency’s (“EPA’s”) Superfund National Priorities List, or NPL. Of the 75 sites at which claims have been made against us, 14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receive any amounts due from other participating parties at or near the time that we make the remedial expenditures. The other 61 NPL sites, which we do not own, are at various procedural stages under the Comprehensive Environmental Response, Compensation and Liability Act of 1980, as amended, known as CERCLA or Superfund.</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9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2018, both of McGinnes Industrial Maintenance Corporation (“MIMC”), a subsidiary of Waste Management of Texas, Inc., and International Paper Company (“IPC”) entered into an Administrative Order on Consent with the EPA as PRPs to develop a remedial design for the San Jacinto River Waste Pits Superfund Site in Harris County, Texas. We recorded a liability for MIMC’s estimated potential share of the EPA’s proposed remedy and related costs, although allocation of responsibility among the PRPs for the proposed remedy has not been established. In November 2024, MIMC and IPC publicly issued a proposed revised full remedial design that was approved by the EPA in September 2025. It is expected that the EPA will issue a Unilateral Administrative Order for the site cleanup in 2026. The recorded liability as of March 31, 2026, and December 31, 2025, was approximately $100 million. MIMC’s ultimate liability could be materially different from current estimates, including potential increases resulting from MIMC’s continued engagement with the EPA regarding the newly-approved remedial design for the site.</w:t>
      </w:r>
    </w:p>
    <w:p>
      <w:pPr>
        <w:spacing w:after="0" w:line="19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We are not aware of any matters in the first quarter of 2026 that are required to be disclosed pursuant to this standard.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8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Litigation — </w:t>
      </w:r>
      <w:r>
        <w:rPr>
          <w:rFonts w:ascii="Times New Roman" w:cs="Times New Roman" w:eastAsia="Times New Roman" w:hAnsi="Times New Roman"/>
          <w:sz w:val="18"/>
          <w:szCs w:val="18"/>
          <w:color w:val="auto"/>
        </w:rPr>
        <w:t>We are subject to various proceedings, lawsuits, disputes and claims arising in the ordinary course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68"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On February 11, 2020, Stericycle, Inc. (“Stericycle”), a now wholly-owned subsidiary, received an administrative subpoena from the U.S. Drug Enforcement Administration (“DEA”), which executed a search warrant at a facility in Rancho Cordova, California and an administrative inspection warrant at a facility in Indianapolis, Indiana for materials related to Stericycle’s now-divested Domestic Environmental Solutions business of collecting, transporting, and destroying controlled substances from retail customers (the “ESOL Retail Controlled Substances Business”). On that same day, agents from the California Department of Toxic Substances Control executed a separate search warrant at the Rancho Cordova facility. Since that time, the U.S. Attorney’s Office for the Eastern District of California (“USAO EDCA”) has been overseeing criminal and civil investigations of the ESOL Retail Controlled Substances Business. The USAO EDCA informed Stericycle that the investigations relate to Stericycle’s operation and sale of its ESOL Retail Controlled Substances Business that was divested in 2020 and has asserted that Stericycle and some of Stericycle’s current or former employees may have civil and criminal liability under the Controlled Substances Act and other federal statutes related to that business. Stericycle has been cooperating with the ongoing investigations, which are limited to the period of Stericycle’s historical operation and ownership of the ESOL Retail Controlled Substances Business from 2015 through 2020. While the ultimate disposition of this matter remains uncertain, we do not currently believe that it will have a material adverse effect on the Company’s business, financial condition, results of operations or cash flows.</w:t>
      </w:r>
    </w:p>
    <w:p>
      <w:pPr>
        <w:spacing w:after="0" w:line="19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Benefit Pension Plans — </w:t>
      </w:r>
      <w:r>
        <w:rPr>
          <w:rFonts w:ascii="Times New Roman" w:cs="Times New Roman" w:eastAsia="Times New Roman" w:hAnsi="Times New Roman"/>
          <w:sz w:val="18"/>
          <w:szCs w:val="18"/>
          <w:color w:val="auto"/>
        </w:rPr>
        <w:t>About 15% of our workforce is covered by collective bargaining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various local unions across the U.S. and Canada, and certain parts of Europe.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operations or cash flows for a particular reporting period, depending on the number of employees withdrawn and the financial condition of the Multiemployer Pension Plan(s) at the time of such withdrawal(s).</w:t>
      </w:r>
    </w:p>
    <w:p>
      <w:pPr>
        <w:spacing w:after="0" w:line="16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Tax Matters — </w:t>
      </w:r>
      <w:r>
        <w:rPr>
          <w:rFonts w:ascii="Times New Roman" w:cs="Times New Roman" w:eastAsia="Times New Roman" w:hAnsi="Times New Roman"/>
          <w:sz w:val="18"/>
          <w:szCs w:val="18"/>
          <w:color w:val="auto"/>
        </w:rPr>
        <w:t>We maintain a liability for uncertain tax positions, the balance of which management believes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Results of audit assessments by taxing authorities are not currently expected to have a material adverse effect on our financial condition, results of operations or cash flows. 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In the fourth quarter of 2024, the Company filed a claim for refund of the entire amount deposited with the IRS. We expect to litigate any denial of the claim for refund. As of March 31, 2026 and December 31, 2025, the IRS deposit, net of reserve for uncertain tax positions, was classified as a component of other long-term assets in the Company’s Condensed Consolidated Balance Sheets.</w:t>
      </w:r>
    </w:p>
    <w:p>
      <w:pPr>
        <w:spacing w:after="0" w:line="190" w:lineRule="exact"/>
        <w:rPr>
          <w:sz w:val="20"/>
          <w:szCs w:val="20"/>
          <w:color w:val="auto"/>
        </w:rPr>
      </w:pPr>
    </w:p>
    <w:p>
      <w:pPr>
        <w:ind w:left="360" w:hanging="310"/>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Related Information</w:t>
      </w:r>
    </w:p>
    <w:p>
      <w:pPr>
        <w:spacing w:after="0" w:line="216" w:lineRule="exact"/>
        <w:rPr>
          <w:sz w:val="20"/>
          <w:szCs w:val="20"/>
          <w:color w:val="auto"/>
        </w:rPr>
      </w:pPr>
    </w:p>
    <w:p>
      <w:pPr>
        <w:jc w:val="both"/>
        <w:ind w:left="60" w:right="59" w:firstLine="324"/>
        <w:spacing w:after="0" w:line="238"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five reportable segments, referred to as (i) East Tier; (ii) West Tier; (iii) Recycling Processing and Sales; (iv) Renewable Energy and (v) Healthcare Solutions. Our East and West Tiers along with Other Ancillary services that are not managed through our Tier segments, but that support our collection and disposal operations, form our “Collection and Disposal” business. We also provide additional services not managed through our five reportable segments, which are presented as Corporate and Other.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concerning our reportable segments for the three months ended March 31 is shown in the following table (in millions):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Depreciation,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1"/>
                <w:szCs w:val="11"/>
                <w:color w:val="auto"/>
              </w:rPr>
            </w:pP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Intercompany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Selling,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720" w:type="dxa"/>
            <w:vAlign w:val="bottom"/>
            <w:gridSpan w:val="3"/>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Depletion,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40" w:type="dxa"/>
            <w:vAlign w:val="bottom"/>
          </w:tcPr>
          <w:p>
            <w:pPr>
              <w:spacing w:after="0"/>
              <w:rPr>
                <w:sz w:val="11"/>
                <w:szCs w:val="11"/>
                <w:color w:val="auto"/>
              </w:rPr>
            </w:pPr>
          </w:p>
        </w:tc>
        <w:tc>
          <w:tcPr>
            <w:tcW w:w="660" w:type="dxa"/>
            <w:vAlign w:val="bottom"/>
            <w:gridSpan w:val="2"/>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Operating</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2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1"/>
                <w:szCs w:val="11"/>
                <w:color w:val="auto"/>
              </w:rPr>
            </w:pPr>
          </w:p>
        </w:tc>
        <w:tc>
          <w:tcPr>
            <w:tcW w:w="800" w:type="dxa"/>
            <w:vAlign w:val="bottom"/>
            <w:gridSpan w:val="3"/>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General 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82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Amortization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4"/>
              </w:rPr>
              <w:t>from</w:t>
            </w:r>
          </w:p>
        </w:tc>
        <w:tc>
          <w:tcPr>
            <w:tcW w:w="8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Expenditures</w:t>
            </w:r>
          </w:p>
        </w:tc>
        <w:tc>
          <w:tcPr>
            <w:tcW w:w="0" w:type="dxa"/>
            <w:vAlign w:val="bottom"/>
          </w:tcPr>
          <w:p>
            <w:pPr>
              <w:spacing w:after="0"/>
              <w:rPr>
                <w:sz w:val="1"/>
                <w:szCs w:val="1"/>
                <w:color w:val="auto"/>
              </w:rPr>
            </w:pPr>
          </w:p>
        </w:tc>
      </w:tr>
      <w:tr>
        <w:trPr>
          <w:trHeight w:val="155"/>
        </w:trPr>
        <w:tc>
          <w:tcPr>
            <w:tcW w:w="2060" w:type="dxa"/>
            <w:vAlign w:val="bottom"/>
          </w:tcPr>
          <w:p>
            <w:pPr>
              <w:spacing w:after="0"/>
              <w:rPr>
                <w:sz w:val="13"/>
                <w:szCs w:val="13"/>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 Revenues(a)</w:t>
            </w: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6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8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​Administrative</w:t>
            </w: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​Expenses(b)</w:t>
            </w: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​and Accretion</w:t>
            </w: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​Operations(c)</w:t>
            </w:r>
          </w:p>
        </w:tc>
        <w:tc>
          <w:tcPr>
            <w:tcW w:w="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87"/>
              </w:rPr>
              <w:t>(d)</w:t>
            </w:r>
          </w:p>
        </w:tc>
        <w:tc>
          <w:tcPr>
            <w:tcW w:w="0" w:type="dxa"/>
            <w:vAlign w:val="bottom"/>
          </w:tcPr>
          <w:p>
            <w:pPr>
              <w:spacing w:after="0"/>
              <w:rPr>
                <w:sz w:val="1"/>
                <w:szCs w:val="1"/>
                <w:color w:val="auto"/>
              </w:rPr>
            </w:pPr>
          </w:p>
        </w:tc>
      </w:tr>
      <w:tr>
        <w:trPr>
          <w:trHeight w:val="129"/>
        </w:trPr>
        <w:tc>
          <w:tcPr>
            <w:tcW w:w="20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0"/>
                <w:szCs w:val="10"/>
                <w:color w:val="auto"/>
              </w:rPr>
            </w:pPr>
          </w:p>
        </w:tc>
        <w:tc>
          <w:tcPr>
            <w:tcW w:w="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Collection and Disposal:</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6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East Tier</w:t>
            </w:r>
          </w:p>
        </w:tc>
        <w:tc>
          <w:tcPr>
            <w:tcW w:w="24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2,199</w:t>
            </w:r>
          </w:p>
        </w:tc>
        <w:tc>
          <w:tcPr>
            <w:tcW w:w="1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600</w:t>
            </w:r>
          </w:p>
        </w:tc>
        <w:tc>
          <w:tcPr>
            <w:tcW w:w="40" w:type="dxa"/>
            <w:vAlign w:val="bottom"/>
          </w:tcPr>
          <w:p>
            <w:pPr>
              <w:spacing w:after="0"/>
              <w:rPr>
                <w:sz w:val="11"/>
                <w:szCs w:val="11"/>
                <w:color w:val="auto"/>
              </w:rPr>
            </w:pPr>
          </w:p>
        </w:tc>
        <w:tc>
          <w:tcPr>
            <w:tcW w:w="1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2,799</w:t>
            </w:r>
          </w:p>
        </w:tc>
        <w:tc>
          <w:tcPr>
            <w:tcW w:w="40" w:type="dxa"/>
            <w:vAlign w:val="bottom"/>
          </w:tcPr>
          <w:p>
            <w:pPr>
              <w:spacing w:after="0"/>
              <w:rPr>
                <w:sz w:val="11"/>
                <w:szCs w:val="11"/>
                <w:color w:val="auto"/>
              </w:rPr>
            </w:pPr>
          </w:p>
        </w:tc>
        <w:tc>
          <w:tcPr>
            <w:tcW w:w="1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1,701</w:t>
            </w:r>
          </w:p>
        </w:tc>
        <w:tc>
          <w:tcPr>
            <w:tcW w:w="6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40" w:type="dxa"/>
            <w:vAlign w:val="bottom"/>
          </w:tcPr>
          <w:p>
            <w:pPr>
              <w:spacing w:after="0"/>
              <w:rPr>
                <w:sz w:val="11"/>
                <w:szCs w:val="11"/>
                <w:color w:val="auto"/>
              </w:rPr>
            </w:pPr>
          </w:p>
        </w:tc>
        <w:tc>
          <w:tcPr>
            <w:tcW w:w="1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285</w:t>
            </w:r>
          </w:p>
        </w:tc>
        <w:tc>
          <w:tcPr>
            <w:tcW w:w="40" w:type="dxa"/>
            <w:vAlign w:val="bottom"/>
          </w:tcPr>
          <w:p>
            <w:pPr>
              <w:spacing w:after="0"/>
              <w:rPr>
                <w:sz w:val="11"/>
                <w:szCs w:val="11"/>
                <w:color w:val="auto"/>
              </w:rPr>
            </w:pPr>
          </w:p>
        </w:tc>
        <w:tc>
          <w:tcPr>
            <w:tcW w:w="1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723</w:t>
            </w:r>
          </w:p>
        </w:tc>
        <w:tc>
          <w:tcPr>
            <w:tcW w:w="60" w:type="dxa"/>
            <w:vAlign w:val="bottom"/>
          </w:tcPr>
          <w:p>
            <w:pPr>
              <w:spacing w:after="0"/>
              <w:rPr>
                <w:sz w:val="11"/>
                <w:szCs w:val="11"/>
                <w:color w:val="auto"/>
              </w:rPr>
            </w:pPr>
          </w:p>
        </w:tc>
        <w:tc>
          <w:tcPr>
            <w:tcW w:w="1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West Tier</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2,150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537</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2,687</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1,649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239</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737</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Ancillary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789</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60" w:type="dxa"/>
            <w:vAlign w:val="bottom"/>
            <w:tcBorders>
              <w:top w:val="single" w:sz="8" w:color="CCEEFF"/>
            </w:tcBorders>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color w:val="auto"/>
              </w:rPr>
              <w:t>Collection and Disposal(e)(f)(g)</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5,081</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1,194</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6,275</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4,103</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215</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531</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1,460</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Recycling Processing and Sales(e)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Renewable Energy(f)</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Healthcare Solutions(g)(h)</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Corporate and Other(f)</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355</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60" w:type="dxa"/>
            <w:vAlign w:val="bottom"/>
            <w:tcBorders>
              <w:bottom w:val="single" w:sz="8" w:color="CCEEFF"/>
            </w:tcBorders>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6,227</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1,398</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7,625</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5,086</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713</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735</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1,113</w:t>
            </w:r>
          </w:p>
        </w:tc>
        <w:tc>
          <w:tcPr>
            <w:tcW w:w="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Intercompany Elimination(a)</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(1,398)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(1,392)</w:t>
            </w:r>
          </w:p>
        </w:tc>
        <w:tc>
          <w:tcPr>
            <w:tcW w:w="80" w:type="dxa"/>
            <w:vAlign w:val="bottom"/>
          </w:tcPr>
          <w:p>
            <w:pPr>
              <w:spacing w:after="0"/>
              <w:rPr>
                <w:sz w:val="11"/>
                <w:szCs w:val="11"/>
                <w:color w:val="auto"/>
              </w:rPr>
            </w:pPr>
          </w:p>
        </w:tc>
        <w:tc>
          <w:tcPr>
            <w:tcW w:w="8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6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6,227</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3,694</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707</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735</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1,113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Depreciation,</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1"/>
                <w:szCs w:val="11"/>
                <w:color w:val="auto"/>
              </w:rPr>
            </w:pP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Intercompany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Selling,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720" w:type="dxa"/>
            <w:vAlign w:val="bottom"/>
            <w:gridSpan w:val="3"/>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Depletion,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40" w:type="dxa"/>
            <w:vAlign w:val="bottom"/>
          </w:tcPr>
          <w:p>
            <w:pPr>
              <w:spacing w:after="0"/>
              <w:rPr>
                <w:sz w:val="11"/>
                <w:szCs w:val="11"/>
                <w:color w:val="auto"/>
              </w:rPr>
            </w:pPr>
          </w:p>
        </w:tc>
        <w:tc>
          <w:tcPr>
            <w:tcW w:w="62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Operating</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20" w:type="dxa"/>
            <w:vAlign w:val="bottom"/>
            <w:shd w:val="clear" w:color="auto" w:fill="CCEEFF"/>
          </w:tcPr>
          <w:p>
            <w:pPr>
              <w:spacing w:after="0"/>
              <w:rPr>
                <w:sz w:val="11"/>
                <w:szCs w:val="11"/>
                <w:color w:val="auto"/>
              </w:rPr>
            </w:pPr>
          </w:p>
        </w:tc>
        <w:tc>
          <w:tcPr>
            <w:tcW w:w="60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20" w:type="dxa"/>
            <w:vAlign w:val="bottom"/>
            <w:shd w:val="clear" w:color="auto" w:fill="CCEEFF"/>
          </w:tcPr>
          <w:p>
            <w:pPr>
              <w:spacing w:after="0"/>
              <w:rPr>
                <w:sz w:val="11"/>
                <w:szCs w:val="11"/>
                <w:color w:val="auto"/>
              </w:rPr>
            </w:pPr>
          </w:p>
        </w:tc>
        <w:tc>
          <w:tcPr>
            <w:tcW w:w="6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General and</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820" w:type="dxa"/>
            <w:vAlign w:val="bottom"/>
            <w:gridSpan w:val="4"/>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Amortization</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4"/>
              </w:rPr>
              <w:t>from</w:t>
            </w:r>
          </w:p>
        </w:tc>
        <w:tc>
          <w:tcPr>
            <w:tcW w:w="760" w:type="dxa"/>
            <w:vAlign w:val="bottom"/>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Expenditures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68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​Revenues</w:t>
            </w:r>
          </w:p>
        </w:tc>
        <w:tc>
          <w:tcPr>
            <w:tcW w:w="86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 Revenues(a)</w:t>
            </w:r>
          </w:p>
        </w:tc>
        <w:tc>
          <w:tcPr>
            <w:tcW w:w="62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​Revenues</w:t>
            </w:r>
          </w:p>
        </w:tc>
        <w:tc>
          <w:tcPr>
            <w:tcW w:w="64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88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​Administrative</w:t>
            </w:r>
          </w:p>
        </w:tc>
        <w:tc>
          <w:tcPr>
            <w:tcW w:w="74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​Expenses(b)</w:t>
            </w:r>
          </w:p>
        </w:tc>
        <w:tc>
          <w:tcPr>
            <w:tcW w:w="82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​and Accretion</w:t>
            </w:r>
          </w:p>
        </w:tc>
        <w:tc>
          <w:tcPr>
            <w:tcW w:w="84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​Operations(c)</w:t>
            </w:r>
          </w:p>
        </w:tc>
        <w:tc>
          <w:tcPr>
            <w:tcW w:w="1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87"/>
              </w:rPr>
              <w:t>(d)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0"/>
                <w:szCs w:val="10"/>
                <w:color w:val="auto"/>
              </w:rPr>
            </w:pPr>
          </w:p>
        </w:tc>
        <w:tc>
          <w:tcPr>
            <w:tcW w:w="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Collection and Disposal:</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6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East Tier</w:t>
            </w:r>
          </w:p>
        </w:tc>
        <w:tc>
          <w:tcPr>
            <w:tcW w:w="24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2,140</w:t>
            </w:r>
          </w:p>
        </w:tc>
        <w:tc>
          <w:tcPr>
            <w:tcW w:w="1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558</w:t>
            </w:r>
          </w:p>
        </w:tc>
        <w:tc>
          <w:tcPr>
            <w:tcW w:w="40" w:type="dxa"/>
            <w:vAlign w:val="bottom"/>
          </w:tcPr>
          <w:p>
            <w:pPr>
              <w:spacing w:after="0"/>
              <w:rPr>
                <w:sz w:val="11"/>
                <w:szCs w:val="11"/>
                <w:color w:val="auto"/>
              </w:rPr>
            </w:pPr>
          </w:p>
        </w:tc>
        <w:tc>
          <w:tcPr>
            <w:tcW w:w="1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2,698</w:t>
            </w:r>
          </w:p>
        </w:tc>
        <w:tc>
          <w:tcPr>
            <w:tcW w:w="40" w:type="dxa"/>
            <w:vAlign w:val="bottom"/>
          </w:tcPr>
          <w:p>
            <w:pPr>
              <w:spacing w:after="0"/>
              <w:rPr>
                <w:sz w:val="11"/>
                <w:szCs w:val="11"/>
                <w:color w:val="auto"/>
              </w:rPr>
            </w:pPr>
          </w:p>
        </w:tc>
        <w:tc>
          <w:tcPr>
            <w:tcW w:w="1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1,679</w:t>
            </w:r>
          </w:p>
        </w:tc>
        <w:tc>
          <w:tcPr>
            <w:tcW w:w="6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40" w:type="dxa"/>
            <w:vAlign w:val="bottom"/>
          </w:tcPr>
          <w:p>
            <w:pPr>
              <w:spacing w:after="0"/>
              <w:rPr>
                <w:sz w:val="11"/>
                <w:szCs w:val="11"/>
                <w:color w:val="auto"/>
              </w:rPr>
            </w:pPr>
          </w:p>
        </w:tc>
        <w:tc>
          <w:tcPr>
            <w:tcW w:w="1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268</w:t>
            </w:r>
          </w:p>
        </w:tc>
        <w:tc>
          <w:tcPr>
            <w:tcW w:w="40" w:type="dxa"/>
            <w:vAlign w:val="bottom"/>
          </w:tcPr>
          <w:p>
            <w:pPr>
              <w:spacing w:after="0"/>
              <w:rPr>
                <w:sz w:val="11"/>
                <w:szCs w:val="11"/>
                <w:color w:val="auto"/>
              </w:rPr>
            </w:pPr>
          </w:p>
        </w:tc>
        <w:tc>
          <w:tcPr>
            <w:tcW w:w="1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661</w:t>
            </w:r>
          </w:p>
        </w:tc>
        <w:tc>
          <w:tcPr>
            <w:tcW w:w="60" w:type="dxa"/>
            <w:vAlign w:val="bottom"/>
          </w:tcPr>
          <w:p>
            <w:pPr>
              <w:spacing w:after="0"/>
              <w:rPr>
                <w:sz w:val="11"/>
                <w:szCs w:val="11"/>
                <w:color w:val="auto"/>
              </w:rPr>
            </w:pPr>
          </w:p>
        </w:tc>
        <w:tc>
          <w:tcPr>
            <w:tcW w:w="1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West Tier</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2,082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2,588</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Ancillary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60" w:type="dxa"/>
            <w:vAlign w:val="bottom"/>
            <w:tcBorders>
              <w:top w:val="single" w:sz="8" w:color="CCEEFF"/>
            </w:tcBorders>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color w:val="auto"/>
              </w:rPr>
              <w:t>Collection and Disposal(e)(f)(g)</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4,922</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1,116</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6,038</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3,995</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206</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509</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1,328</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Recycling Processing and Sales(e)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Renewable Energy(f)</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Healthcare Solutions(g)(h)</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Corporate and Other(f)</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(327)</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60" w:type="dxa"/>
            <w:vAlign w:val="bottom"/>
            <w:tcBorders>
              <w:bottom w:val="single" w:sz="8" w:color="CCEEFF"/>
            </w:tcBorders>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6,018</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1,308</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7,326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4,915</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692</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691</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1,013</w:t>
            </w:r>
          </w:p>
        </w:tc>
        <w:tc>
          <w:tcPr>
            <w:tcW w:w="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Intercompany Elimination(a)</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(1,308)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(1,303)</w:t>
            </w:r>
          </w:p>
        </w:tc>
        <w:tc>
          <w:tcPr>
            <w:tcW w:w="80" w:type="dxa"/>
            <w:vAlign w:val="bottom"/>
          </w:tcPr>
          <w:p>
            <w:pPr>
              <w:spacing w:after="0"/>
              <w:rPr>
                <w:sz w:val="11"/>
                <w:szCs w:val="11"/>
                <w:color w:val="auto"/>
              </w:rPr>
            </w:pPr>
          </w:p>
        </w:tc>
        <w:tc>
          <w:tcPr>
            <w:tcW w:w="8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6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6,018</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3,612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687</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691</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1,013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each segment’s intercompany activity, including transactions within a segment and between segments. Transactions within and between segments are generally made on a basis intended to reflect the market value of the service.</w:t>
      </w:r>
    </w:p>
    <w:p>
      <w:pPr>
        <w:spacing w:after="0" w:line="6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net expenses include restructuring expenses, (gain) loss from divestitures, and asset impairments and unusual items, net.</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those items included in the determination of income from operations, the accounting policies of the segments are the same as those described in Note 1.</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items. Additionally, our Corporate and Other business recognizes construction work in progress for fleet purchases during the period. Capital expenditures are reported in our reportable segments at the time they are recorded within the segments’ property and equipment balances and, therefore, include timing differences for amounts accrued but not yet paid as well as amounts transferred from Corporate and Other for fleet placed in service.</w:t>
      </w:r>
    </w:p>
    <w:p>
      <w:pPr>
        <w:spacing w:after="0" w:line="71"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fees related to the processing of recyclable material we collect are included within our Collection and Disposal business. The amounts in income from operations for the three months ended March 31, 2026 and 2025 are $18 million and $20 million, respectively.</w:t>
      </w:r>
    </w:p>
    <w:p>
      <w:pPr>
        <w:spacing w:after="0" w:line="6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Energy pays a 15% intercompany royalty to our Collection and Disposal business and Corporate and Other for landfill gas. The total amount of royalties in gross and intercompany operating revenues for the East Tier, West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ind w:left="380" w:right="79"/>
        <w:spacing w:after="0" w:line="282" w:lineRule="auto"/>
        <w:rPr>
          <w:sz w:val="20"/>
          <w:szCs w:val="20"/>
          <w:color w:val="auto"/>
        </w:rPr>
      </w:pPr>
      <w:r>
        <w:rPr>
          <w:rFonts w:ascii="Times New Roman" w:cs="Times New Roman" w:eastAsia="Times New Roman" w:hAnsi="Times New Roman"/>
          <w:sz w:val="18"/>
          <w:szCs w:val="18"/>
          <w:color w:val="auto"/>
        </w:rPr>
        <w:t>Tier, and Corporate and Other and in operating expenses for Renewable Energy for the three months ended March 31, 2026 and 2025 are $24 million and $14 million, respectively.</w:t>
      </w:r>
    </w:p>
    <w:p>
      <w:pPr>
        <w:spacing w:after="0" w:line="54" w:lineRule="exact"/>
        <w:rPr>
          <w:sz w:val="20"/>
          <w:szCs w:val="20"/>
          <w:color w:val="auto"/>
        </w:rPr>
      </w:pPr>
    </w:p>
    <w:p>
      <w:pPr>
        <w:jc w:val="both"/>
        <w:ind w:left="380" w:right="79" w:hanging="330"/>
        <w:spacing w:after="0" w:line="26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Collection and Disposal business records intercompany operating revenue for collection and disposal services provided to Healthcare Solutions. The total amount of intercompany operating revenues reflected in our Collection and Disposal business and in operating expenses for Healthcare Solutions for the three months ended March 31, 2026 and 2025, are $20 million and $8 million, respectively.</w:t>
      </w:r>
    </w:p>
    <w:p>
      <w:pPr>
        <w:spacing w:after="0" w:line="71" w:lineRule="exact"/>
        <w:rPr>
          <w:rFonts w:ascii="Times New Roman" w:cs="Times New Roman" w:eastAsia="Times New Roman" w:hAnsi="Times New Roman"/>
          <w:sz w:val="18"/>
          <w:szCs w:val="18"/>
          <w:color w:val="auto"/>
        </w:rPr>
      </w:pPr>
    </w:p>
    <w:p>
      <w:pPr>
        <w:jc w:val="both"/>
        <w:ind w:left="380" w:right="79" w:hanging="330"/>
        <w:spacing w:after="0" w:line="255"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2025, as a result of continued integration efforts and to enhance transparency and accountability, the Company began reflecting intra-segment activity within the Healthcare Solutions segment. These charges were designed to measure profitability at more granular levels of the enterprise and to facilitate clearer financial accountability within operating units. Accordingly, adjustments to the three months ended March 31, 2025 were made to properly reflect intra-segment activity for the period. Intra-segment operating revenues and operating expenses within Healthcare Solutions for the three months ended March 31, 2026 and 2025 are $101 million and $94 million, respectively.</w:t>
      </w:r>
    </w:p>
    <w:p>
      <w:pPr>
        <w:spacing w:after="0" w:line="80"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by reportable segment are presented in the table below as follows (in millions):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9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3"/>
                <w:szCs w:val="13"/>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8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800" w:type="dxa"/>
            <w:vAlign w:val="bottom"/>
            <w:gridSpan w:val="2"/>
          </w:tcPr>
          <w:p>
            <w:pPr>
              <w:jc w:val="right"/>
              <w:ind w:right="42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and Disposal:</w:t>
            </w:r>
          </w:p>
        </w:tc>
        <w:tc>
          <w:tcPr>
            <w:tcW w:w="1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East Tier</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15,910</w:t>
            </w:r>
          </w:p>
        </w:tc>
        <w:tc>
          <w:tcPr>
            <w:tcW w:w="180" w:type="dxa"/>
            <w:vAlign w:val="bottom"/>
          </w:tcPr>
          <w:p>
            <w:pPr>
              <w:spacing w:after="0"/>
              <w:rPr>
                <w:sz w:val="18"/>
                <w:szCs w:val="18"/>
                <w:color w:val="auto"/>
              </w:rPr>
            </w:pPr>
          </w:p>
        </w:tc>
        <w:tc>
          <w:tcPr>
            <w:tcW w:w="8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West Tier</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12,199</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Ancillary</w:t>
            </w:r>
          </w:p>
        </w:tc>
        <w:tc>
          <w:tcPr>
            <w:tcW w:w="17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Collection and Disposal</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28,905</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Energy</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Solutions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 of intercompany investments and advances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(831)</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per Condensed Consolidated Balance Sheet</w:t>
            </w:r>
          </w:p>
        </w:tc>
        <w:tc>
          <w:tcPr>
            <w:tcW w:w="17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780" w:type="dxa"/>
            <w:vAlign w:val="bottom"/>
            <w:vMerge w:val="restart"/>
          </w:tcPr>
          <w:p>
            <w:pPr>
              <w:jc w:val="right"/>
              <w:ind w:right="1476"/>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4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57"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mix of operating revenues from our major lines of business for the three months ended March 31 are as follows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60" w:type="dxa"/>
            <w:vAlign w:val="bottom"/>
            <w:vMerge w:val="restart"/>
          </w:tcPr>
          <w:p>
            <w:pPr>
              <w:ind w:left="57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78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9"/>
        </w:trPr>
        <w:tc>
          <w:tcPr>
            <w:tcW w:w="5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3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Revenues (a)</w:t>
            </w:r>
          </w:p>
        </w:tc>
        <w:tc>
          <w:tcPr>
            <w:tcW w:w="300" w:type="dxa"/>
            <w:vAlign w:val="bottom"/>
            <w:gridSpan w:val="2"/>
            <w:vMerge w:val="continue"/>
          </w:tcPr>
          <w:p>
            <w:pPr>
              <w:spacing w:after="0"/>
              <w:rPr>
                <w:sz w:val="15"/>
                <w:szCs w:val="15"/>
                <w:color w:val="auto"/>
              </w:rPr>
            </w:pPr>
          </w:p>
        </w:tc>
        <w:tc>
          <w:tcPr>
            <w:tcW w:w="78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09"/>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Energy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Solutions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9"/>
        </w:trPr>
        <w:tc>
          <w:tcPr>
            <w:tcW w:w="5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0"/>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Renewable Energy</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Healthcare Solutions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162560</wp:posOffset>
            </wp:positionV>
            <wp:extent cx="14141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jc w:val="both"/>
        <w:ind w:left="380" w:right="79" w:hanging="330"/>
        <w:spacing w:after="0" w:line="26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each segment’s intercompany activity, including transactions within a segment and between segments. Transactions within and between segments are generally made on a basis intended to reflect the market value of the service.</w:t>
      </w:r>
    </w:p>
    <w:p>
      <w:pPr>
        <w:spacing w:after="0" w:line="6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Divestitures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 were $69 million and $98 million for the three months ended March 31, 2026 and 2025, respectively. Proceeds in 2026 primarily related to a business divestiture in our West Tier, which resulted in a gain of $34 million recognized in (gain) loss from divestitures, asset impairments and unusual items, net in our Condensed Consolidated Statements of Operations. Proceeds in 2025 primarily related to the January 2025 sale of our Healthcare Solutions segment’s Spain and Portugal subsidiaries. As the fair value of consideration transferred was equal to the carrying value of the divested Spain and Portugal subsidiaries, no gain or loss was recognized.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Accumulated Other Comprehensive Income (Loss)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7" w:lineRule="exact"/>
        <w:rPr>
          <w:sz w:val="20"/>
          <w:szCs w:val="20"/>
          <w:color w:val="auto"/>
        </w:rPr>
      </w:pPr>
    </w:p>
    <w:p>
      <w:pPr>
        <w:ind w:left="260" w:right="100"/>
        <w:spacing w:after="0" w:line="255" w:lineRule="auto"/>
        <w:rPr>
          <w:sz w:val="20"/>
          <w:szCs w:val="20"/>
          <w:color w:val="auto"/>
        </w:rPr>
      </w:pPr>
      <w:r>
        <w:rPr>
          <w:rFonts w:ascii="Times New Roman" w:cs="Times New Roman" w:eastAsia="Times New Roman" w:hAnsi="Times New Roman"/>
          <w:sz w:val="18"/>
          <w:szCs w:val="18"/>
          <w:color w:val="auto"/>
        </w:rPr>
        <w:t>Other comprehensive income (loss) before reclassifications, net of tax expense (benefit) of $1, $(1), $0 and $0,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wp:posOffset>
            </wp:positionV>
            <wp:extent cx="564896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411480"/>
                    </a:xfrm>
                    <a:prstGeom prst="rect">
                      <a:avLst/>
                    </a:prstGeom>
                    <a:noFill/>
                  </pic:spPr>
                </pic:pic>
              </a:graphicData>
            </a:graphic>
          </wp:anchor>
        </w:drawing>
      </w:r>
    </w:p>
    <w:p>
      <w:pPr>
        <w:jc w:val="both"/>
        <w:ind w:left="260"/>
        <w:spacing w:after="0" w:line="255"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loss, net of tax (expense) benefit of $(1), $0, $0 and $0, respectively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920"/>
        <w:spacing w:after="0"/>
        <w:tabs>
          <w:tab w:leader="none" w:pos="2880" w:val="left"/>
        </w:tabs>
        <w:rPr>
          <w:sz w:val="20"/>
          <w:szCs w:val="20"/>
          <w:color w:val="auto"/>
        </w:rPr>
      </w:pPr>
      <w:r>
        <w:rPr>
          <w:rFonts w:ascii="Times New Roman" w:cs="Times New Roman" w:eastAsia="Times New Roman" w:hAnsi="Times New Roman"/>
          <w:sz w:val="14"/>
          <w:szCs w:val="14"/>
          <w:b w:val="1"/>
          <w:bCs w:val="1"/>
          <w:color w:val="auto"/>
        </w:rPr>
        <w:t>Foreign</w:t>
      </w:r>
      <w:r>
        <w:rPr>
          <w:sz w:val="20"/>
          <w:szCs w:val="20"/>
          <w:color w:val="auto"/>
        </w:rPr>
        <w:tab/>
      </w:r>
      <w:r>
        <w:rPr>
          <w:rFonts w:ascii="Times New Roman" w:cs="Times New Roman" w:eastAsia="Times New Roman" w:hAnsi="Times New Roman"/>
          <w:sz w:val="14"/>
          <w:szCs w:val="14"/>
          <w:b w:val="1"/>
          <w:bCs w:val="1"/>
          <w:color w:val="auto"/>
        </w:rPr>
        <w:t>Post-</w:t>
      </w:r>
    </w:p>
    <w:p>
      <w:pPr>
        <w:ind w:left="1000"/>
        <w:spacing w:after="0" w:line="229" w:lineRule="auto"/>
        <w:tabs>
          <w:tab w:leader="none" w:pos="1840" w:val="left"/>
          <w:tab w:leader="none" w:pos="2700" w:val="left"/>
        </w:tabs>
        <w:rPr>
          <w:sz w:val="20"/>
          <w:szCs w:val="20"/>
          <w:color w:val="auto"/>
        </w:rPr>
      </w:pPr>
      <w:r>
        <w:rPr>
          <w:rFonts w:ascii="Times New Roman" w:cs="Times New Roman" w:eastAsia="Times New Roman" w:hAnsi="Times New Roman"/>
          <w:sz w:val="14"/>
          <w:szCs w:val="14"/>
          <w:b w:val="1"/>
          <w:bCs w:val="1"/>
          <w:color w:val="auto"/>
        </w:rPr>
        <w:t>Available-</w:t>
        <w:tab/>
        <w:t>Currency</w:t>
      </w:r>
      <w:r>
        <w:rPr>
          <w:sz w:val="20"/>
          <w:szCs w:val="20"/>
          <w:color w:val="auto"/>
        </w:rPr>
        <w:tab/>
      </w:r>
      <w:r>
        <w:rPr>
          <w:rFonts w:ascii="Times New Roman" w:cs="Times New Roman" w:eastAsia="Times New Roman" w:hAnsi="Times New Roman"/>
          <w:sz w:val="14"/>
          <w:szCs w:val="14"/>
          <w:b w:val="1"/>
          <w:bCs w:val="1"/>
          <w:color w:val="auto"/>
        </w:rPr>
        <w:t>Retirement</w:t>
      </w:r>
    </w:p>
    <w:p>
      <w:pPr>
        <w:ind w:left="140"/>
        <w:spacing w:after="0" w:line="221" w:lineRule="auto"/>
        <w:tabs>
          <w:tab w:leader="none" w:pos="1040" w:val="left"/>
          <w:tab w:leader="none" w:pos="1780" w:val="left"/>
          <w:tab w:leader="none" w:pos="2820" w:val="left"/>
        </w:tabs>
        <w:rPr>
          <w:sz w:val="20"/>
          <w:szCs w:val="20"/>
          <w:color w:val="auto"/>
        </w:rPr>
      </w:pPr>
      <w:r>
        <w:rPr>
          <w:rFonts w:ascii="Times New Roman" w:cs="Times New Roman" w:eastAsia="Times New Roman" w:hAnsi="Times New Roman"/>
          <w:sz w:val="14"/>
          <w:szCs w:val="14"/>
          <w:b w:val="1"/>
          <w:bCs w:val="1"/>
          <w:color w:val="auto"/>
        </w:rPr>
        <w:t>Derivative</w:t>
      </w:r>
      <w:r>
        <w:rPr>
          <w:sz w:val="20"/>
          <w:szCs w:val="20"/>
          <w:color w:val="auto"/>
        </w:rPr>
        <w:tab/>
      </w:r>
      <w:r>
        <w:rPr>
          <w:rFonts w:ascii="Times New Roman" w:cs="Times New Roman" w:eastAsia="Times New Roman" w:hAnsi="Times New Roman"/>
          <w:sz w:val="14"/>
          <w:szCs w:val="14"/>
          <w:b w:val="1"/>
          <w:bCs w:val="1"/>
          <w:color w:val="auto"/>
        </w:rPr>
        <w:t>for-Sale</w:t>
      </w:r>
      <w:r>
        <w:rPr>
          <w:sz w:val="20"/>
          <w:szCs w:val="20"/>
          <w:color w:val="auto"/>
        </w:rPr>
        <w:tab/>
      </w:r>
      <w:r>
        <w:rPr>
          <w:rFonts w:ascii="Times New Roman" w:cs="Times New Roman" w:eastAsia="Times New Roman" w:hAnsi="Times New Roman"/>
          <w:sz w:val="14"/>
          <w:szCs w:val="14"/>
          <w:b w:val="1"/>
          <w:bCs w:val="1"/>
          <w:color w:val="auto"/>
        </w:rPr>
        <w:t>Translation</w:t>
      </w:r>
      <w:r>
        <w:rPr>
          <w:sz w:val="20"/>
          <w:szCs w:val="20"/>
          <w:color w:val="auto"/>
        </w:rPr>
        <w:tab/>
      </w:r>
      <w:r>
        <w:rPr>
          <w:rFonts w:ascii="Times New Roman" w:cs="Times New Roman" w:eastAsia="Times New Roman" w:hAnsi="Times New Roman"/>
          <w:sz w:val="14"/>
          <w:szCs w:val="14"/>
          <w:b w:val="1"/>
          <w:bCs w:val="1"/>
          <w:color w:val="auto"/>
        </w:rPr>
        <w:t>Benefit</w:t>
      </w:r>
    </w:p>
    <w:p>
      <w:pPr>
        <w:spacing w:after="0" w:line="232" w:lineRule="auto"/>
        <w:rPr>
          <w:sz w:val="20"/>
          <w:szCs w:val="20"/>
          <w:color w:val="auto"/>
        </w:rPr>
      </w:pPr>
      <w:r>
        <w:rPr>
          <w:rFonts w:ascii="Times New Roman" w:cs="Times New Roman" w:eastAsia="Times New Roman" w:hAnsi="Times New Roman"/>
          <w:sz w:val="14"/>
          <w:szCs w:val="14"/>
          <w:b w:val="1"/>
          <w:bCs w:val="1"/>
          <w:color w:val="auto"/>
        </w:rPr>
        <w:t>​​​Instruments ​​​Securities ​​​Adjustments ​​​Obligations ​​​  Total</w:t>
      </w:r>
    </w:p>
    <w:tbl>
      <w:tblPr>
        <w:tblLayout w:type="fixed"/>
        <w:tblInd w:w="80" w:type="dxa"/>
        <w:tblCellMar>
          <w:top w:w="0" w:type="dxa"/>
          <w:left w:w="0" w:type="dxa"/>
          <w:bottom w:w="0" w:type="dxa"/>
          <w:right w:w="0" w:type="dxa"/>
        </w:tblCellMar>
      </w:tblPr>
      <w:tr>
        <w:trPr>
          <w:trHeight w:val="234"/>
        </w:trPr>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$35</w:t>
            </w:r>
          </w:p>
        </w:tc>
        <w:tc>
          <w:tcPr>
            <w:tcW w:w="14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w:t>
            </w:r>
          </w:p>
        </w:tc>
      </w:tr>
      <w:tr>
        <w:trPr>
          <w:trHeight w:val="623"/>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24"/>
                <w:szCs w:val="2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648"/>
        </w:trPr>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2" w:lineRule="exact"/>
        <w:rPr>
          <w:sz w:val="20"/>
          <w:szCs w:val="20"/>
          <w:color w:val="auto"/>
        </w:rPr>
      </w:pPr>
    </w:p>
    <w:p>
      <w:pPr>
        <w:sectPr>
          <w:pgSz w:w="11900" w:h="16838" w:orient="portrait"/>
          <w:cols w:equalWidth="0" w:num="2">
            <w:col w:w="4680" w:space="120"/>
            <w:col w:w="4219"/>
          </w:cols>
          <w:pgMar w:left="1440" w:top="657" w:right="1440" w:bottom="1440" w:gutter="0" w:footer="0" w:header="0"/>
          <w:type w:val="continuous"/>
        </w:sectPr>
      </w:pPr>
    </w:p>
    <w:tbl>
      <w:tblPr>
        <w:tblLayout w:type="fixed"/>
        <w:tblInd w:w="40" w:type="dxa"/>
        <w:tblCellMar>
          <w:top w:w="0" w:type="dxa"/>
          <w:left w:w="0" w:type="dxa"/>
          <w:bottom w:w="0" w:type="dxa"/>
          <w:right w:w="0" w:type="dxa"/>
        </w:tblCellMar>
      </w:tblPr>
      <w:tr>
        <w:trPr>
          <w:trHeight w:val="198"/>
        </w:trPr>
        <w:tc>
          <w:tcPr>
            <w:tcW w:w="4840" w:type="dxa"/>
            <w:vAlign w:val="bottom"/>
            <w:tcBorders>
              <w:bottom w:val="single" w:sz="8" w:color="CCEEFF"/>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3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(34)</w:t>
            </w:r>
          </w:p>
        </w:tc>
      </w:tr>
      <w:tr>
        <w:trPr>
          <w:trHeight w:val="21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2026</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w:t>
            </w:r>
          </w:p>
        </w:tc>
      </w:tr>
      <w:tr>
        <w:trPr>
          <w:trHeight w:val="20"/>
        </w:trPr>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Common Stock Repurchase Program</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repurchases shares of its common stock as part of capital allocation programs authorized by our Board of Directors. During the three months ended March 31, 2026, we repurchased 1.5 million shares of our common stock in open market transactions in compliance with Rule 10b5-1 and Rule 10b-18 of the Exchange Act for $354 million, inclusive of per-share commissions and taxes, for a weighted average price per share of $235.78. These repurchases were made under the $3.0 billion Board of Directors authorization announced in December 2025.</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has authorization for $2.7 billion of future share repurchases. Any future share repurchases pursuant to this authorization of our Board of Directors will be made at the discretion of management and will depend on factors similar to those considered by the Board of Directors in making dividend declarations, including our leverage level, net earnings, financial condition and cash required for future business plans, growth and acquisitions.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type w:val="continuous"/>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Accounted for at Fair Value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assets and liabilities that are measured at fair value on a recurring basis include the following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540" w:type="dxa"/>
            <w:vAlign w:val="bottom"/>
            <w:vMerge w:val="restart"/>
          </w:tcPr>
          <w:p>
            <w:pPr>
              <w:ind w:left="44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3"/>
          </w:tcPr>
          <w:p>
            <w:pPr>
              <w:jc w:val="right"/>
              <w:ind w:right="176"/>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Quoted prices in active markets (Level 1):</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 equivalents and money market funds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2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Available-for-sale securities (a)</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40" w:type="dxa"/>
            <w:vAlign w:val="bottom"/>
            <w:gridSpan w:val="2"/>
          </w:tcPr>
          <w:p>
            <w:pPr>
              <w:spacing w:after="0"/>
              <w:rPr>
                <w:sz w:val="18"/>
                <w:szCs w:val="18"/>
                <w:color w:val="auto"/>
              </w:rPr>
            </w:pPr>
          </w:p>
        </w:tc>
        <w:tc>
          <w:tcPr>
            <w:tcW w:w="18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Our available-for-sale securities primarily relate to debt securities with maturities over the next ten years.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carrying value of our debt was $22.9 billion. The estimated fair value of our debt was approximately $22.3 billion and $22.5 billion as of March 31, 2026 and December 31, 2025, respectively.</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March 31, 2026 and December 31, 2025. These amounts have not been revalued since those dates and current estimates of fair value could differ significantly from the amounts presented.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Variable Interest Entities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our financial interests in unconsolidated and consolidated variable interest entities that we consider significant: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Low-Income Housing Properties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do not consolidate our investments in entities established to manage low-income housing properties because we are not the primary beneficiary of these entities as we do not have the power to individually direct the activities of these entities. Our aggregate investment balance in these entities was $602 million and $624 million as of March 31, 2026 and December 31, 2025, respectively. The debt balance related to our investments in low-income housing properties was $591 million and $616 million as of March 31, 2026 and December 31, 2025, respectively. Additional information related to these investments is discussed in Note 4.</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Trust Funds for Final Capping, Closure, Post-Closure or Environmental Remediation Obligations</w:t>
      </w:r>
    </w:p>
    <w:p>
      <w:pPr>
        <w:spacing w:after="0" w:line="227"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Unconsolidated Variable Interest Entities — </w:t>
      </w:r>
      <w:r>
        <w:rPr>
          <w:rFonts w:ascii="Times New Roman" w:cs="Times New Roman" w:eastAsia="Times New Roman" w:hAnsi="Times New Roman"/>
          <w:sz w:val="18"/>
          <w:szCs w:val="18"/>
          <w:color w:val="auto"/>
        </w:rPr>
        <w:t>Trust funds that are established for both the benefit of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host community in which we operate are not consolidated because we are not the primary beneficiary of these entities as (i) we do not have the power to direct the significant activities of the trusts or (ii) power over the trusts’ significant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activities is shared. Our interests in these trusts are accounted for as investments in unconsolidated entities and receivables. These amounts are recorded in other receivables, investments in unconsolidated entities and other long-term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$125 million and $127 million as of March 31, 2026 and December 31, 2025, respectively.</w:t>
      </w:r>
    </w:p>
    <w:p>
      <w:pPr>
        <w:spacing w:after="0" w:line="18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Consolidated Variable Interest Entities — </w:t>
      </w:r>
      <w:r>
        <w:rPr>
          <w:rFonts w:ascii="Times New Roman" w:cs="Times New Roman" w:eastAsia="Times New Roman" w:hAnsi="Times New Roman"/>
          <w:sz w:val="18"/>
          <w:szCs w:val="18"/>
          <w:color w:val="auto"/>
        </w:rPr>
        <w:t>Trust funds for which we are the sole beneficiary are consolidated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the primary beneficiary. These trust funds are recorded in restricted funds in our Condensed Consolidated Balance Sheets. Unrealized gains and losses on available-for-sale securities held by these trusts are recorded as a component of accumulated other comprehensive income (loss). These trusts had a fair value of $141 million and $140 million as of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1" w:name="page22"/>
    <w:bookmarkEnd w:id="21"/>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2025.</w:t>
      </w:r>
    </w:p>
    <w:p>
      <w:pPr>
        <w:spacing w:after="0" w:line="180"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opinions, views or beliefs about current and future events, circumstances or performance. You should view these statements with caution. They are based on the facts and circumstances known to us as of the date the statements are made. These forward 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including our ability to integrate the acquisition of Stericycle, Inc. (“Stericycle”) (which is now presented as our Healthcare Solutions segment) and achieve the anticipated benefits therefrom, including synergies; legal, regulatory, operational, technological and other matters that may affect the costs and timing of our ability to integrate and deliver all of the expected benefits of the Stericycle acquisition; existing or new environmental and other regulations, including developments related to emerging contaminants, gas emissions, renewable energy, recyclables,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 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and incentives;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and pricing pressure; impacts from international trade restrictions and tariffs; competitive disposal alternatives, diversion of waste from landfills and declining waste volumes; changes in general economic conditions, capital markets or consumer trends; changing conditions in the recycling industry, including impacts on demand, pricing and availability of counterparties; changing conditions in the healthcare industry; adoption of new tax legislation; fuel shortages; failure to develop and protect new technology; failure of technology to perform as expected; inability to adapt and manage the benefits and risks of artificial intelligence; failure to prevent, detect and address cybersecurity incidents or comply with privacy regulations; negative outcomes of litigation or governmental proceedings, including those acquired through transactions; failure to maintain an effective system of internal control over financial reporting; and operational or management decisions or developments that result in impairment charges and other risks discussed in our filings with the SEC, including Part I, Item 1A of our Annual Report on Form 10-K for the year ended December 31, 2025. We assume no obligation to update any forward-looking statement, including financial estimates and forecasts, whether as a result of future events, circumstances or developments or otherwise.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2" w:name="page23"/>
    <w:bookmarkEnd w:id="22"/>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more practical for larger urban markets, where the distance to landfills is typically farther, we manage transfer stations that consolidate, compact and transport waste efficiently and economically. Our solid waste business is operated and managed locally by our subsidiaries that focus on distinct geographic areas and provide collection, transfer, disposal, recycling and resource recovery services. Through our Renewable Energy segment, we are also a leading developer, operator and owner of landfill gas-to-energy facilities in the U.S. and Canada that produce renewable electricity and renewable natural gas (“RNG”), which is a significant source of fuel that we allocate to our natural gas fleet. Our Healthcare Solutions segment provides regulated waste and compliance services (“RWCS”) and secure information destruction (“SID”) services in the U.S., Canada and Western Europe that protect people and brands, promote health and well-being and safeguard the environment. Additionally, through our Recycling Processing and Sales segment, we are a leading recycler in the U.S. and Canada, handling materials that include paper, cardboard, glass, plastic and metal.</w:t>
      </w:r>
    </w:p>
    <w:p>
      <w:pPr>
        <w:spacing w:after="0" w:line="19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Renewable Energy and (v) Healthcare Solutions. Our East and West Tiers, along with certain ancillary services (“Other Ancillary”) that are not managed through our Tier segments, but that support our collection and disposal operations, form our “Collection and Disposal” business. We also provide additional services not managed through our five reportable segments, which are presented as Corporate and Other.</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216" w:lineRule="exact"/>
        <w:rPr>
          <w:sz w:val="20"/>
          <w:szCs w:val="20"/>
          <w:color w:val="auto"/>
        </w:rPr>
      </w:pPr>
    </w:p>
    <w:p>
      <w:pPr>
        <w:jc w:val="both"/>
        <w:ind w:left="60" w:right="59" w:firstLine="324"/>
        <w:spacing w:after="0" w:line="234" w:lineRule="auto"/>
        <w:rPr>
          <w:sz w:val="20"/>
          <w:szCs w:val="20"/>
          <w:color w:val="auto"/>
        </w:rPr>
      </w:pPr>
      <w:r>
        <w:rPr>
          <w:rFonts w:ascii="Times New Roman" w:cs="Times New Roman" w:eastAsia="Times New Roman" w:hAnsi="Times New Roman"/>
          <w:sz w:val="18"/>
          <w:szCs w:val="18"/>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 impact, and sustainability and environmental stewardship are embedded in all that we do.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that investing in automation to improve processes and drive operational efficiency combined with a focus on the cost to serve our customers will yield an attractive profit margin and enhanced service quality. We have furthered our strategy of focused differentiation and continuous improvement beyond our traditional waste operations through our sustainability growth strategy, which has positioned us to capitalize on the significant investments made in our Renewable Energy and Recycling Processing and Sales segments, while increasing automation and reducing labor dependency. In addition, our Healthcare Solutions segment provides a complementary business platform in medical waste, a sector with attractive near- and long-term growth dynamics and in secure information destruction services to further our leading suite of comprehensive waste and environmental solutions. Furthermore, we continue to evaluate and plan to pursue emerging diversion technologies that may generate additional value.</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providing medical waste services and expanding our renewable energy projects to meet the evolving needs of our diverse customer base. As North America’s leading provider of comprehensive environmental solutions, we are taking big, bold steps to catalyze positive change – change that will impact our Company as well as the communities we serve. Consistent with our Company’s long-standing commitment to sustainability and environmental stewardship, we have published our 2025 Sustainability Report, providing details on our sustainability-related performance and outlining progress towards our 2030 sustainability goals. The 2025 Sustainability Report conveys the strong linkage between the Company’s sustainability goals and our growth strategy, inclusive of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3" w:name="page24"/>
    <w:bookmarkEnd w:id="23"/>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expansion of the Company’s Recycling Processing and Sales and Renewable Energy segments. The information in this report can be found at sustainability.wm.com but it does not constitute a part of, and is not incorporated by reference into, this Quarterly Report on Form 10-Q.</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inflation. Volume changes can fluctuate significantly by line of business and can impact key financial metrics. We must dynamically manage our cost structure in response to volume changes and cost inflation.</w:t>
      </w:r>
    </w:p>
    <w:p>
      <w:pPr>
        <w:spacing w:after="0" w:line="19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automation and optimization investments to enhance our operational efficiency and change the way we interact with our customers. Advancements made through these initiatives are intended to seamlessly and digitally connect all enterprise functions required to service customers and provide the best experience. We have made significant progress in executing this technology enablement strategy to automate and optimize certain elements of our service delivery model. The key benefits are reduced labor dependency on certain high-turnover jobs, particularly in customer experience, recycling and residential collection, while further elevating our customer self-service through digitalization and implementation of technologies to enhance the safety, reliability and efficiency within our collection operations.</w:t>
      </w:r>
    </w:p>
    <w:p>
      <w:pPr>
        <w:spacing w:after="0" w:line="19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sometimes experience margin pressures and variability in earnings and margins from our commodity-driven businesses, specifically within our Recycling Processing and Sales and Renewable Energy segments. During the quarter ended March 31, 2026, we continued to experience decreases in market prices for recycled commodities when compared to the prior year quarter. Additionally, commodity price fluctuations from the prior year quarter had an unfavorable impact on the Renewable Energy segment. We continue to take proactive steps to adjust our business models to protect against the down side risk of changes in commodity prices.</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Variability in economic conditions, including inflation, interest rates, employment trends and supply chain reliability, can create risk and uncertainty in financial outlook. We take proactive steps to recover and mitigate inflationary cost pressures through our overall pricing efforts and by managing our costs through efficiency, labor productivity and investments in technology to automate certain aspects of our business. We remain committed to putting our people first to ensure that they are well positioned to execute our daily operations diligently and safely. We remain focused on delivering outstanding customer service, managing our variable costs with changing volumes and investing in technology that will enhance our customers’ experience and provide operating efficiencies intended to reduce our cost to serve.</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Current Quarter Financial Results</w:t>
      </w:r>
    </w:p>
    <w:p>
      <w:pPr>
        <w:spacing w:after="0" w:line="216" w:lineRule="exact"/>
        <w:rPr>
          <w:sz w:val="20"/>
          <w:szCs w:val="20"/>
          <w:color w:val="auto"/>
        </w:rPr>
      </w:pPr>
    </w:p>
    <w:p>
      <w:pPr>
        <w:jc w:val="both"/>
        <w:ind w:left="60" w:right="59" w:firstLine="324"/>
        <w:spacing w:after="0" w:line="237" w:lineRule="auto"/>
        <w:rPr>
          <w:sz w:val="20"/>
          <w:szCs w:val="20"/>
          <w:color w:val="auto"/>
        </w:rPr>
      </w:pPr>
      <w:r>
        <w:rPr>
          <w:rFonts w:ascii="Times New Roman" w:cs="Times New Roman" w:eastAsia="Times New Roman" w:hAnsi="Times New Roman"/>
          <w:sz w:val="18"/>
          <w:szCs w:val="18"/>
          <w:color w:val="auto"/>
        </w:rPr>
        <w:t>During the first quarter of 2026, we continued to focus on our priorities to advance our strategy – growing the core business by focusing on customer lifetime value; delivering operational excellence and capitalizing on network advantages; capturing and enhancing returns from our investments in our Recycling Processing and Sales and Renewable Energy segments and driving accretive growth as we take our Healthcare Solutions segment from integration to scalable growth. We continue to invest in our people through paying a competitive market wage, investing in our digital platform and providing training for our team members. During the period, we also allocated $729 million of available cash to our shareholders through dividends and common stock repurchases.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4" w:name="page25"/>
    <w:bookmarkEnd w:id="24"/>
    <w:p>
      <w:pPr>
        <w:ind w:left="380"/>
        <w:spacing w:after="0"/>
        <w:rPr>
          <w:sz w:val="20"/>
          <w:szCs w:val="20"/>
          <w:color w:val="auto"/>
        </w:rPr>
      </w:pPr>
      <w:r>
        <w:rPr>
          <w:rFonts w:ascii="Times New Roman" w:cs="Times New Roman" w:eastAsia="Times New Roman" w:hAnsi="Times New Roman"/>
          <w:sz w:val="18"/>
          <w:szCs w:val="18"/>
          <w:color w:val="auto"/>
        </w:rPr>
        <w:t>Key elements of our financial results for the first quarter of 2026 include:</w:t>
      </w:r>
    </w:p>
    <w:p>
      <w:pPr>
        <w:spacing w:after="0" w:line="117" w:lineRule="exact"/>
        <w:rPr>
          <w:sz w:val="20"/>
          <w:szCs w:val="20"/>
          <w:color w:val="auto"/>
        </w:rPr>
      </w:pPr>
    </w:p>
    <w:p>
      <w:pPr>
        <w:jc w:val="both"/>
        <w:ind w:left="720" w:right="79" w:hanging="319"/>
        <w:spacing w:after="0" w:line="258"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$6,227 million compared to $6,018 million in the prior year period, an increase of $209 million, or 3.5%. The increase is primarily due to (i) higher yield in our Collection and Disposal business; (ii) incremental volumes from our Renewable Energy segment primarily due to contributions from growth projects and (iii) our recent acquisitions. These increases are partially offset by lower collection volumes and a reduction in single-stream and brokerage recycled commodity prices;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of $3,694 million, or 59.3% of revenues, compared to $3,612 million, or 60.0% of revenues, in the prior year period. The $82 million increase is primarily due to (i) annual wage increases and higher employee medical costs; (ii) higher fuel prices and (iii) growth in our Renewable Energy business. These increases were offset by (i) lower costs driven by lower collection volumes and (ii) continued efficiency and cost control initiatives in our Collection and Disposal business. Although total operating expenses increased, costs as a percent of revenue improved due to continued cost discipline;</w:t>
      </w:r>
    </w:p>
    <w:p>
      <w:pPr>
        <w:spacing w:after="0" w:line="79"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of $707 million, or 11.4% of revenues, compared to $687 million, or 11.4% of revenues, in the prior year period. The $20 million increase is primarily due to increases in (i) technology spend; (ii) bad debt expense and (iii) labor costs;</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of $1,113 million, or 17.9% of revenues, compared to $1,013 million, or 16.8% of revenues, in the prior year period. The $100 million increase is primarily due to (i) growth in our Collection and Disposal business; (ii) contributions from increased volumes in our Renewable Energy segment and (iii) a gain from a business divestiture in our West Tier. These increases were partially offset by higher annual incentive compensation, employee wage increases and higher technology spend;</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Waste Management, Inc. of $723 million, or $1.79 per diluted share, compared to $637 million, or $1.58 per diluted share, in the prior year period. The $86 million increase is primarily due to the increase in income from operations, discussed above;</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of $1,501 million compared to $1,208 million in the prior year period.</w:t>
      </w:r>
    </w:p>
    <w:p>
      <w:pPr>
        <w:spacing w:after="0" w:line="27" w:lineRule="exact"/>
        <w:rPr>
          <w:sz w:val="20"/>
          <w:szCs w:val="20"/>
          <w:color w:val="auto"/>
        </w:rPr>
      </w:pPr>
    </w:p>
    <w:p>
      <w:pPr>
        <w:jc w:val="both"/>
        <w:ind w:left="720" w:right="79" w:firstLine="62"/>
        <w:spacing w:after="0" w:line="255" w:lineRule="auto"/>
        <w:rPr>
          <w:sz w:val="20"/>
          <w:szCs w:val="20"/>
          <w:color w:val="auto"/>
        </w:rPr>
      </w:pPr>
      <w:r>
        <w:rPr>
          <w:rFonts w:ascii="Times New Roman" w:cs="Times New Roman" w:eastAsia="Times New Roman" w:hAnsi="Times New Roman"/>
          <w:sz w:val="18"/>
          <w:szCs w:val="18"/>
          <w:color w:val="auto"/>
        </w:rPr>
        <w:t>The $293 million increase in net cash provided by operating activities is primarily due to (i) higher earnings, particularly driven by our Collection and Disposal business; (ii) favorable changes in working capital, net of effects from acquisitions and divestitures and (iii) lower annual incentive compensation payments;</w:t>
      </w:r>
    </w:p>
    <w:p>
      <w:pPr>
        <w:spacing w:after="0" w:line="78" w:lineRule="exact"/>
        <w:rPr>
          <w:sz w:val="20"/>
          <w:szCs w:val="20"/>
          <w:color w:val="auto"/>
        </w:rPr>
      </w:pPr>
    </w:p>
    <w:p>
      <w:pPr>
        <w:jc w:val="both"/>
        <w:ind w:left="720" w:right="79" w:hanging="319"/>
        <w:spacing w:after="0" w:line="254"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$920 million compared to $475 million in the prior year period. The $445 million increase in free cash flow is primarily due to the increase in net cash provided by operating activities described above as well as a decrease in capital spending driven by (i) lower spend on collection vehicles and (ii) anticipated reductions in capital investment in our sustainability growth projects due to our transition from peak construction of this portfolio into a period of harvesting returns. These changes are partially offset by lower proceeds from the sale of certain non-strategic assets. Free cash flow is a non-GAAP measure of liquidity. Refer to Free Cash Flow below for our definition of free cash flow, additional information about our use of this measure and a reconciliation to net cash provided by operating activities, which is the most comparable GAAP measure.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mix of operating revenues for the three months ended March 31 are as follows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620" w:type="dxa"/>
            <w:vAlign w:val="bottom"/>
            <w:vMerge w:val="restart"/>
          </w:tcPr>
          <w:p>
            <w:pPr>
              <w:ind w:left="35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7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2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Intercompany</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30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Revenues (a)</w:t>
            </w:r>
          </w:p>
        </w:tc>
        <w:tc>
          <w:tcPr>
            <w:tcW w:w="300" w:type="dxa"/>
            <w:vAlign w:val="bottom"/>
            <w:gridSpan w:val="2"/>
            <w:vMerge w:val="continue"/>
          </w:tcPr>
          <w:p>
            <w:pPr>
              <w:spacing w:after="0"/>
              <w:rPr>
                <w:sz w:val="15"/>
                <w:szCs w:val="15"/>
                <w:color w:val="auto"/>
              </w:rPr>
            </w:pP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Transfer</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Energy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Solutions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Transfer</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Energy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Solutions (b)</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each segment’s intercompany activity, including transactions within a segment and between segments. Transactions within and between segments are generally made on a basis intended to reflect the market value of the service.</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55"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2025, as a result of continued integration efforts and to enhance transparency and accountability, the Company began reflecting intra-segment activity within the Healthcare Solutions segment. These charges were designed to measure profitability at more granular levels of the enterprise and to facilitate clearer financial accountability within operating units. Accordingly, adjustments to the three months ended March 31, 2025 were made to properly reflect intra-segment activity for the period. Intra-segment operating revenues and operating expenses within Healthcare Solutions for the three months ended March 31, 2026 and 2025 are $101 million and $94 million, respectively.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6" w:name="page27"/>
    <w:bookmarkEnd w:id="26"/>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associated with the period-to-period change in revenues and average yield (dollars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740" w:type="dxa"/>
            <w:vAlign w:val="bottom"/>
            <w:gridSpan w:val="8"/>
          </w:tcPr>
          <w:p>
            <w:pPr>
              <w:jc w:val="center"/>
              <w:ind w:right="478"/>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5"/>
          </w:tcPr>
          <w:p>
            <w:pPr>
              <w:jc w:val="center"/>
              <w:ind w:left="85"/>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center"/>
              <w:ind w:left="85"/>
              <w:spacing w:after="0"/>
              <w:rPr>
                <w:sz w:val="20"/>
                <w:szCs w:val="20"/>
                <w:color w:val="auto"/>
              </w:rPr>
            </w:pPr>
            <w:r>
              <w:rPr>
                <w:rFonts w:ascii="Times New Roman" w:cs="Times New Roman" w:eastAsia="Times New Roman" w:hAnsi="Times New Roman"/>
                <w:sz w:val="14"/>
                <w:szCs w:val="14"/>
                <w:b w:val="1"/>
                <w:bCs w:val="1"/>
                <w:color w:val="auto"/>
              </w:rPr>
              <w:t>March 31, 2026 vs. 2025</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3"/>
          </w:tcPr>
          <w:p>
            <w:pPr>
              <w:jc w:val="right"/>
              <w:ind w:right="476"/>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200" w:type="dxa"/>
            <w:vAlign w:val="bottom"/>
            <w:gridSpan w:val="3"/>
          </w:tcPr>
          <w:p>
            <w:pPr>
              <w:jc w:val="right"/>
              <w:ind w:right="536"/>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86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Business(a)</w:t>
            </w:r>
            <w:r>
              <w:rPr>
                <w:rFonts w:ascii="Times New Roman" w:cs="Times New Roman" w:eastAsia="Times New Roman" w:hAnsi="Times New Roman"/>
                <w:sz w:val="14"/>
                <w:szCs w:val="14"/>
                <w:color w:val="auto"/>
              </w:rPr>
              <w:t xml:space="preserve"> ​​​ ​ </w:t>
            </w:r>
            <w:r>
              <w:rPr>
                <w:rFonts w:ascii="Times New Roman" w:cs="Times New Roman" w:eastAsia="Times New Roman" w:hAnsi="Times New Roman"/>
                <w:sz w:val="14"/>
                <w:szCs w:val="14"/>
                <w:b w:val="1"/>
                <w:bCs w:val="1"/>
                <w:color w:val="auto"/>
              </w:rPr>
              <w:t>Amount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Company(b)</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Recycling Processing and Sales and Renewable Energy (c)</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surcharge and mandated fees</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average yield</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4"/>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Volume (d)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Healthcare Solutions (e)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Internal revenue growth</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Divestitures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related business revenues adjusted to exclude the impacts of divestitures for the current year period.</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total Company revenues adjusted to exclude the impacts of divestitures for the current year period.</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in both our Recycling Processing and Sales and Renewable Energy segments, as well as changes in certain recycling fees charged by our collection and disposal operations.</w:t>
      </w:r>
    </w:p>
    <w:p>
      <w:pPr>
        <w:spacing w:after="0" w:line="5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activities from our Corporate and Other businesses.</w:t>
      </w:r>
    </w:p>
    <w:p>
      <w:pPr>
        <w:spacing w:after="0" w:line="11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 in our revenues from the combined impacts of yield and volume attributable to our Healthcare Solutions business.</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significant items affecting revenues during the first quarter of 2026, as compared to the prior year period, are summarized below:</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Average Yield</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Collection and Disposal Average Yield </w:t>
      </w:r>
      <w:r>
        <w:rPr>
          <w:rFonts w:ascii="Times New Roman" w:cs="Times New Roman" w:eastAsia="Times New Roman" w:hAnsi="Times New Roman"/>
          <w:sz w:val="18"/>
          <w:szCs w:val="18"/>
          <w:color w:val="auto"/>
        </w:rPr>
        <w:t>— This measure reflects the effect on our revenues from the pricing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collection, transfer and landfill operations, exclusive of volume changes. Revenue growth from Collection and Disposal average yield includes not only base rate changes and environmental and service fee fluctuations, but also (i) certain average price changes related to the overall mix of services, which are due to the types of services provided; (ii) changes in average price from new and lost business and (iii) price decreases to retain customers.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7" w:name="page28"/>
    <w:bookmarkEnd w:id="27"/>
    <w:p>
      <w:pPr>
        <w:ind w:left="380"/>
        <w:spacing w:after="0"/>
        <w:rPr>
          <w:sz w:val="20"/>
          <w:szCs w:val="20"/>
          <w:color w:val="auto"/>
        </w:rPr>
      </w:pPr>
      <w:r>
        <w:rPr>
          <w:rFonts w:ascii="Times New Roman" w:cs="Times New Roman" w:eastAsia="Times New Roman" w:hAnsi="Times New Roman"/>
          <w:sz w:val="18"/>
          <w:szCs w:val="18"/>
          <w:color w:val="auto"/>
        </w:rPr>
        <w:t>The details of our revenue growth from Collection and Disposal average yield are as follows (dollars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260" w:type="dxa"/>
            <w:vAlign w:val="bottom"/>
            <w:gridSpan w:val="5"/>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r>
      <w:tr>
        <w:trPr>
          <w:trHeight w:val="148"/>
        </w:trPr>
        <w:tc>
          <w:tcPr>
            <w:tcW w:w="44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4"/>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44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4"/>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March 31, 2026 vs. 2025</w:t>
            </w:r>
          </w:p>
        </w:tc>
      </w:tr>
      <w:tr>
        <w:trPr>
          <w:trHeight w:val="117"/>
        </w:trPr>
        <w:tc>
          <w:tcPr>
            <w:tcW w:w="44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60" w:type="dxa"/>
            <w:vAlign w:val="bottom"/>
          </w:tcPr>
          <w:p>
            <w:pPr>
              <w:spacing w:after="0"/>
              <w:rPr>
                <w:sz w:val="10"/>
                <w:szCs w:val="10"/>
                <w:color w:val="auto"/>
              </w:rPr>
            </w:pPr>
          </w:p>
        </w:tc>
      </w:tr>
      <w:tr>
        <w:trPr>
          <w:trHeight w:val="162"/>
        </w:trPr>
        <w:tc>
          <w:tcPr>
            <w:tcW w:w="44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Related</w:t>
            </w:r>
          </w:p>
        </w:tc>
      </w:tr>
      <w:tr>
        <w:trPr>
          <w:trHeight w:val="173"/>
        </w:trPr>
        <w:tc>
          <w:tcPr>
            <w:tcW w:w="4460" w:type="dxa"/>
            <w:vAlign w:val="bottom"/>
          </w:tcPr>
          <w:p>
            <w:pPr>
              <w:spacing w:after="0"/>
              <w:rPr>
                <w:sz w:val="15"/>
                <w:szCs w:val="15"/>
                <w:color w:val="auto"/>
              </w:rPr>
            </w:pP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Business</w:t>
            </w:r>
          </w:p>
        </w:tc>
      </w:tr>
      <w:tr>
        <w:trPr>
          <w:trHeight w:val="209"/>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8"/>
                <w:szCs w:val="18"/>
                <w:color w:val="auto"/>
              </w:rPr>
            </w:pPr>
          </w:p>
        </w:tc>
      </w:tr>
      <w:tr>
        <w:trPr>
          <w:trHeight w:val="210"/>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collection</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2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0" w:type="dxa"/>
            <w:vAlign w:val="bottom"/>
            <w:tcBorders>
              <w:bottom w:val="single" w:sz="8" w:color="CCEEFF"/>
            </w:tcBorders>
            <w:gridSpan w:val="2"/>
          </w:tcPr>
          <w:p>
            <w:pPr>
              <w:ind w:left="92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CCEEFF"/>
            </w:tcBorders>
          </w:tcPr>
          <w:p>
            <w:pPr>
              <w:spacing w:after="0"/>
              <w:rPr>
                <w:sz w:val="18"/>
                <w:szCs w:val="18"/>
                <w:color w:val="auto"/>
              </w:rPr>
            </w:pPr>
          </w:p>
        </w:tc>
      </w:tr>
      <w:tr>
        <w:trPr>
          <w:trHeight w:val="209"/>
        </w:trPr>
        <w:tc>
          <w:tcPr>
            <w:tcW w:w="4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360" w:type="dxa"/>
            <w:vAlign w:val="bottom"/>
            <w:tcBorders>
              <w:bottom w:val="single" w:sz="8" w:color="CCEEFF"/>
            </w:tcBorders>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9"/>
              </w:rPr>
              <w:t>3.9 %</w:t>
            </w:r>
          </w:p>
        </w:tc>
      </w:tr>
      <w:tr>
        <w:trPr>
          <w:trHeight w:val="20"/>
        </w:trPr>
        <w:tc>
          <w:tcPr>
            <w:tcW w:w="4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overall pricing efforts are focused on keeping pace with the increasing costs and capital intensity of our business. We continue to see yield growth in our landfill business primarily driven by municipal solid waste, which achieved yield of 6.9% for the first quarter of 2026.</w:t>
      </w:r>
    </w:p>
    <w:p>
      <w:pPr>
        <w:spacing w:after="0" w:line="17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Recycling Processing and Sales and Renewable Energy </w:t>
      </w:r>
      <w:r>
        <w:rPr>
          <w:rFonts w:ascii="Times New Roman" w:cs="Times New Roman" w:eastAsia="Times New Roman" w:hAnsi="Times New Roman"/>
          <w:sz w:val="18"/>
          <w:szCs w:val="18"/>
          <w:color w:val="auto"/>
        </w:rPr>
        <w:t>— Recycling Processing and Sales revenues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yield decreased $28 million as compared to the prior year period. Average market prices for single-stream recycled commodities declined approximately 27% in the first quarter of 2026 as compared to the prior year period. Revenues attributable to yield in our Renewable Energy segment decreased $7 million as compared to the prior year period primarily due to lower RNG pricing, partially offset by higher electricity and natural gas prices. While there may be short-term fluctuations in our commodity-driven businesses as prices change, we believe that our business models and processes appropriately mitigate the downside risk of changes in commodity prices.</w:t>
      </w:r>
    </w:p>
    <w:p>
      <w:pPr>
        <w:spacing w:after="0" w:line="18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Energy Surcharge and Mandated Fees — </w:t>
      </w:r>
      <w:r>
        <w:rPr>
          <w:rFonts w:ascii="Times New Roman" w:cs="Times New Roman" w:eastAsia="Times New Roman" w:hAnsi="Times New Roman"/>
          <w:sz w:val="18"/>
          <w:szCs w:val="18"/>
          <w:color w:val="auto"/>
        </w:rPr>
        <w:t>These fees increased $20 million as compared to the prior year period.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energy surcharge revenues is primarily due to an increase of approximately 12% in market prices for diesel fuel as compared to the prior year period.</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Volume</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revenues from volume (excluding volumes from acquisitions and divestitures, as well as Healthcare Solutions) increased $10 million, or 0.2% as compared to the prior year period. Volume increased in both our Recycling Processing Sales and our Renewable Energy segments primarily due to contributions from growth projects. These volume increases were largely offset by volume declines in our collection business primarily due to harsh winter weather in the current period as well as our intentional shedding of lower-margin residential business. Additionally, special waste landfill volumes were down compared to the prior year period, which benefited from wildfire cleanup activities in the West Tier.</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Healthcare Solutions</w:t>
      </w:r>
    </w:p>
    <w:p>
      <w:pPr>
        <w:spacing w:after="0" w:line="22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Revenues from our Healthcare Solutions business decreased $13 million, or 0.2% as compared to the prior year period as contributions from pricing activities were more than offset by declines in volumes.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Acquisitions and Divestitures</w:t>
      </w:r>
    </w:p>
    <w:p>
      <w:pPr>
        <w:spacing w:after="0" w:line="22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Acquisitions and divestitures resulted in a net increase in revenues of $31 million, or 0.6%, as compared to the prior year period primarily due to 2025 investments in tuck-in collection and disposal businesses.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8" w:name="page29"/>
    <w:bookmarkEnd w:id="28"/>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operating expenses for the three months ended March 31 (in millions of dollars and as a percentage of revenues):</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860" w:type="dxa"/>
            <w:vAlign w:val="bottom"/>
            <w:gridSpan w:val="2"/>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42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17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$ 1,115</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8"/>
                <w:szCs w:val="18"/>
                <w:color w:val="auto"/>
              </w:rPr>
              <w:t xml:space="preserve"> 17.9 %</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$ 1,074</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8"/>
                <w:szCs w:val="18"/>
                <w:color w:val="auto"/>
              </w:rPr>
              <w:t xml:space="preserve"> 17.8 %</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Transfer and disposal costs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and repairs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Subcontractor costs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Fuel</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and franchise fees and taxes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Landfill operating costs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management</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r>
      <w:tr>
        <w:trPr>
          <w:trHeight w:val="216"/>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CCEEFF"/>
            </w:tcBorders>
          </w:tcPr>
          <w:p>
            <w:pPr>
              <w:spacing w:after="0"/>
              <w:rPr>
                <w:sz w:val="18"/>
                <w:szCs w:val="18"/>
                <w:color w:val="auto"/>
              </w:rPr>
            </w:pPr>
          </w:p>
        </w:tc>
      </w:tr>
      <w:tr>
        <w:trPr>
          <w:trHeight w:val="426"/>
        </w:trPr>
        <w:tc>
          <w:tcPr>
            <w:tcW w:w="4300" w:type="dxa"/>
            <w:vAlign w:val="bottom"/>
            <w:shd w:val="clear" w:color="auto" w:fill="CCEEFF"/>
          </w:tcPr>
          <w:p>
            <w:pPr>
              <w:spacing w:after="0"/>
              <w:rPr>
                <w:sz w:val="24"/>
                <w:szCs w:val="24"/>
                <w:color w:val="auto"/>
              </w:rPr>
            </w:pPr>
          </w:p>
        </w:tc>
        <w:tc>
          <w:tcPr>
            <w:tcW w:w="2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$ 3,694</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59.3 %</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$ 3,612</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60.0 %</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operating expenses increased as compared to the prior year period, primarily due to (i) annual employee wage increases and higher employee medical costs; (ii) higher fuel prices and (iii) growth in our Renewable Energy business. These increases were partially offset by (i) lower costs driven by lower collection volumes, as discussed above and (ii) continued operating efficiency and cost control initiatives in our Collection and Disposal business. Although total operating expenses increased, costs as a percent of revenue improved due to continued cost discipline.</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significant items affecting operating expenses during the first quarter of 2026, as compared to the prior year period, are summarized below:</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 The increase in labor and related benefits costs is primarily due to annual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wage increases and an increase in employee medical costs as compared with the prior year period. These increases were partially offset by (i) lower costs driven by lower collection volumes as discussed above; (ii) collection efficiency improvements and (iii) improved driver retention.</w:t>
      </w:r>
    </w:p>
    <w:p>
      <w:pPr>
        <w:spacing w:after="0" w:line="18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and Disposal Costs </w:t>
      </w:r>
      <w:r>
        <w:rPr>
          <w:rFonts w:ascii="Times New Roman" w:cs="Times New Roman" w:eastAsia="Times New Roman" w:hAnsi="Times New Roman"/>
          <w:sz w:val="18"/>
          <w:szCs w:val="18"/>
          <w:color w:val="auto"/>
        </w:rPr>
        <w:t>— The decrease in transfer and disposal costs is primarily due to lower transfer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disposal volumes, caused by harsh winter weather during the current period, and lower residential volumes attributable to intentional shedding of lower-margin contracts.</w:t>
      </w:r>
    </w:p>
    <w:p>
      <w:pPr>
        <w:spacing w:after="0" w:line="17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Maintenance and Repairs </w:t>
      </w:r>
      <w:r>
        <w:rPr>
          <w:rFonts w:ascii="Times New Roman" w:cs="Times New Roman" w:eastAsia="Times New Roman" w:hAnsi="Times New Roman"/>
          <w:sz w:val="18"/>
          <w:szCs w:val="18"/>
          <w:color w:val="auto"/>
        </w:rPr>
        <w:t>— The slight decrease in maintenance and repairs costs is primarily due to reduced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third-party services driven by fleet and operational optimization. The decrease was partially offset by annual wage increases and increased headcount of our maintenance technicians.</w:t>
      </w:r>
    </w:p>
    <w:p>
      <w:pPr>
        <w:spacing w:after="0" w:line="17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Subcontractor Costs — </w:t>
      </w:r>
      <w:r>
        <w:rPr>
          <w:rFonts w:ascii="Times New Roman" w:cs="Times New Roman" w:eastAsia="Times New Roman" w:hAnsi="Times New Roman"/>
          <w:sz w:val="18"/>
          <w:szCs w:val="18"/>
          <w:color w:val="auto"/>
        </w:rPr>
        <w:t>The increase in subcontractor costs is primarily due to an increase of approximately 12%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prices for diesel fuel as compared to the prior year period.</w:t>
      </w:r>
    </w:p>
    <w:p>
      <w:pPr>
        <w:spacing w:after="0" w:line="158"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 The decrease in cost of goods sold is primarily due to 27% decrease in average market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single-stream recycling commodities. This decrease was partially offset by additional pipeline transportation costs attributable to new RNG facilities brought on line during 2025.</w:t>
      </w:r>
    </w:p>
    <w:p>
      <w:pPr>
        <w:spacing w:after="0" w:line="17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Fuel </w:t>
      </w:r>
      <w:r>
        <w:rPr>
          <w:rFonts w:ascii="Times New Roman" w:cs="Times New Roman" w:eastAsia="Times New Roman" w:hAnsi="Times New Roman"/>
          <w:sz w:val="18"/>
          <w:szCs w:val="18"/>
          <w:color w:val="auto"/>
        </w:rPr>
        <w:t>— The increase in fuel costs is primarily due to an increase of approximately 12% and 6% in average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for diesel and CNG fuel, respectively. This increase was partially offset by reduced fuel consumption due to declines in collection volumes.</w:t>
      </w:r>
    </w:p>
    <w:p>
      <w:pPr>
        <w:spacing w:after="0" w:line="17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Disposal and Franchise Fees and Taxes </w:t>
      </w:r>
      <w:r>
        <w:rPr>
          <w:rFonts w:ascii="Times New Roman" w:cs="Times New Roman" w:eastAsia="Times New Roman" w:hAnsi="Times New Roman"/>
          <w:sz w:val="18"/>
          <w:szCs w:val="18"/>
          <w:color w:val="auto"/>
        </w:rPr>
        <w:t>— The increase in disposal and franchise fees and taxes is primarily due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landfill host fees and other fees and taxes paid to municipalities on our disposal volumes.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9" w:name="page30"/>
    <w:bookmarkEnd w:id="29"/>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Landfill Operating Costs </w:t>
      </w:r>
      <w:r>
        <w:rPr>
          <w:rFonts w:ascii="Times New Roman" w:cs="Times New Roman" w:eastAsia="Times New Roman" w:hAnsi="Times New Roman"/>
          <w:sz w:val="18"/>
          <w:szCs w:val="18"/>
          <w:color w:val="auto"/>
        </w:rPr>
        <w:t>— The increase in landfill operating costs is primarily due to higher leachate treatment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West Tier.</w:t>
      </w:r>
    </w:p>
    <w:p>
      <w:pPr>
        <w:spacing w:after="0" w:line="158"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 Management </w:t>
      </w:r>
      <w:r>
        <w:rPr>
          <w:rFonts w:ascii="Times New Roman" w:cs="Times New Roman" w:eastAsia="Times New Roman" w:hAnsi="Times New Roman"/>
          <w:sz w:val="18"/>
          <w:szCs w:val="18"/>
          <w:color w:val="auto"/>
        </w:rPr>
        <w:t>— The slight decrease in risk management costs is primarily due to lower auto and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 costs as compared to the prior year period.</w:t>
      </w:r>
    </w:p>
    <w:p>
      <w:pPr>
        <w:spacing w:after="0" w:line="158"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The increase in other operating costs is primarily due to (i) increased utility costs largely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electricity prices and new RNG plants brought on line during 2025 and (ii) gains on the sale of real estate in the prior year period that did not recur in the current year.</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selling, general and administrative expenses for the three months ended March 31 (in millions of dollars and as a percentage of revenues):</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2300" w:type="dxa"/>
            <w:vAlign w:val="bottom"/>
            <w:gridSpan w:val="2"/>
          </w:tcPr>
          <w:p>
            <w:pPr>
              <w:ind w:left="2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402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42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29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$ 437  </w:t>
            </w:r>
            <w:r>
              <w:rPr>
                <w:rFonts w:ascii="Times New Roman" w:cs="Times New Roman" w:eastAsia="Times New Roman" w:hAnsi="Times New Roman"/>
                <w:sz w:val="28"/>
                <w:szCs w:val="28"/>
                <w:color w:val="auto"/>
                <w:vertAlign w:val="subscript"/>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$ 427  </w:t>
            </w:r>
            <w:r>
              <w:rPr>
                <w:rFonts w:ascii="Times New Roman" w:cs="Times New Roman" w:eastAsia="Times New Roman" w:hAnsi="Times New Roman"/>
                <w:sz w:val="28"/>
                <w:szCs w:val="28"/>
                <w:color w:val="auto"/>
                <w:vertAlign w:val="subscript"/>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2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8"/>
                <w:szCs w:val="18"/>
                <w:color w:val="auto"/>
              </w:rPr>
            </w:pPr>
          </w:p>
        </w:tc>
      </w:tr>
      <w:tr>
        <w:trPr>
          <w:trHeight w:val="432"/>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CEEFF"/>
            </w:tcBorders>
          </w:tcPr>
          <w:p>
            <w:pPr>
              <w:spacing w:after="0"/>
              <w:rPr>
                <w:sz w:val="24"/>
                <w:szCs w:val="24"/>
                <w:color w:val="auto"/>
              </w:rPr>
            </w:pPr>
          </w:p>
        </w:tc>
      </w:tr>
      <w:tr>
        <w:trPr>
          <w:trHeight w:val="425"/>
        </w:trPr>
        <w:tc>
          <w:tcPr>
            <w:tcW w:w="4020" w:type="dxa"/>
            <w:vAlign w:val="bottom"/>
            <w:shd w:val="clear" w:color="auto" w:fill="CCEEFF"/>
          </w:tcPr>
          <w:p>
            <w:pPr>
              <w:spacing w:after="0"/>
              <w:rPr>
                <w:sz w:val="24"/>
                <w:szCs w:val="24"/>
                <w:color w:val="auto"/>
              </w:rPr>
            </w:pPr>
          </w:p>
        </w:tc>
        <w:tc>
          <w:tcPr>
            <w:tcW w:w="2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$ 707</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11.4 %</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$ 687</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increased from the prior year period primarily due to increases in (i) technology spend; (ii) bad debt expenses and (iii) labor costs.</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significant items affecting selling, general and administrative expenses during the first quarter of 2026, as compared to the prior year period, are summarized below:</w:t>
      </w:r>
    </w:p>
    <w:p>
      <w:pPr>
        <w:spacing w:after="0" w:line="160"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 </w:t>
      </w:r>
      <w:r>
        <w:rPr>
          <w:rFonts w:ascii="Times New Roman" w:cs="Times New Roman" w:eastAsia="Times New Roman" w:hAnsi="Times New Roman"/>
          <w:sz w:val="18"/>
          <w:szCs w:val="18"/>
          <w:color w:val="auto"/>
        </w:rPr>
        <w:t>The increase in labor and related benefits costs is primarily due to annual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wage increases and higher annual incentive compensation costs. These increases were partially offset by a reduction in workforce as we achieved synergies from our acquisitions, particularly Stericycle.</w:t>
      </w:r>
    </w:p>
    <w:p>
      <w:pPr>
        <w:spacing w:after="0" w:line="17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 The decrease in professional fees is primarily due to non-recurring consulting costs incurred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year period to support Stericycle’s integration.</w:t>
      </w:r>
    </w:p>
    <w:p>
      <w:pPr>
        <w:spacing w:after="0" w:line="158"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Bad Debts </w:t>
      </w:r>
      <w:r>
        <w:rPr>
          <w:rFonts w:ascii="Times New Roman" w:cs="Times New Roman" w:eastAsia="Times New Roman" w:hAnsi="Times New Roman"/>
          <w:sz w:val="18"/>
          <w:szCs w:val="18"/>
          <w:color w:val="auto"/>
        </w:rPr>
        <w:t>—The increase in provision for bad debts is primarily due to a benefit recorded in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period on specific accounts as well as a favorable credit reserve adjustment booked in the prior year period in our Collection and Disposal business.</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Other — </w:t>
      </w:r>
      <w:r>
        <w:rPr>
          <w:rFonts w:ascii="Times New Roman" w:cs="Times New Roman" w:eastAsia="Times New Roman" w:hAnsi="Times New Roman"/>
          <w:sz w:val="18"/>
          <w:szCs w:val="18"/>
          <w:color w:val="auto"/>
        </w:rPr>
        <w:t>The increase in other expenses is primarily due to increased technology spend to support strategic initiatives.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Depreciation, Depletion, Amortization and Accretion Expenses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depreciation, depletion, amortization and accretion expenses for the three months ended March 31 (in millions of dollars and as a percentage of revenues):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tangible property and equipment</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4"/>
            <w:shd w:val="clear" w:color="auto" w:fill="CCEEFF"/>
          </w:tcPr>
          <w:p>
            <w:pPr>
              <w:jc w:val="right"/>
              <w:ind w:right="20"/>
              <w:spacing w:after="0" w:line="210" w:lineRule="exact"/>
              <w:rPr>
                <w:sz w:val="20"/>
                <w:szCs w:val="20"/>
                <w:color w:val="auto"/>
              </w:rPr>
            </w:pPr>
            <w:r>
              <w:rPr>
                <w:rFonts w:ascii="Times New Roman" w:cs="Times New Roman" w:eastAsia="Times New Roman" w:hAnsi="Times New Roman"/>
                <w:sz w:val="16"/>
                <w:szCs w:val="16"/>
                <w:color w:val="auto"/>
              </w:rPr>
              <w:t xml:space="preserve">$ 371  </w:t>
            </w:r>
            <w:r>
              <w:rPr>
                <w:rFonts w:ascii="Times New Roman" w:cs="Times New Roman" w:eastAsia="Times New Roman" w:hAnsi="Times New Roman"/>
                <w:sz w:val="24"/>
                <w:szCs w:val="24"/>
                <w:color w:val="auto"/>
                <w:vertAlign w:val="subscript"/>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Depletion of landfill airspace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accretion on landfill and environmental remediation liabilities</w:t>
            </w: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$ 691</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30</w:t>
            </w: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5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75" w:right="1440" w:bottom="1440" w:gutter="0" w:footer="0" w:header="0"/>
        </w:sectPr>
      </w:pPr>
    </w:p>
    <w:bookmarkStart w:id="30" w:name="page31"/>
    <w:bookmarkEnd w:id="30"/>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increase in depreciation of tangible property and equipment is primarily due to investments in capital assets placed in service during 2025, particularly within our sustainability businesses. The increase in depletion of landfill airspace is primarily due to changes in rates from revisions in landfill estimates within our East Tier. The decrease in amortization of intangible assets is primarily due to the conclusion of amortization related to customer relationships and other intangibles acquired as a result of acquisitions during prior years within our East Tier. The increase in interest accretion on landfill and environmental remediation liabilities is primarily due to revisions in landfill estimates.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income from operations for our reportable segments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(dollars in millions):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1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East Tier</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West Tier</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Ancillary</w:t>
            </w:r>
          </w:p>
        </w:tc>
        <w:tc>
          <w:tcPr>
            <w:tcW w:w="19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Energy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152.6</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Solutions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4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8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Percentage of revenues</w:t>
            </w:r>
          </w:p>
        </w:tc>
        <w:tc>
          <w:tcPr>
            <w:tcW w:w="19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1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16.8</w:t>
            </w:r>
          </w:p>
        </w:tc>
        <w:tc>
          <w:tcPr>
            <w:tcW w:w="1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8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Percentage change does not provide a meaningful comparison.</w:t>
      </w:r>
    </w:p>
    <w:p>
      <w:pPr>
        <w:spacing w:after="0" w:line="11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significant items affecting income from operations for our segments during the first quarter of 2026, as compared to the prior year period, are summarized below:</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Collection and Disposal </w:t>
      </w:r>
      <w:r>
        <w:rPr>
          <w:rFonts w:ascii="Times New Roman" w:cs="Times New Roman" w:eastAsia="Times New Roman" w:hAnsi="Times New Roman"/>
          <w:sz w:val="18"/>
          <w:szCs w:val="18"/>
          <w:color w:val="auto"/>
        </w:rPr>
        <w:t>— Income from operations in our Collection and Disposal business increased primarily due to</w:t>
      </w:r>
    </w:p>
    <w:p>
      <w:pPr>
        <w:spacing w:after="0" w:line="29" w:lineRule="exact"/>
        <w:rPr>
          <w:sz w:val="20"/>
          <w:szCs w:val="20"/>
          <w:color w:val="auto"/>
        </w:rPr>
      </w:pPr>
    </w:p>
    <w:p>
      <w:pPr>
        <w:jc w:val="both"/>
        <w:ind w:left="60" w:right="59" w:hanging="10"/>
        <w:spacing w:after="0" w:line="255" w:lineRule="auto"/>
        <w:tabs>
          <w:tab w:leader="none" w:pos="2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from price increases, which translates into increased yield or average unit price; (ii) actions to improve efficiency and the operating costs incurred to serve our customers and (iii) a gain from a business divestiture in our West Tier. These increases were partially offset by declines in volumes primarily due to harsh winter weather.</w:t>
      </w:r>
    </w:p>
    <w:p>
      <w:pPr>
        <w:spacing w:after="0" w:line="18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Recycling Processing and Sales </w:t>
      </w:r>
      <w:r>
        <w:rPr>
          <w:rFonts w:ascii="Times New Roman" w:cs="Times New Roman" w:eastAsia="Times New Roman" w:hAnsi="Times New Roman"/>
          <w:sz w:val="18"/>
          <w:szCs w:val="18"/>
          <w:color w:val="auto"/>
        </w:rPr>
        <w:t>— Income from operations in our Recycling Processing and Sales segment remained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steady due to lower expenses from the suspension of a business engaged in accelerating plastic film and wrap recycling capabilities during 2025, and increased volumes and reduced costs from the automation of our recycling facilities as well as investments in new facilities, mostly offset by declines in commodity prices.</w:t>
      </w:r>
    </w:p>
    <w:p>
      <w:pPr>
        <w:spacing w:after="0" w:line="18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Renewable Energy </w:t>
      </w:r>
      <w:r>
        <w:rPr>
          <w:rFonts w:ascii="Times New Roman" w:cs="Times New Roman" w:eastAsia="Times New Roman" w:hAnsi="Times New Roman"/>
          <w:sz w:val="18"/>
          <w:szCs w:val="18"/>
          <w:color w:val="auto"/>
        </w:rPr>
        <w:t>— Income from operations in our Renewable Energy segment increased primarily due to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volumes driven by the completion of projects that increase the beneficial use of landfill gas sold to third parties. This increase was partially offset by a decline in RINs pricing.</w:t>
      </w:r>
    </w:p>
    <w:p>
      <w:pPr>
        <w:spacing w:after="0" w:line="17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Healthcare Solutions </w:t>
      </w:r>
      <w:r>
        <w:rPr>
          <w:rFonts w:ascii="Times New Roman" w:cs="Times New Roman" w:eastAsia="Times New Roman" w:hAnsi="Times New Roman"/>
          <w:sz w:val="18"/>
          <w:szCs w:val="18"/>
          <w:color w:val="auto"/>
        </w:rPr>
        <w:t>— The loss from operations in our Healthcare Solutions segment improved primarily due to non-recurring integration costs incurred during the prior year period along with lower costs in the current year from the realization of synergies.</w:t>
      </w:r>
    </w:p>
    <w:p>
      <w:pPr>
        <w:spacing w:after="0" w:line="22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 The loss from operations in Corporate and Other increased primarily due to (i) higher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welfare expenses, driven by a comparison to an unusually favorable first quarter in 2025 resulting from workforce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1" w:name="page32"/>
    <w:bookmarkEnd w:id="31"/>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mix changes from a large acquisition and improved vendor economics; (ii) increased technology support costs to support strategic initiatives; (iii) higher annual incentive compensation and (iv) annual wage increases.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jc w:val="both"/>
        <w:ind w:left="60" w:right="79" w:firstLine="259"/>
        <w:spacing w:after="0" w:line="266" w:lineRule="auto"/>
        <w:rPr>
          <w:sz w:val="20"/>
          <w:szCs w:val="20"/>
          <w:color w:val="auto"/>
        </w:rPr>
      </w:pPr>
      <w:r>
        <w:rPr>
          <w:rFonts w:ascii="Times New Roman" w:cs="Times New Roman" w:eastAsia="Times New Roman" w:hAnsi="Times New Roman"/>
          <w:sz w:val="18"/>
          <w:szCs w:val="18"/>
          <w:color w:val="auto"/>
        </w:rPr>
        <w:t>Our interest expense, net was $225 million and $232 million for the three months ended March 31, 2026 and 2025, respectively. The decrease is primarily due to a decrease in our average debt balances period over period.</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income tax expense and effective income tax rates were $168 million, or 18.9%, and $151 million, or 19.2%, for the three months ended March 31, 2026 and 2025, respectively. See Note 4 to the Condensed Consolidated Financial Statements for more information related to income taxes.</w:t>
      </w:r>
    </w:p>
    <w:p>
      <w:pPr>
        <w:spacing w:after="0" w:line="17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Tax Legislation </w:t>
      </w:r>
      <w:r>
        <w:rPr>
          <w:rFonts w:ascii="Times New Roman" w:cs="Times New Roman" w:eastAsia="Times New Roman" w:hAnsi="Times New Roman"/>
          <w:sz w:val="18"/>
          <w:szCs w:val="18"/>
          <w:color w:val="auto"/>
        </w:rPr>
        <w:t>— The Inflation Reduction Act of 2022 (“IRA”) contains several tax-related provisions,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(i) alternative fuel tax credits; (ii) tax incentives for investments in renewable energy production, carbon capture and other climate actions and (iii)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We secured approximately $60 million of annual pre-tax benefit through the provisions of the IRA related to alternative fuel tax credits (recorded as a reduction in our operating expense) from tax credits in 2024. The alternative fuel credit expired at the end of 2024 and will not provide any future benefit to the Company without further legislative action. With respect to the Section 48 investment tax credit, we expect our cumulative benefit to be between $400 million and $425 million, $309 million of which was recognized between 2023 and 2025 with the remainder anticipated to be realized in 2026 and 2027. Finally, in February 2026 the Internal Revenue Service issued proposed regulatory guidance clarifying qualification for the Section 45Z clean fuel production tax credit. We expect our cumulative benefit from this clean fuel production tax credit to be as much as $150 million through 2029. This expected benefit is dependent on a number of estimates and assumptions, which we continue to monitor and factor into our credit realization expectations.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consistently generates cash flow from operations that meets and exceeds our working capital needs, allows for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diverse investor base, large value of unencumbered assets and modest leverage enable it to obtain adequate financing, and refinance upcoming maturities, as necessary to meet its ongoing capital, operating, strategic and other liquidity requirements. We also have the ability to manage liquidity during periods of significant financial market disruption through temporary modification of our capital expenditure and share repurchase plans.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2" w:name="page33"/>
    <w:bookmarkEnd w:id="32"/>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and Cash Equivalents, Restricted Funds and Debt Obligations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cash and cash equivalents, restricted funds and debt balances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9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4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Restricted funds:</w:t>
            </w: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4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Insurance reserves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4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Final capping, closure, post-closure and environmental remediation funds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1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restricted funds (a)</w:t>
            </w:r>
          </w:p>
        </w:tc>
        <w:tc>
          <w:tcPr>
            <w:tcW w:w="8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gridSpan w:val="2"/>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Debt:</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portion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portion</w:t>
            </w:r>
          </w:p>
        </w:tc>
        <w:tc>
          <w:tcPr>
            <w:tcW w:w="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8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22,891</w:t>
            </w:r>
          </w:p>
        </w:tc>
        <w:tc>
          <w:tcPr>
            <w:tcW w:w="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9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and December 31, 2025, $100 million and $109 million, respectively, of these account balances were included in other current assets in our Condensed Consolidated Balance Sheets.</w:t>
      </w:r>
    </w:p>
    <w:p>
      <w:pPr>
        <w:spacing w:after="0" w:line="16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Debt — </w:t>
      </w:r>
      <w:r>
        <w:rPr>
          <w:rFonts w:ascii="Times New Roman" w:cs="Times New Roman" w:eastAsia="Times New Roman" w:hAnsi="Times New Roman"/>
          <w:sz w:val="18"/>
          <w:szCs w:val="18"/>
          <w:color w:val="auto"/>
        </w:rPr>
        <w:t>As of March 31, 2026, we had approximately $3.7 billion of debt maturing within the next 12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 $1.8 billion of tax-exempt bonds with term interest rate periods that expire within the next 12 months, which is prior to their scheduled maturities; (ii) $1.1 billion of short-term borrowings under our commercial paper program (net of related discount on issuance); (iii) $223 million of 7.1% senior notes that mature in August 2026; (iv) $359 million of 2.6% Canadian senior notes that mature in September 2026 and (v) $201 million of other debt with scheduled maturities within the next 12 months. As of March 31, 2026, we have classified $3.1 billion of debt maturing in the next 12 months as long-term because we have the intent and ability to refinance these borrowings on a long-term basis as supported by the forecasted available capacity under our $3.5 billion long-term U.S. and Canadian revolving credit facility. The remaining $641 million of debt maturing in the next 12 months is classified as current obligations.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3" w:name="page34"/>
    <w:bookmarkEnd w:id="33"/>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Guarantor Financial Information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WM Holdings, Inc. (“WM Holdings”) has fully and unconditionally guaranteed all of Waste Management, Inc.’s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19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b w:val="1"/>
          <w:bCs w:val="1"/>
          <w:color w:val="auto"/>
        </w:rPr>
        <w:t>​​​March 31, 2026 ​​​December 31, 2025</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2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5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Advances due to affiliates</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18,160</w:t>
            </w:r>
          </w:p>
        </w:tc>
      </w:tr>
      <w:tr>
        <w:trPr>
          <w:trHeight w:val="216"/>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19,733</w:t>
            </w:r>
          </w:p>
        </w:tc>
      </w:tr>
      <w:tr>
        <w:trPr>
          <w:trHeight w:val="353"/>
        </w:trPr>
        <w:tc>
          <w:tcPr>
            <w:tcW w:w="4500" w:type="dxa"/>
            <w:vAlign w:val="bottom"/>
          </w:tcPr>
          <w:p>
            <w:pPr>
              <w:spacing w:after="0"/>
              <w:rPr>
                <w:sz w:val="24"/>
                <w:szCs w:val="24"/>
                <w:color w:val="auto"/>
              </w:rPr>
            </w:pPr>
          </w:p>
        </w:tc>
        <w:tc>
          <w:tcPr>
            <w:tcW w:w="2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gridSpan w:val="4"/>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4500" w:type="dxa"/>
            <w:vAlign w:val="bottom"/>
            <w:tcBorders>
              <w:bottom w:val="single" w:sz="8" w:color="CCEEFF"/>
            </w:tcBorders>
          </w:tcPr>
          <w:p>
            <w:pPr>
              <w:spacing w:after="0"/>
              <w:rPr>
                <w:sz w:val="15"/>
                <w:szCs w:val="15"/>
                <w:color w:val="auto"/>
              </w:rPr>
            </w:pPr>
          </w:p>
        </w:tc>
        <w:tc>
          <w:tcPr>
            <w:tcW w:w="2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0" w:type="dxa"/>
            <w:vAlign w:val="bottom"/>
            <w:tcBorders>
              <w:bottom w:val="single" w:sz="8" w:color="auto"/>
            </w:tcBorders>
          </w:tcPr>
          <w:p>
            <w:pPr>
              <w:spacing w:after="0"/>
              <w:rPr>
                <w:sz w:val="15"/>
                <w:szCs w:val="15"/>
                <w:color w:val="auto"/>
              </w:rPr>
            </w:pPr>
          </w:p>
        </w:tc>
      </w:tr>
      <w:tr>
        <w:trPr>
          <w:trHeight w:val="20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Information:</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bl>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cash flows for the three months ended March 31 (in millions):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22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80" w:type="dxa"/>
            <w:vAlign w:val="bottom"/>
            <w:tcBorders>
              <w:bottom w:val="single" w:sz="8" w:color="CCEEFF"/>
            </w:tcBorders>
            <w:vMerge w:val="continue"/>
          </w:tcPr>
          <w:p>
            <w:pPr>
              <w:spacing w:after="0"/>
              <w:rPr>
                <w:sz w:val="20"/>
                <w:szCs w:val="20"/>
                <w:color w:val="auto"/>
              </w:rPr>
            </w:pPr>
          </w:p>
        </w:tc>
        <w:tc>
          <w:tcPr>
            <w:tcW w:w="20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(731)</w:t>
            </w:r>
          </w:p>
        </w:tc>
        <w:tc>
          <w:tcPr>
            <w:tcW w:w="2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197"/>
        </w:trPr>
        <w:tc>
          <w:tcPr>
            <w:tcW w:w="48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20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(821)</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 </w:t>
      </w:r>
      <w:r>
        <w:rPr>
          <w:rFonts w:ascii="Times New Roman" w:cs="Times New Roman" w:eastAsia="Times New Roman" w:hAnsi="Times New Roman"/>
          <w:sz w:val="18"/>
          <w:szCs w:val="18"/>
          <w:color w:val="auto"/>
        </w:rPr>
        <w:t>Our operating cash flows increased by $293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2026, as compared to the prior year period, primarily due to (i) higher earnings, particularly driven by our Collection and Disposal business; (ii) favorable changes in working capital, net of effects from acquisitions and divestitures and (iii) lower annual incentive compensation payments.</w:t>
      </w:r>
    </w:p>
    <w:p>
      <w:pPr>
        <w:spacing w:after="0" w:line="72"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The most significant items included in our investing cash flows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2026 and 2025 are summarized below:</w:t>
      </w:r>
    </w:p>
    <w:p>
      <w:pPr>
        <w:spacing w:after="0" w:line="158" w:lineRule="exact"/>
        <w:rPr>
          <w:sz w:val="20"/>
          <w:szCs w:val="20"/>
          <w:color w:val="auto"/>
        </w:rPr>
      </w:pPr>
    </w:p>
    <w:p>
      <w:pPr>
        <w:jc w:val="both"/>
        <w:ind w:left="720" w:right="79" w:hanging="319"/>
        <w:spacing w:after="0" w:line="261"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Expenditures — </w:t>
      </w:r>
      <w:r>
        <w:rPr>
          <w:rFonts w:ascii="Times New Roman" w:cs="Times New Roman" w:eastAsia="Times New Roman" w:hAnsi="Times New Roman"/>
          <w:sz w:val="18"/>
          <w:szCs w:val="18"/>
          <w:color w:val="auto"/>
        </w:rPr>
        <w:t>We used $650 million and $831 million for capital expenditures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2026 and 2025, respectively. The decrease in capital spending is primarily driven by (i) lower spend on collection vehicles and (ii) anticipated reductions in capital investments in our sustainability growth projects due to our transition from peak construction of this portfolio into a period of harvesting returns.</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Divestitures — </w:t>
      </w:r>
      <w:r>
        <w:rPr>
          <w:rFonts w:ascii="Times New Roman" w:cs="Times New Roman" w:eastAsia="Times New Roman" w:hAnsi="Times New Roman"/>
          <w:sz w:val="18"/>
          <w:szCs w:val="18"/>
          <w:color w:val="auto"/>
        </w:rPr>
        <w:t>Proceeds from divestitures of businesses and other assets, net of cash divested were $69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$98 million for the three months ended March 31, 2026 and 2025, respectively. Proceeds in 2026 primarily related to a business divestiture in our West Tier. Proceeds in 2025 primarily related to the sale of our Healthcare Solutions segment’s Spain and Portugal subsidiaries.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4" w:name="page35"/>
    <w:bookmarkEnd w:id="34"/>
    <w:p>
      <w:pPr>
        <w:jc w:val="both"/>
        <w:ind w:left="720" w:right="79" w:hanging="319"/>
        <w:spacing w:after="0" w:line="261"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Net — </w:t>
      </w:r>
      <w:r>
        <w:rPr>
          <w:rFonts w:ascii="Times New Roman" w:cs="Times New Roman" w:eastAsia="Times New Roman" w:hAnsi="Times New Roman"/>
          <w:sz w:val="18"/>
          <w:szCs w:val="18"/>
          <w:color w:val="auto"/>
        </w:rPr>
        <w:t>The change in other investing activities were primarily driven by changes in our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associated with a wholly-owned insurance captive. During the three months ended March 31, 2026 and 2025, we used $146 million and $92 million, respectively, of cash from restricted cash and cash equivalents to invest in available-for-sale securities.</w:t>
      </w:r>
    </w:p>
    <w:p>
      <w:pPr>
        <w:spacing w:after="0" w:line="72" w:lineRule="exact"/>
        <w:rPr>
          <w:sz w:val="20"/>
          <w:szCs w:val="20"/>
          <w:color w:val="auto"/>
        </w:rPr>
      </w:pPr>
    </w:p>
    <w:p>
      <w:pPr>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 </w:t>
      </w:r>
      <w:r>
        <w:rPr>
          <w:rFonts w:ascii="Times New Roman" w:cs="Times New Roman" w:eastAsia="Times New Roman" w:hAnsi="Times New Roman"/>
          <w:sz w:val="18"/>
          <w:szCs w:val="18"/>
          <w:color w:val="auto"/>
        </w:rPr>
        <w:t>The most significant items affecting the comparison of our financing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for the three months ended March 31, 2026 and 2025 are summarized below:</w:t>
      </w:r>
    </w:p>
    <w:p>
      <w:pPr>
        <w:spacing w:after="0" w:line="50" w:lineRule="exact"/>
        <w:rPr>
          <w:sz w:val="20"/>
          <w:szCs w:val="20"/>
          <w:color w:val="auto"/>
        </w:rPr>
      </w:pPr>
    </w:p>
    <w:p>
      <w:pPr>
        <w:ind w:left="720" w:right="79" w:hanging="319"/>
        <w:spacing w:after="0" w:line="284"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Borrowings and Repayments — </w:t>
      </w:r>
      <w:r>
        <w:rPr>
          <w:rFonts w:ascii="Times New Roman" w:cs="Times New Roman" w:eastAsia="Times New Roman" w:hAnsi="Times New Roman"/>
          <w:sz w:val="18"/>
          <w:szCs w:val="18"/>
          <w:color w:val="auto"/>
        </w:rPr>
        <w:t>The following summarizes our cash borrowings and repayments of debt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(in millions):</w:t>
      </w:r>
    </w:p>
    <w:p>
      <w:pPr>
        <w:spacing w:after="0" w:line="59"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tc>
        <w:tc>
          <w:tcPr>
            <w:tcW w:w="1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Repayments</w:t>
            </w:r>
            <w:r>
              <w:rPr>
                <w:rFonts w:ascii="Times New Roman" w:cs="Times New Roman" w:eastAsia="Times New Roman" w:hAnsi="Times New Roman"/>
                <w:sz w:val="18"/>
                <w:szCs w:val="18"/>
                <w:color w:val="auto"/>
              </w:rPr>
              <w:t>:</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notes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debt</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Net cash borrowings (repayments)</w:t>
            </w:r>
          </w:p>
        </w:tc>
        <w:tc>
          <w:tcPr>
            <w:tcW w:w="15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Refer to Note 3 to the Condensed Consolidated Financial Statements for additional information related to our debt borrowings and repayments.</w:t>
      </w:r>
    </w:p>
    <w:p>
      <w:pPr>
        <w:spacing w:after="0" w:line="52" w:lineRule="exact"/>
        <w:rPr>
          <w:sz w:val="20"/>
          <w:szCs w:val="20"/>
          <w:color w:val="auto"/>
        </w:rPr>
      </w:pPr>
    </w:p>
    <w:p>
      <w:pPr>
        <w:jc w:val="both"/>
        <w:ind w:left="720" w:right="79" w:hanging="319"/>
        <w:spacing w:after="0" w:line="267"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Stock Repurchase Program — </w:t>
      </w:r>
      <w:r>
        <w:rPr>
          <w:rFonts w:ascii="Times New Roman" w:cs="Times New Roman" w:eastAsia="Times New Roman" w:hAnsi="Times New Roman"/>
          <w:sz w:val="18"/>
          <w:szCs w:val="18"/>
          <w:color w:val="auto"/>
        </w:rPr>
        <w:t>During the three months ended March 31, 2026, we paid cash of $344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common stock repurchases. There were no share repurchases made in 2025. See Note 10 to the Condensed Consolidated Financial Statements for additional information about our share repurchase activity.</w:t>
      </w:r>
    </w:p>
    <w:p>
      <w:pPr>
        <w:spacing w:after="0" w:line="6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Dividends — </w:t>
      </w:r>
      <w:r>
        <w:rPr>
          <w:rFonts w:ascii="Times New Roman" w:cs="Times New Roman" w:eastAsia="Times New Roman" w:hAnsi="Times New Roman"/>
          <w:sz w:val="18"/>
          <w:szCs w:val="18"/>
          <w:color w:val="auto"/>
        </w:rPr>
        <w:t>For the periods presented, all dividends have been declared by our Board of Directors.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cash dividends of $385 million and $336 million during the three months ended March 31, 2026 and 2025, respectively. The increase in dividend payments is primarily due to our quarterly per share dividend increasing from $0.825 in 2025 to $0.945 in 2026.</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35" w:name="page36"/>
    <w:bookmarkEnd w:id="35"/>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calculation of free cash flow and reconciliation to net cash provided by operating activities for the three months ended March 31, 2026 and 2025 is shown in the table below (in millions) and may not be calculated the same as similarly-titled measures presented by other companies: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3"/>
          </w:tcPr>
          <w:p>
            <w:pPr>
              <w:jc w:val="right"/>
              <w:ind w:right="18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20" w:type="dxa"/>
            <w:vAlign w:val="bottom"/>
          </w:tcPr>
          <w:p>
            <w:pPr>
              <w:spacing w:after="0"/>
              <w:rPr>
                <w:sz w:val="18"/>
                <w:szCs w:val="18"/>
                <w:color w:val="auto"/>
              </w:rPr>
            </w:pPr>
          </w:p>
        </w:tc>
        <w:tc>
          <w:tcPr>
            <w:tcW w:w="6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16"/>
        </w:trPr>
        <w:tc>
          <w:tcPr>
            <w:tcW w:w="20" w:type="dxa"/>
            <w:vAlign w:val="bottom"/>
          </w:tcPr>
          <w:p>
            <w:pPr>
              <w:spacing w:after="0"/>
              <w:rPr>
                <w:sz w:val="18"/>
                <w:szCs w:val="18"/>
                <w:color w:val="auto"/>
              </w:rPr>
            </w:pPr>
          </w:p>
        </w:tc>
        <w:tc>
          <w:tcPr>
            <w:tcW w:w="6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expenditures - sustainability growth investments (a)</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9"/>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0"/>
        </w:trPr>
        <w:tc>
          <w:tcPr>
            <w:tcW w:w="20" w:type="dxa"/>
            <w:vAlign w:val="bottom"/>
          </w:tcPr>
          <w:p>
            <w:pPr>
              <w:spacing w:after="0"/>
              <w:rPr>
                <w:sz w:val="18"/>
                <w:szCs w:val="18"/>
                <w:color w:val="auto"/>
              </w:rPr>
            </w:pPr>
          </w:p>
        </w:tc>
        <w:tc>
          <w:tcPr>
            <w:tcW w:w="6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Free cash flow</w:t>
            </w:r>
          </w:p>
        </w:tc>
        <w:tc>
          <w:tcPr>
            <w:tcW w:w="6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40" w:type="dxa"/>
            <w:vAlign w:val="bottom"/>
            <w:gridSpan w:val="2"/>
          </w:tcPr>
          <w:p>
            <w:pPr>
              <w:spacing w:after="0"/>
              <w:rPr>
                <w:sz w:val="18"/>
                <w:szCs w:val="18"/>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growth investments are intended to further our sustainability leadership position by increasing recycling volumes and growing renewable natural gas generation. We expect they will deliver circular solutions for our customers and drive environmental value to the communities we serve.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as described in Item 7 of our Annual Report on Form 10-K for the year ended December 31, 2025. Actual results could differ materially from the estimates and assumptions that we use in the preparation of our financial statements.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 Trends</w:t>
      </w:r>
    </w:p>
    <w:p>
      <w:pPr>
        <w:spacing w:after="0" w:line="216" w:lineRule="exact"/>
        <w:rPr>
          <w:sz w:val="20"/>
          <w:szCs w:val="20"/>
          <w:color w:val="auto"/>
        </w:rPr>
      </w:pPr>
    </w:p>
    <w:p>
      <w:pPr>
        <w:jc w:val="both"/>
        <w:ind w:left="80" w:right="59" w:firstLine="324"/>
        <w:spacing w:after="0"/>
        <w:rPr>
          <w:sz w:val="20"/>
          <w:szCs w:val="20"/>
          <w:color w:val="auto"/>
        </w:rPr>
      </w:pPr>
      <w:r>
        <w:rPr>
          <w:rFonts w:ascii="Times New Roman" w:cs="Times New Roman" w:eastAsia="Times New Roman" w:hAnsi="Times New Roman"/>
          <w:sz w:val="18"/>
          <w:szCs w:val="18"/>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85" w:lineRule="exact"/>
        <w:rPr>
          <w:sz w:val="20"/>
          <w:szCs w:val="20"/>
          <w:color w:val="auto"/>
        </w:rPr>
      </w:pPr>
    </w:p>
    <w:p>
      <w:pPr>
        <w:jc w:val="both"/>
        <w:ind w:left="80" w:right="59" w:firstLine="324"/>
        <w:spacing w:after="0"/>
        <w:rPr>
          <w:sz w:val="20"/>
          <w:szCs w:val="20"/>
          <w:color w:val="auto"/>
        </w:rPr>
      </w:pPr>
      <w:r>
        <w:rPr>
          <w:rFonts w:ascii="Times New Roman" w:cs="Times New Roman" w:eastAsia="Times New Roman" w:hAnsi="Times New Roman"/>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85"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16" w:lineRule="exact"/>
        <w:rPr>
          <w:sz w:val="20"/>
          <w:szCs w:val="20"/>
          <w:color w:val="auto"/>
        </w:rPr>
      </w:pPr>
    </w:p>
    <w:p>
      <w:pPr>
        <w:jc w:val="both"/>
        <w:ind w:left="80" w:right="59" w:firstLine="324"/>
        <w:spacing w:after="0" w:line="235" w:lineRule="auto"/>
        <w:rPr>
          <w:sz w:val="20"/>
          <w:szCs w:val="20"/>
          <w:color w:val="auto"/>
        </w:rPr>
      </w:pPr>
      <w:r>
        <w:rPr>
          <w:rFonts w:ascii="Times New Roman" w:cs="Times New Roman" w:eastAsia="Times New Roman" w:hAnsi="Times New Roman"/>
          <w:sz w:val="18"/>
          <w:szCs w:val="18"/>
          <w:color w:val="auto"/>
        </w:rPr>
        <w:t>Variability in economic conditions, including inflation, interest rates, employment trends and supply chain reliability, can create risk and uncertainty in financial outlook. We take proactive steps to recover and mitigate inflationary cost pressures through our overall pricing efforts and by managing our costs through efficiency, labor productivity and investments in technology to automate certain aspects of our business. These efforts may not be successful for various reasons including the pace of inflation, operating cost inefficiencies, market responses and contractual limitations, such as the timing lag in our ability to recover increased costs under certain contracts that are tied to a price escalation index with a lookback provision.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6" w:name="page37"/>
    <w:bookmarkEnd w:id="36"/>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market risks as of March 31, 2026 does not materially differ from that discussed under Item 7A in our Annual Report on Form 10-K for the year ended December 31, 2025.</w:t>
      </w:r>
    </w:p>
    <w:p>
      <w:pPr>
        <w:spacing w:after="0" w:line="158"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Effectiveness of Disclosure Controls and Procedures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(as defined in Rules 13a-15(e) and 15d-15(e) of the Securities Exchange Act of 1934, as amended (the “Exchange Act”)) in ensuring that the information required to be disclosed in reports that we file or submit under the Exchange Act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March 31, 2026 (the end of the period covered by this Quarterly Report on Form 10-Q) at a reasonable assurance level.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Management, together with our CEO and CFO, evaluated the changes in our internal control over financial reporting during the quarter ended March 31, 2026. We determined that there were no changes in our internal control over financial reporting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our legal proceedings can be found under the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sections of Note 6 to the Condensed Consolidated Financial Statements.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of our Annual Report on Form 10-K for the year ended December 31,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common stock repurchases made during the first quarter of 2026 (shares in millions):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Approximate Maximum</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280" w:type="dxa"/>
            <w:vAlign w:val="bottom"/>
          </w:tcPr>
          <w:p>
            <w:pPr>
              <w:spacing w:after="0"/>
              <w:rPr>
                <w:sz w:val="16"/>
                <w:szCs w:val="16"/>
                <w:color w:val="auto"/>
              </w:rPr>
            </w:pPr>
          </w:p>
        </w:tc>
        <w:tc>
          <w:tcPr>
            <w:tcW w:w="2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28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24"/>
                <w:szCs w:val="24"/>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the Plans or Programs</w:t>
            </w:r>
          </w:p>
        </w:tc>
        <w:tc>
          <w:tcPr>
            <w:tcW w:w="0" w:type="dxa"/>
            <w:vAlign w:val="bottom"/>
          </w:tcPr>
          <w:p>
            <w:pPr>
              <w:spacing w:after="0"/>
              <w:rPr>
                <w:sz w:val="1"/>
                <w:szCs w:val="1"/>
                <w:color w:val="auto"/>
              </w:rPr>
            </w:pPr>
          </w:p>
        </w:tc>
      </w:tr>
      <w:tr>
        <w:trPr>
          <w:trHeight w:val="209"/>
        </w:trPr>
        <w:tc>
          <w:tcPr>
            <w:tcW w:w="3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31</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3.0 billion</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28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233.07</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2.8 billion</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31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238.07</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7"/>
              </w:rPr>
              <w:t>2.7 billion (a)</w:t>
            </w:r>
          </w:p>
        </w:tc>
        <w:tc>
          <w:tcPr>
            <w:tcW w:w="0" w:type="dxa"/>
            <w:vAlign w:val="bottom"/>
          </w:tcPr>
          <w:p>
            <w:pPr>
              <w:spacing w:after="0"/>
              <w:rPr>
                <w:sz w:val="1"/>
                <w:szCs w:val="1"/>
                <w:color w:val="auto"/>
              </w:rPr>
            </w:pPr>
          </w:p>
        </w:tc>
      </w:tr>
      <w:tr>
        <w:trPr>
          <w:trHeight w:val="210"/>
        </w:trPr>
        <w:tc>
          <w:tcPr>
            <w:tcW w:w="3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235.78</w:t>
            </w:r>
          </w:p>
        </w:tc>
        <w:tc>
          <w:tcPr>
            <w:tcW w:w="28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720" w:right="79" w:hanging="319"/>
        <w:spacing w:after="0" w:line="261"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 Company has authorization for $2.7 billion of future share repurchases. The amount of future share repurchases executed under our Board of Directors’ authorization is determined in management’s discretion, based on various factors, including our leverage level, net earnings, financial condition and cash required for future business plans, growth and acquisitions.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8" w:name="page39"/>
    <w:bookmarkEnd w:id="38"/>
    <w:tbl>
      <w:tblPr>
        <w:tblLayout w:type="fixed"/>
        <w:tblInd w:w="40" w:type="dxa"/>
        <w:tblCellMar>
          <w:top w:w="0" w:type="dxa"/>
          <w:left w:w="0" w:type="dxa"/>
          <w:bottom w:w="0" w:type="dxa"/>
          <w:right w:w="0" w:type="dxa"/>
        </w:tblCellMar>
      </w:tblPr>
      <w:tr>
        <w:trPr>
          <w:trHeight w:val="198"/>
        </w:trPr>
        <w:tc>
          <w:tcPr>
            <w:tcW w:w="11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Item 6. </w:t>
            </w:r>
            <w:r>
              <w:rPr>
                <w:rFonts w:ascii="Times New Roman" w:cs="Times New Roman" w:eastAsia="Times New Roman" w:hAnsi="Times New Roman"/>
                <w:sz w:val="16"/>
                <w:szCs w:val="16"/>
                <w:b w:val="1"/>
                <w:bCs w:val="1"/>
                <w:i w:val="1"/>
                <w:iCs w:val="1"/>
                <w:color w:val="auto"/>
              </w:rPr>
              <w:t>Exhibits.</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8"/>
        </w:trPr>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Exhibit No.  </w:t>
            </w: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4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90"/>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77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Form of 2026 Long Term Incentive Compensation PSU Award Agreement [Incorporated by reference to</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Exhibit 10.1 to Form 8-K filed March 6, 2026].</w:t>
              </w:r>
            </w:hyperlink>
          </w:p>
        </w:tc>
        <w:tc>
          <w:tcPr>
            <w:tcW w:w="4340" w:type="dxa"/>
            <w:vAlign w:val="bottom"/>
            <w:gridSpan w:val="8"/>
          </w:tcPr>
          <w:p>
            <w:pPr>
              <w:spacing w:after="0"/>
              <w:rPr>
                <w:sz w:val="17"/>
                <w:szCs w:val="17"/>
                <w:color w:val="auto"/>
              </w:rPr>
            </w:pPr>
          </w:p>
        </w:tc>
      </w:tr>
      <w:tr>
        <w:trPr>
          <w:trHeight w:val="31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77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Form of 2026 Long Term Incentive Compensation Stock Option Award Agreement [Incorporated by</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reference to Exhibit 10.2 to Form 8-K filed March 6, 2026].</w:t>
              </w:r>
            </w:hyperlink>
          </w:p>
        </w:tc>
        <w:tc>
          <w:tcPr>
            <w:tcW w:w="3440" w:type="dxa"/>
            <w:vAlign w:val="bottom"/>
            <w:gridSpan w:val="7"/>
          </w:tcPr>
          <w:p>
            <w:pPr>
              <w:spacing w:after="0"/>
              <w:rPr>
                <w:sz w:val="17"/>
                <w:szCs w:val="17"/>
                <w:color w:val="auto"/>
              </w:rPr>
            </w:pPr>
          </w:p>
        </w:tc>
      </w:tr>
      <w:tr>
        <w:trPr>
          <w:trHeight w:val="31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4"/>
                <w:szCs w:val="24"/>
                <w:color w:val="auto"/>
              </w:rPr>
            </w:pPr>
          </w:p>
        </w:tc>
        <w:tc>
          <w:tcPr>
            <w:tcW w:w="77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Form of 2026 Executive Officer Annual Incentive Award Agreement [Incorporated by reference to Exhibit</w:t>
              </w:r>
            </w:hyperlink>
          </w:p>
        </w:tc>
        <w:tc>
          <w:tcPr>
            <w:tcW w:w="6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gridSpan w:val="16"/>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Form 8-K filed March 6, 2026].</w:t>
              </w:r>
            </w:hyperlink>
          </w:p>
        </w:tc>
      </w:tr>
      <w:tr>
        <w:trPr>
          <w:trHeight w:val="20"/>
        </w:trPr>
        <w:tc>
          <w:tcPr>
            <w:tcW w:w="9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77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Form of 2026 Long Term Incentive Compensation RSU Award Agreement.</w:t>
            </w:r>
          </w:p>
        </w:tc>
      </w:tr>
      <w:tr>
        <w:trPr>
          <w:trHeight w:val="20"/>
        </w:trPr>
        <w:tc>
          <w:tcPr>
            <w:tcW w:w="9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4"/>
                <w:szCs w:val="24"/>
                <w:color w:val="auto"/>
              </w:rPr>
            </w:pPr>
          </w:p>
        </w:tc>
        <w:tc>
          <w:tcPr>
            <w:tcW w:w="77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Transition success bonus letter agreement dated March 13, 2026 [Incorporated by reference to Exhibit 10.1</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to Form 8-K filed March 13, 2026].</w:t>
              </w:r>
            </w:hyperlink>
          </w:p>
        </w:tc>
        <w:tc>
          <w:tcPr>
            <w:tcW w:w="5180" w:type="dxa"/>
            <w:vAlign w:val="bottom"/>
            <w:gridSpan w:val="11"/>
          </w:tcPr>
          <w:p>
            <w:pPr>
              <w:spacing w:after="0"/>
              <w:rPr>
                <w:sz w:val="17"/>
                <w:szCs w:val="17"/>
                <w:color w:val="auto"/>
              </w:rPr>
            </w:pPr>
          </w:p>
        </w:tc>
      </w:tr>
      <w:tr>
        <w:trPr>
          <w:trHeight w:val="31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24"/>
                <w:szCs w:val="24"/>
                <w:color w:val="auto"/>
              </w:rPr>
            </w:pPr>
          </w:p>
        </w:tc>
        <w:tc>
          <w:tcPr>
            <w:tcW w:w="7760" w:type="dxa"/>
            <w:vAlign w:val="bottom"/>
            <w:gridSpan w:val="16"/>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Amendment No. 2 to Seventh Amended and Restated Revolving Credit Agreement, dated as of March 20,</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2026 [Incorporated by reference to Exhibit 10.1 to Form 8-K filed March 25, 2026].</w:t>
              </w:r>
            </w:hyperlink>
          </w:p>
        </w:tc>
        <w:tc>
          <w:tcPr>
            <w:tcW w:w="168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24"/>
                <w:szCs w:val="24"/>
                <w:color w:val="auto"/>
              </w:rPr>
            </w:pPr>
          </w:p>
        </w:tc>
        <w:tc>
          <w:tcPr>
            <w:tcW w:w="77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Guarantor Subsidiary.</w:t>
            </w:r>
          </w:p>
        </w:tc>
      </w:tr>
      <w:tr>
        <w:trPr>
          <w:trHeight w:val="20"/>
        </w:trPr>
        <w:tc>
          <w:tcPr>
            <w:tcW w:w="9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77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Certification Pursuant to Rules 13a-14(a) and 15d-14(a) under the Securities Exchange Act of 1934 of</w:t>
            </w: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James C. Fish, Jr., Chief Executive Officer.</w:t>
            </w:r>
          </w:p>
        </w:tc>
        <w:tc>
          <w:tcPr>
            <w:tcW w:w="4640" w:type="dxa"/>
            <w:vAlign w:val="bottom"/>
            <w:gridSpan w:val="9"/>
          </w:tcPr>
          <w:p>
            <w:pPr>
              <w:spacing w:after="0"/>
              <w:rPr>
                <w:sz w:val="17"/>
                <w:szCs w:val="17"/>
                <w:color w:val="auto"/>
              </w:rPr>
            </w:pPr>
          </w:p>
        </w:tc>
      </w:tr>
      <w:tr>
        <w:trPr>
          <w:trHeight w:val="31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77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Certification Pursuant to Rules 13a-14(a) and 15d-14(a) under the Securities Exchange Act of 1934 of</w:t>
            </w: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David L. Reed, Executive Vice President and Chief Financial Officer.</w:t>
            </w:r>
          </w:p>
        </w:tc>
        <w:tc>
          <w:tcPr>
            <w:tcW w:w="2740" w:type="dxa"/>
            <w:vAlign w:val="bottom"/>
            <w:gridSpan w:val="6"/>
          </w:tcPr>
          <w:p>
            <w:pPr>
              <w:spacing w:after="0"/>
              <w:rPr>
                <w:sz w:val="17"/>
                <w:szCs w:val="17"/>
                <w:color w:val="auto"/>
              </w:rPr>
            </w:pPr>
          </w:p>
        </w:tc>
      </w:tr>
      <w:tr>
        <w:trPr>
          <w:trHeight w:val="31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63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§1350 of James C. Fish, Jr., Chief Executive Officer.</w:t>
            </w:r>
          </w:p>
        </w:tc>
        <w:tc>
          <w:tcPr>
            <w:tcW w:w="1380" w:type="dxa"/>
            <w:vAlign w:val="bottom"/>
            <w:gridSpan w:val="3"/>
          </w:tcPr>
          <w:p>
            <w:pPr>
              <w:spacing w:after="0"/>
              <w:rPr>
                <w:sz w:val="24"/>
                <w:szCs w:val="24"/>
                <w:color w:val="auto"/>
              </w:rPr>
            </w:pPr>
          </w:p>
        </w:tc>
      </w:tr>
      <w:tr>
        <w:trPr>
          <w:trHeight w:val="31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77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Pursuant to 18 U.S.C. §1350 of David L. Reed, Executive Vice President and Chief Financial</w:t>
            </w: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Officer.</w:t>
            </w:r>
          </w:p>
        </w:tc>
        <w:tc>
          <w:tcPr>
            <w:tcW w:w="718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4"/>
                <w:szCs w:val="24"/>
                <w:color w:val="auto"/>
              </w:rPr>
            </w:pPr>
          </w:p>
        </w:tc>
        <w:tc>
          <w:tcPr>
            <w:tcW w:w="18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940" w:type="dxa"/>
            <w:vAlign w:val="bottom"/>
            <w:gridSpan w:val="12"/>
          </w:tcPr>
          <w:p>
            <w:pPr>
              <w:spacing w:after="0"/>
              <w:rPr>
                <w:sz w:val="24"/>
                <w:szCs w:val="24"/>
                <w:color w:val="auto"/>
              </w:rPr>
            </w:pPr>
          </w:p>
        </w:tc>
      </w:tr>
      <w:tr>
        <w:trPr>
          <w:trHeight w:val="358"/>
        </w:trPr>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77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w:t>
            </w:r>
          </w:p>
        </w:tc>
      </w:tr>
      <w:tr>
        <w:trPr>
          <w:trHeight w:val="338"/>
        </w:trPr>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77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338"/>
        </w:trPr>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77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338"/>
        </w:trPr>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77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338"/>
        </w:trPr>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7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338"/>
        </w:trPr>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77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33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77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121"/>
        </w:trPr>
        <w:tc>
          <w:tcPr>
            <w:tcW w:w="180" w:type="dxa"/>
            <w:vAlign w:val="bottom"/>
            <w:tcBorders>
              <w:bottom w:val="single" w:sz="8" w:color="auto"/>
            </w:tcBorders>
            <w:gridSpan w:val="2"/>
          </w:tcPr>
          <w:p>
            <w:pPr>
              <w:spacing w:after="0"/>
              <w:rPr>
                <w:sz w:val="10"/>
                <w:szCs w:val="10"/>
                <w:color w:val="auto"/>
              </w:rPr>
            </w:pPr>
          </w:p>
        </w:tc>
        <w:tc>
          <w:tcPr>
            <w:tcW w:w="980" w:type="dxa"/>
            <w:vAlign w:val="bottom"/>
            <w:tcBorders>
              <w:bottom w:val="single" w:sz="8" w:color="auto"/>
            </w:tcBorders>
            <w:gridSpan w:val="2"/>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Filed herewith.</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4"/>
        </w:trPr>
        <w:tc>
          <w:tcPr>
            <w:tcW w:w="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740" w:type="dxa"/>
            <w:vAlign w:val="bottom"/>
            <w:gridSpan w:val="18"/>
          </w:tcPr>
          <w:p>
            <w:pPr>
              <w:ind w:left="60"/>
              <w:spacing w:after="0"/>
              <w:rPr>
                <w:sz w:val="20"/>
                <w:szCs w:val="20"/>
                <w:color w:val="auto"/>
              </w:rPr>
            </w:pPr>
            <w:r>
              <w:rPr>
                <w:rFonts w:ascii="Times New Roman" w:cs="Times New Roman" w:eastAsia="Times New Roman" w:hAnsi="Times New Roman"/>
                <w:sz w:val="13"/>
                <w:szCs w:val="13"/>
                <w:color w:val="auto"/>
              </w:rPr>
              <w:t>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DAVID L. REED</w:t>
            </w:r>
          </w:p>
        </w:tc>
      </w:tr>
      <w:tr>
        <w:trPr>
          <w:trHeight w:val="189"/>
        </w:trPr>
        <w:tc>
          <w:tcPr>
            <w:tcW w:w="340" w:type="dxa"/>
            <w:vAlign w:val="bottom"/>
          </w:tcPr>
          <w:p>
            <w:pPr>
              <w:spacing w:after="0"/>
              <w:rPr>
                <w:sz w:val="16"/>
                <w:szCs w:val="16"/>
                <w:color w:val="auto"/>
              </w:rPr>
            </w:pPr>
          </w:p>
        </w:tc>
        <w:tc>
          <w:tcPr>
            <w:tcW w:w="4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David L. Reed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43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CARROLL</w:t>
            </w:r>
          </w:p>
        </w:tc>
      </w:tr>
      <w:tr>
        <w:trPr>
          <w:trHeight w:val="211"/>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Carroll</w:t>
            </w:r>
          </w:p>
        </w:tc>
      </w:tr>
    </w:tbl>
    <w:p>
      <w:pPr>
        <w:jc w:val="center"/>
        <w:ind w:left="4840"/>
        <w:spacing w:after="0"/>
        <w:rPr>
          <w:sz w:val="20"/>
          <w:szCs w:val="20"/>
          <w:color w:val="auto"/>
        </w:rPr>
      </w:pPr>
      <w:r>
        <w:rPr>
          <w:rFonts w:ascii="Times New Roman" w:cs="Times New Roman" w:eastAsia="Times New Roman" w:hAnsi="Times New Roman"/>
          <w:sz w:val="18"/>
          <w:szCs w:val="18"/>
          <w:i w:val="1"/>
          <w:iCs w:val="1"/>
          <w:color w:val="auto"/>
        </w:rPr>
        <w:t>Vice President and</w:t>
      </w:r>
    </w:p>
    <w:p>
      <w:pPr>
        <w:spacing w:after="0" w:line="7"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9"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523240</wp:posOffset>
            </wp:positionH>
            <wp:positionV relativeFrom="page">
              <wp:posOffset>95250</wp:posOffset>
            </wp:positionV>
            <wp:extent cx="6501765" cy="81222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6501765" cy="8122285"/>
                    </a:xfrm>
                    <a:prstGeom prst="rect">
                      <a:avLst/>
                    </a:prstGeom>
                    <a:noFill/>
                  </pic:spPr>
                </pic:pic>
              </a:graphicData>
            </a:graphic>
          </wp:anchor>
        </w:drawing>
        <w:t>EXHIBIT 10.4</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1040" w:right="340"/>
        <w:spacing w:after="0" w:line="249" w:lineRule="auto"/>
        <w:rPr>
          <w:sz w:val="20"/>
          <w:szCs w:val="20"/>
          <w:color w:val="auto"/>
        </w:rPr>
      </w:pPr>
      <w:r>
        <w:rPr>
          <w:rFonts w:ascii="Arial" w:cs="Arial" w:eastAsia="Arial" w:hAnsi="Arial"/>
          <w:sz w:val="53"/>
          <w:szCs w:val="53"/>
          <w:b w:val="1"/>
          <w:bCs w:val="1"/>
          <w:color w:val="00693C"/>
        </w:rPr>
        <w:t>Long Term Incentive Compensation RSU Award Agreement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93C"/>
        </w:rPr>
        <w:t>under the</w:t>
      </w:r>
    </w:p>
    <w:p>
      <w:pPr>
        <w:spacing w:after="0" w:line="9" w:lineRule="exact"/>
        <w:rPr>
          <w:sz w:val="20"/>
          <w:szCs w:val="20"/>
          <w:color w:val="auto"/>
        </w:rPr>
      </w:pPr>
    </w:p>
    <w:p>
      <w:pPr>
        <w:jc w:val="center"/>
        <w:spacing w:after="0" w:line="269" w:lineRule="auto"/>
        <w:rPr>
          <w:sz w:val="20"/>
          <w:szCs w:val="20"/>
          <w:color w:val="auto"/>
        </w:rPr>
      </w:pPr>
      <w:r>
        <w:rPr>
          <w:rFonts w:ascii="Arial" w:cs="Arial" w:eastAsia="Arial" w:hAnsi="Arial"/>
          <w:sz w:val="43"/>
          <w:szCs w:val="43"/>
          <w:b w:val="1"/>
          <w:bCs w:val="1"/>
          <w:color w:val="00693C"/>
        </w:rPr>
        <w:t>Waste Management, Inc. 2023 Stock Incentive Plan</w:t>
      </w:r>
    </w:p>
    <w:p>
      <w:pPr>
        <w:spacing w:after="0" w:line="84"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This Award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effective as of [●]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by and between Waste Management,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(together with its Subsidiaries and Affiliates, “</w:t>
      </w:r>
      <w:r>
        <w:rPr>
          <w:rFonts w:ascii="Arial" w:cs="Arial" w:eastAsia="Arial" w:hAnsi="Arial"/>
          <w:sz w:val="20"/>
          <w:szCs w:val="20"/>
          <w:b w:val="1"/>
          <w:bCs w:val="1"/>
          <w:i w:val="1"/>
          <w:iCs w:val="1"/>
          <w:color w:val="auto"/>
        </w:rPr>
        <w:t>WM</w:t>
      </w:r>
      <w:r>
        <w:rPr>
          <w:rFonts w:ascii="Arial" w:cs="Arial" w:eastAsia="Arial" w:hAnsi="Arial"/>
          <w:sz w:val="20"/>
          <w:szCs w:val="20"/>
          <w:color w:val="auto"/>
        </w:rPr>
        <w:t>”), and [●] (“</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At all times, the Awards under this Agreement are subject to the terms and conditions of the Waste Management, Inc. 2023 Stock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xml:space="preserve">”), this Agreement, and all applicable administrative interpretations and practices. A copy of the Plan and the Plan Prospectus is available online at </w:t>
      </w:r>
      <w:r>
        <w:rPr>
          <w:rFonts w:ascii="Arial" w:cs="Arial" w:eastAsia="Arial" w:hAnsi="Arial"/>
          <w:sz w:val="20"/>
          <w:szCs w:val="20"/>
          <w:color w:val="4F6228"/>
        </w:rPr>
        <w:t>www.benefits.ml.com</w:t>
      </w:r>
      <w:r>
        <w:rPr>
          <w:rFonts w:ascii="Arial" w:cs="Arial" w:eastAsia="Arial" w:hAnsi="Arial"/>
          <w:sz w:val="20"/>
          <w:szCs w:val="20"/>
          <w:color w:val="auto"/>
        </w:rPr>
        <w:t xml:space="preserve"> . Please also see the Company’s Form 10-K included in its most recent Annual Report, available on the Investor Relations page of </w:t>
      </w:r>
      <w:r>
        <w:rPr>
          <w:rFonts w:ascii="Arial" w:cs="Arial" w:eastAsia="Arial" w:hAnsi="Arial"/>
          <w:sz w:val="20"/>
          <w:szCs w:val="20"/>
          <w:color w:val="4F6228"/>
        </w:rPr>
        <w:t>www.wm.com</w:t>
      </w:r>
      <w:r>
        <w:rPr>
          <w:rFonts w:ascii="Arial" w:cs="Arial" w:eastAsia="Arial" w:hAnsi="Arial"/>
          <w:sz w:val="20"/>
          <w:szCs w:val="20"/>
          <w:color w:val="auto"/>
        </w:rPr>
        <w:t xml:space="preserve"> under Financial Reporting – Annual Reports, for information about the Company. By executing this Agreement, you consent to receipt of the Plan, the Prospectus, and the Annual Reports by electronic access as set forth in this paragraph.</w:t>
      </w:r>
    </w:p>
    <w:p>
      <w:pPr>
        <w:spacing w:after="0" w:line="174"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color w:val="auto"/>
        </w:rPr>
        <w:t xml:space="preserve">You must execute this Agreement in full, online in accordance with the instructions below, prior to </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in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order for this Agreement to become effective.</w:t>
      </w:r>
      <w:r>
        <w:rPr>
          <w:rFonts w:ascii="Arial" w:cs="Arial" w:eastAsia="Arial" w:hAnsi="Arial"/>
          <w:sz w:val="20"/>
          <w:szCs w:val="20"/>
          <w:b w:val="1"/>
          <w:bCs w:val="1"/>
          <w:color w:val="auto"/>
        </w:rPr>
        <w:t xml:space="preserve"> If you do not execute this Agreement by correctly following the instructions below, your Awards may be cancelled.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93C"/>
        </w:rPr>
        <w:t>Important Instructions for Executing this Agreement</w:t>
      </w:r>
    </w:p>
    <w:p>
      <w:pPr>
        <w:spacing w:after="0" w:line="233"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If you are a new equity award participant, you must open a Limited Individual Investor Account (LIIA) before you can accept your awards. To open your LIIA, log in to www.benefits.ml.com at the secure website maintained by the third-party stock administrator. Once logged in, follow the prompts to “Open a Brokerage Account”. When you have successfully created your account, follow the online instructions, and complete all the steps required to accept the award.</w:t>
      </w:r>
    </w:p>
    <w:p>
      <w:pPr>
        <w:spacing w:after="0" w:line="175" w:lineRule="exact"/>
        <w:rPr>
          <w:sz w:val="20"/>
          <w:szCs w:val="20"/>
          <w:color w:val="auto"/>
        </w:rPr>
      </w:pPr>
    </w:p>
    <w:p>
      <w:pPr>
        <w:jc w:val="both"/>
        <w:ind w:right="420"/>
        <w:spacing w:after="0" w:line="241" w:lineRule="auto"/>
        <w:rPr>
          <w:sz w:val="20"/>
          <w:szCs w:val="20"/>
          <w:color w:val="auto"/>
        </w:rPr>
      </w:pPr>
      <w:r>
        <w:rPr>
          <w:rFonts w:ascii="Arial" w:cs="Arial" w:eastAsia="Arial" w:hAnsi="Arial"/>
          <w:sz w:val="20"/>
          <w:szCs w:val="20"/>
          <w:color w:val="auto"/>
        </w:rPr>
        <w:t>If you have previously received a stock-based incentive award, log on to www.benefits.ml.com at the secure website maintained by the third-party stock administrator. Follow the online instructions and complete all the steps required to accept the award.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93C"/>
        </w:rPr>
        <w:t>Restricted Stock Units</w:t>
      </w:r>
    </w:p>
    <w:p>
      <w:pPr>
        <w:spacing w:after="0" w:line="233" w:lineRule="exact"/>
        <w:rPr>
          <w:sz w:val="20"/>
          <w:szCs w:val="20"/>
          <w:color w:val="auto"/>
        </w:rPr>
      </w:pPr>
    </w:p>
    <w:p>
      <w:pPr>
        <w:ind w:left="340" w:right="40" w:hanging="332"/>
        <w:spacing w:after="0" w:line="237"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RSU Grant</w:t>
      </w:r>
      <w:r>
        <w:rPr>
          <w:rFonts w:ascii="Arial" w:cs="Arial" w:eastAsia="Arial" w:hAnsi="Arial"/>
          <w:sz w:val="20"/>
          <w:szCs w:val="20"/>
          <w:color w:val="auto"/>
        </w:rPr>
        <w:t>. The Company hereby grants to Employee a Restricted Stock Unit Award of [●] units. RSUs are notational units of measurement denominated in shares of common stock of the Company, $.01 par value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Each RSU represents a hypothetical share of Common Stock. Upon your timely execution of this Agreement, WM will credit your RSUs to an unfunded bookkeeping account for you.</w:t>
      </w:r>
    </w:p>
    <w:p>
      <w:pPr>
        <w:spacing w:after="0" w:line="171" w:lineRule="exact"/>
        <w:rPr>
          <w:rFonts w:ascii="Arial" w:cs="Arial" w:eastAsia="Arial" w:hAnsi="Arial"/>
          <w:sz w:val="20"/>
          <w:szCs w:val="20"/>
          <w:color w:val="auto"/>
        </w:rPr>
      </w:pPr>
    </w:p>
    <w:p>
      <w:pPr>
        <w:ind w:left="340" w:hanging="332"/>
        <w:spacing w:after="0"/>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Vesting of RSUs</w:t>
      </w:r>
      <w:r>
        <w:rPr>
          <w:rFonts w:ascii="Arial" w:cs="Arial" w:eastAsia="Arial" w:hAnsi="Arial"/>
          <w:sz w:val="20"/>
          <w:szCs w:val="20"/>
          <w:color w:val="auto"/>
        </w:rPr>
        <w:t>. The RSUs granted by this Agreement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RSU Awards</w:t>
      </w:r>
      <w:r>
        <w:rPr>
          <w:rFonts w:ascii="Arial" w:cs="Arial" w:eastAsia="Arial" w:hAnsi="Arial"/>
          <w:sz w:val="20"/>
          <w:szCs w:val="20"/>
          <w:color w:val="auto"/>
        </w:rPr>
        <w:t>”) vest on a pro-rata basis over a</w:t>
      </w:r>
    </w:p>
    <w:p>
      <w:pPr>
        <w:spacing w:after="0" w:line="4" w:lineRule="exact"/>
        <w:rPr>
          <w:sz w:val="20"/>
          <w:szCs w:val="20"/>
          <w:color w:val="auto"/>
        </w:rPr>
      </w:pPr>
    </w:p>
    <w:p>
      <w:pPr>
        <w:ind w:left="340" w:right="20"/>
        <w:spacing w:after="0" w:line="225" w:lineRule="auto"/>
        <w:rPr>
          <w:sz w:val="20"/>
          <w:szCs w:val="20"/>
          <w:color w:val="auto"/>
        </w:rPr>
      </w:pPr>
      <w:r>
        <w:rPr>
          <w:rFonts w:ascii="Arial" w:cs="Arial" w:eastAsia="Arial" w:hAnsi="Arial"/>
          <w:sz w:val="20"/>
          <w:szCs w:val="20"/>
          <w:color w:val="auto"/>
        </w:rPr>
        <w:t>three-year period following the Grant Date, with 34% of the RSUs vesting on the first anniversary of the Grant Date, 33% of the RSU vesting on the second anniversary of the Grant Date, and the remaining 33% of the RSUs vesting on the third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473710</wp:posOffset>
            </wp:positionV>
            <wp:extent cx="656653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40"/>
          </w:cols>
          <w:pgMar w:left="1020" w:top="543" w:right="1039" w:bottom="1440" w:gutter="0" w:footer="0" w:header="0"/>
        </w:sectPr>
      </w:pPr>
    </w:p>
    <w:bookmarkStart w:id="41" w:name="page42"/>
    <w:bookmarkEnd w:id="41"/>
    <w:p>
      <w:pPr>
        <w:ind w:left="340" w:right="60"/>
        <w:spacing w:after="0" w:line="239"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8156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6501765" cy="8156575"/>
                    </a:xfrm>
                    <a:prstGeom prst="rect">
                      <a:avLst/>
                    </a:prstGeom>
                    <a:noFill/>
                  </pic:spPr>
                </pic:pic>
              </a:graphicData>
            </a:graphic>
          </wp:anchor>
        </w:drawing>
        <w:t xml:space="preserve">anniversary of the Grant Date. The dates of vesting are the </w:t>
      </w:r>
      <w:r>
        <w:rPr>
          <w:rFonts w:ascii="Arial" w:cs="Arial" w:eastAsia="Arial" w:hAnsi="Arial"/>
          <w:sz w:val="20"/>
          <w:szCs w:val="20"/>
          <w:b w:val="1"/>
          <w:bCs w:val="1"/>
          <w:i w:val="1"/>
          <w:iCs w:val="1"/>
          <w:color w:val="auto"/>
        </w:rPr>
        <w:t>Vesting Dates</w:t>
      </w:r>
      <w:r>
        <w:rPr>
          <w:rFonts w:ascii="Arial" w:cs="Arial" w:eastAsia="Arial" w:hAnsi="Arial"/>
          <w:sz w:val="20"/>
          <w:szCs w:val="20"/>
          <w:color w:val="auto"/>
        </w:rPr>
        <w:t xml:space="preserve">. Except as otherwise provided herein, your RSUs generally vest only if you are continuously employed from the Grant Date to each Vesting Date, subject to the exceptions discussed below. The period from the Grant Date (inclusive) to the last Vesting Date is the </w:t>
      </w:r>
      <w:r>
        <w:rPr>
          <w:rFonts w:ascii="Arial" w:cs="Arial" w:eastAsia="Arial" w:hAnsi="Arial"/>
          <w:sz w:val="20"/>
          <w:szCs w:val="20"/>
          <w:b w:val="1"/>
          <w:bCs w:val="1"/>
          <w:i w:val="1"/>
          <w:iCs w:val="1"/>
          <w:color w:val="auto"/>
        </w:rPr>
        <w:t>Restriction Period</w:t>
      </w:r>
      <w:r>
        <w:rPr>
          <w:rFonts w:ascii="Arial" w:cs="Arial" w:eastAsia="Arial" w:hAnsi="Arial"/>
          <w:sz w:val="20"/>
          <w:szCs w:val="20"/>
          <w:color w:val="auto"/>
        </w:rPr>
        <w:t>.</w:t>
      </w:r>
    </w:p>
    <w:p>
      <w:pPr>
        <w:spacing w:after="0" w:line="164" w:lineRule="exact"/>
        <w:rPr>
          <w:sz w:val="20"/>
          <w:szCs w:val="20"/>
          <w:color w:val="auto"/>
        </w:rPr>
      </w:pPr>
    </w:p>
    <w:p>
      <w:pPr>
        <w:ind w:left="340" w:right="220" w:hanging="332"/>
        <w:spacing w:after="0" w:line="237" w:lineRule="auto"/>
        <w:tabs>
          <w:tab w:leader="none" w:pos="340" w:val="left"/>
        </w:tabs>
        <w:numPr>
          <w:ilvl w:val="0"/>
          <w:numId w:val="27"/>
        </w:numPr>
        <w:rPr>
          <w:rFonts w:ascii="Arial" w:cs="Arial" w:eastAsia="Arial" w:hAnsi="Arial"/>
          <w:sz w:val="20"/>
          <w:szCs w:val="20"/>
          <w:i w:val="1"/>
          <w:iCs w:val="1"/>
          <w:color w:val="auto"/>
        </w:rPr>
      </w:pPr>
      <w:r>
        <w:rPr>
          <w:rFonts w:ascii="Arial" w:cs="Arial" w:eastAsia="Arial" w:hAnsi="Arial"/>
          <w:sz w:val="20"/>
          <w:szCs w:val="20"/>
          <w:u w:val="single" w:color="auto"/>
          <w:color w:val="auto"/>
        </w:rPr>
        <w:t>Timing and Form of Payment of RSU Award</w:t>
      </w:r>
      <w:r>
        <w:rPr>
          <w:rFonts w:ascii="Arial" w:cs="Arial" w:eastAsia="Arial" w:hAnsi="Arial"/>
          <w:sz w:val="20"/>
          <w:szCs w:val="20"/>
          <w:color w:val="auto"/>
        </w:rPr>
        <w:t>. Upon vesting, each RSU is converted to one share of Common Stock, free of any restrictions. WM will deliver the shares of Common Stock to you and make payment of the corresponding Dividend Equivalents as soon as administratively feasible (and no later than 74 days) following the Vesting Dates.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00693C"/>
        </w:rPr>
        <w:t>Important Award Details</w:t>
      </w:r>
    </w:p>
    <w:p>
      <w:pPr>
        <w:spacing w:after="0" w:line="233"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Your Awards under this Agreement are subject to important terms and conditions set forth below. Please read them carefully and seek advice from your own legal and tax advisors before executing this Agreement.</w:t>
      </w:r>
    </w:p>
    <w:p>
      <w:pPr>
        <w:spacing w:after="0" w:line="155" w:lineRule="exact"/>
        <w:rPr>
          <w:sz w:val="20"/>
          <w:szCs w:val="20"/>
          <w:color w:val="auto"/>
        </w:rPr>
      </w:pPr>
    </w:p>
    <w:p>
      <w:pPr>
        <w:ind w:left="340" w:right="40" w:hanging="332"/>
        <w:spacing w:after="0" w:line="232" w:lineRule="auto"/>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Upon Employee’s death or disability (as determined by the Committee and within the meaning of Section 409A of the Internal Revenue Code of 1986, as amended, and the Treasury Regulations issued thereunder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and specifically Section 409A (a)(2)(C) (“</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Employee (or in the case of Employee’s death, Employee’s beneficiary) shall be entitled to immediate vesting in full of all RSUs under this Agreement (and related unpaid Dividend Equivalents attributable to the time period from the Grant Date to the time of such immediate vesting), which shall be issued and paid within 74 days following the date of such death or Disability, as applicable.</w:t>
      </w:r>
    </w:p>
    <w:p>
      <w:pPr>
        <w:spacing w:after="0" w:line="171" w:lineRule="exact"/>
        <w:rPr>
          <w:rFonts w:ascii="Arial" w:cs="Arial" w:eastAsia="Arial" w:hAnsi="Arial"/>
          <w:sz w:val="20"/>
          <w:szCs w:val="20"/>
          <w:color w:val="auto"/>
        </w:rPr>
      </w:pPr>
    </w:p>
    <w:p>
      <w:pPr>
        <w:ind w:left="340" w:hanging="332"/>
        <w:spacing w:after="0"/>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Involuntary Termination of Employment Without Cause by WM</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60" w:right="40" w:hanging="328"/>
        <w:spacing w:after="0" w:line="231" w:lineRule="auto"/>
        <w:tabs>
          <w:tab w:leader="none" w:pos="660"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Involuntary Termination without Cause</w:t>
      </w:r>
      <w:r>
        <w:rPr>
          <w:rFonts w:ascii="Arial" w:cs="Arial" w:eastAsia="Arial" w:hAnsi="Arial"/>
          <w:sz w:val="20"/>
          <w:szCs w:val="20"/>
          <w:color w:val="auto"/>
        </w:rPr>
        <w:t>. Upon Employee’s involuntary Termination of Employment by WM without Cause, Employee shall be entitled to the amount of unvested RSUs and any related Dividend Equivalents on such RSUs through the Vesting Dates that Employee would have been entitled to under this Agreement if Employee had remained employed until the Vesting Dates multiplied by the fraction which has as its numerator the total number of days that Employee was employed by WM during the period beginning on the Grant Date and ending on the date of Termination of Employment and has as its denominator 1096, which shall be issued and paid no later than 74 days following the normal Vesting Dates.</w:t>
      </w:r>
    </w:p>
    <w:p>
      <w:pPr>
        <w:spacing w:after="0" w:line="173" w:lineRule="exact"/>
        <w:rPr>
          <w:rFonts w:ascii="Arial" w:cs="Arial" w:eastAsia="Arial" w:hAnsi="Arial"/>
          <w:sz w:val="20"/>
          <w:szCs w:val="20"/>
          <w:color w:val="auto"/>
        </w:rPr>
      </w:pPr>
    </w:p>
    <w:p>
      <w:pPr>
        <w:ind w:left="660" w:right="80" w:hanging="328"/>
        <w:spacing w:after="0" w:line="230" w:lineRule="auto"/>
        <w:tabs>
          <w:tab w:leader="none" w:pos="660"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Upon Employee’s Retirement, Employee shall be entitled to the amount of RSUs and any related Dividend Equivalents on such RSUs through the Vesting Dates that Employee would have been entitled to under this Agreement if Employee had remained employed until the first Vesting Date multiplied by the fraction which has as its numerator the total number of days that Employee was employed by WM during the calendar year in which the Grant Date occurred and has as its denominator 365, which shall be issued and paid no later than 74 days following the normal Vesting Dates. To illustrate the preceding sentence, if Employee retires on or after the first day of the calendar year following the calendar year in which the Grant Date occurs, he or she shall be entitled to receive a full payout at such time.</w:t>
      </w:r>
    </w:p>
    <w:p>
      <w:pPr>
        <w:spacing w:after="0" w:line="176" w:lineRule="exact"/>
        <w:rPr>
          <w:rFonts w:ascii="Arial" w:cs="Arial" w:eastAsia="Arial" w:hAnsi="Arial"/>
          <w:sz w:val="20"/>
          <w:szCs w:val="20"/>
          <w:color w:val="auto"/>
        </w:rPr>
      </w:pPr>
    </w:p>
    <w:p>
      <w:pPr>
        <w:ind w:left="660" w:right="20" w:hanging="328"/>
        <w:spacing w:after="0" w:line="234" w:lineRule="auto"/>
        <w:tabs>
          <w:tab w:leader="none" w:pos="660" w:val="left"/>
        </w:tabs>
        <w:numPr>
          <w:ilvl w:val="1"/>
          <w:numId w:val="28"/>
        </w:numPr>
        <w:rPr>
          <w:rFonts w:ascii="Arial" w:cs="Arial" w:eastAsia="Arial" w:hAnsi="Arial"/>
          <w:sz w:val="20"/>
          <w:szCs w:val="20"/>
          <w:color w:val="auto"/>
        </w:rPr>
      </w:pPr>
      <w:r>
        <w:rPr>
          <w:rFonts w:ascii="Arial" w:cs="Arial" w:eastAsia="Arial" w:hAnsi="Arial"/>
          <w:sz w:val="20"/>
          <w:szCs w:val="20"/>
          <w:color w:val="auto"/>
        </w:rPr>
        <w:t>In the event Employee is employed by a subsidiary of the Company that is sold by the Company in a transaction (i) that would not constitute a Corporate Change of the Company, but (ii) that would constitute a Corporate Change of the subsidiary with the subsidiary substituted for Company thereunder, such transaction shall be deemed to constitute an involuntary Termination of Employment by WM without Cause for purposes of this paragraph 2 as of the effective date of such Transaction.</w:t>
      </w:r>
    </w:p>
    <w:p>
      <w:pPr>
        <w:spacing w:after="0" w:line="174" w:lineRule="exact"/>
        <w:rPr>
          <w:rFonts w:ascii="Arial" w:cs="Arial" w:eastAsia="Arial" w:hAnsi="Arial"/>
          <w:sz w:val="20"/>
          <w:szCs w:val="20"/>
          <w:color w:val="auto"/>
        </w:rPr>
      </w:pPr>
    </w:p>
    <w:p>
      <w:pPr>
        <w:ind w:left="660" w:hanging="328"/>
        <w:spacing w:after="0"/>
        <w:tabs>
          <w:tab w:leader="none" w:pos="660" w:val="left"/>
        </w:tabs>
        <w:numPr>
          <w:ilvl w:val="1"/>
          <w:numId w:val="28"/>
        </w:numPr>
        <w:rPr>
          <w:rFonts w:ascii="Arial" w:cs="Arial" w:eastAsia="Arial" w:hAnsi="Arial"/>
          <w:sz w:val="20"/>
          <w:szCs w:val="20"/>
          <w:color w:val="auto"/>
        </w:rPr>
      </w:pPr>
      <w:r>
        <w:rPr>
          <w:rFonts w:ascii="Arial" w:cs="Arial" w:eastAsia="Arial" w:hAnsi="Arial"/>
          <w:sz w:val="20"/>
          <w:szCs w:val="20"/>
          <w:color w:val="auto"/>
        </w:rPr>
        <w:t>The following terms shall have the meanings set forth below for purposes of this Agreement:</w:t>
      </w:r>
    </w:p>
    <w:p>
      <w:pPr>
        <w:spacing w:after="0" w:line="202" w:lineRule="exact"/>
        <w:rPr>
          <w:rFonts w:ascii="Arial" w:cs="Arial" w:eastAsia="Arial" w:hAnsi="Arial"/>
          <w:sz w:val="20"/>
          <w:szCs w:val="20"/>
          <w:color w:val="auto"/>
        </w:rPr>
      </w:pPr>
    </w:p>
    <w:p>
      <w:pPr>
        <w:ind w:left="880"/>
        <w:spacing w:after="0"/>
        <w:rPr>
          <w:rFonts w:ascii="Arial" w:cs="Arial" w:eastAsia="Arial" w:hAnsi="Arial"/>
          <w:sz w:val="20"/>
          <w:szCs w:val="20"/>
          <w:color w:val="auto"/>
        </w:rPr>
      </w:pPr>
      <w:r>
        <w:rPr>
          <w:rFonts w:ascii="Arial" w:cs="Arial" w:eastAsia="Arial" w:hAnsi="Arial"/>
          <w:sz w:val="20"/>
          <w:szCs w:val="20"/>
          <w:color w:val="auto"/>
        </w:rPr>
        <w:t xml:space="preserve">i.   </w:t>
      </w:r>
      <w:r>
        <w:rPr>
          <w:rFonts w:ascii="Arial" w:cs="Arial" w:eastAsia="Arial" w:hAnsi="Arial"/>
          <w:sz w:val="20"/>
          <w:szCs w:val="20"/>
          <w:b w:val="1"/>
          <w:bCs w:val="1"/>
          <w:i w:val="1"/>
          <w:iCs w:val="1"/>
          <w:color w:val="auto"/>
        </w:rPr>
        <w:t>Retirement</w:t>
      </w:r>
      <w:r>
        <w:rPr>
          <w:rFonts w:ascii="Arial" w:cs="Arial" w:eastAsia="Arial" w:hAnsi="Arial"/>
          <w:sz w:val="20"/>
          <w:szCs w:val="20"/>
          <w:color w:val="auto"/>
        </w:rPr>
        <w:t xml:space="preserve"> means Termination of Employment due to the voluntary resignation of employment</w:t>
      </w:r>
    </w:p>
    <w:p>
      <w:pPr>
        <w:spacing w:after="0" w:line="4" w:lineRule="exact"/>
        <w:rPr>
          <w:sz w:val="20"/>
          <w:szCs w:val="20"/>
          <w:color w:val="auto"/>
        </w:rPr>
      </w:pPr>
    </w:p>
    <w:p>
      <w:pPr>
        <w:ind w:left="1300" w:right="60"/>
        <w:spacing w:after="0" w:line="225" w:lineRule="auto"/>
        <w:rPr>
          <w:sz w:val="20"/>
          <w:szCs w:val="20"/>
          <w:color w:val="auto"/>
        </w:rPr>
      </w:pPr>
      <w:r>
        <w:rPr>
          <w:rFonts w:ascii="Arial" w:cs="Arial" w:eastAsia="Arial" w:hAnsi="Arial"/>
          <w:sz w:val="20"/>
          <w:szCs w:val="20"/>
          <w:color w:val="auto"/>
        </w:rPr>
        <w:t>by Employee, after Employee (1) has reached age 55 or greater; (2) has a sum of age plus years of Service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473710</wp:posOffset>
            </wp:positionV>
            <wp:extent cx="656653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40"/>
          </w:cols>
          <w:pgMar w:left="1020" w:top="1022" w:right="1039" w:bottom="1440" w:gutter="0" w:footer="0" w:header="0"/>
        </w:sectPr>
      </w:pPr>
    </w:p>
    <w:bookmarkStart w:id="42" w:name="page43"/>
    <w:bookmarkEnd w:id="42"/>
    <w:p>
      <w:pPr>
        <w:ind w:left="1292"/>
        <w:spacing w:after="0" w:line="23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82162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6501765" cy="8216265"/>
                    </a:xfrm>
                    <a:prstGeom prst="rect">
                      <a:avLst/>
                    </a:prstGeom>
                    <a:noFill/>
                  </pic:spPr>
                </pic:pic>
              </a:graphicData>
            </a:graphic>
          </wp:anchor>
        </w:drawing>
        <w:t xml:space="preserve">(as defined in paragraph ii. below) with WM equal to 65 or greater; and (3) has completed at least 5 consecutive full years of Service with WM during the 5-year period immediately preceding the resignation; </w:t>
      </w:r>
      <w:r>
        <w:rPr>
          <w:rFonts w:ascii="Arial" w:cs="Arial" w:eastAsia="Arial" w:hAnsi="Arial"/>
          <w:sz w:val="20"/>
          <w:szCs w:val="20"/>
          <w:u w:val="single" w:color="auto"/>
          <w:color w:val="auto"/>
        </w:rPr>
        <w:t>provided</w:t>
      </w:r>
      <w:r>
        <w:rPr>
          <w:rFonts w:ascii="Arial" w:cs="Arial" w:eastAsia="Arial" w:hAnsi="Arial"/>
          <w:sz w:val="20"/>
          <w:szCs w:val="20"/>
          <w:color w:val="auto"/>
        </w:rPr>
        <w:t>, that Employee is not receiving severance benefits pursuant to the severance pay plans of WM.</w:t>
      </w:r>
    </w:p>
    <w:p>
      <w:pPr>
        <w:spacing w:after="0" w:line="172" w:lineRule="exact"/>
        <w:rPr>
          <w:sz w:val="20"/>
          <w:szCs w:val="20"/>
          <w:color w:val="auto"/>
        </w:rPr>
      </w:pPr>
    </w:p>
    <w:p>
      <w:pPr>
        <w:ind w:left="1292" w:right="80" w:hanging="463"/>
        <w:spacing w:after="0" w:line="231" w:lineRule="auto"/>
        <w:tabs>
          <w:tab w:leader="none" w:pos="1292" w:val="left"/>
        </w:tabs>
        <w:numPr>
          <w:ilvl w:val="2"/>
          <w:numId w:val="2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Service </w:t>
      </w:r>
      <w:r>
        <w:rPr>
          <w:rFonts w:ascii="Arial" w:cs="Arial" w:eastAsia="Arial" w:hAnsi="Arial"/>
          <w:sz w:val="20"/>
          <w:szCs w:val="20"/>
          <w:color w:val="auto"/>
        </w:rPr>
        <w:t>is measured from Employee’s original date of hire by WM, except as provided below.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case of a break of employment by 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173" w:lineRule="exact"/>
        <w:rPr>
          <w:rFonts w:ascii="Arial" w:cs="Arial" w:eastAsia="Arial" w:hAnsi="Arial"/>
          <w:sz w:val="20"/>
          <w:szCs w:val="20"/>
          <w:color w:val="auto"/>
        </w:rPr>
      </w:pPr>
    </w:p>
    <w:p>
      <w:pPr>
        <w:ind w:left="1292" w:right="40" w:hanging="507"/>
        <w:spacing w:after="0" w:line="232" w:lineRule="auto"/>
        <w:tabs>
          <w:tab w:leader="none" w:pos="1292" w:val="left"/>
        </w:tabs>
        <w:numPr>
          <w:ilvl w:val="2"/>
          <w:numId w:val="2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Termination of Employment </w:t>
      </w:r>
      <w:r>
        <w:rPr>
          <w:rFonts w:ascii="Arial" w:cs="Arial" w:eastAsia="Arial" w:hAnsi="Arial"/>
          <w:sz w:val="20"/>
          <w:szCs w:val="20"/>
          <w:color w:val="auto"/>
        </w:rPr>
        <w:t>means the termination of Employee’s employment or other service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relationship with WM as determined by the Committee.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p>
      <w:pPr>
        <w:spacing w:after="0" w:line="171" w:lineRule="exact"/>
        <w:rPr>
          <w:rFonts w:ascii="Arial" w:cs="Arial" w:eastAsia="Arial" w:hAnsi="Arial"/>
          <w:sz w:val="20"/>
          <w:szCs w:val="20"/>
          <w:color w:val="auto"/>
        </w:rPr>
      </w:pPr>
    </w:p>
    <w:p>
      <w:pPr>
        <w:ind w:left="1292" w:right="60" w:hanging="503"/>
        <w:spacing w:after="0" w:line="229" w:lineRule="auto"/>
        <w:tabs>
          <w:tab w:leader="none" w:pos="1292" w:val="left"/>
        </w:tabs>
        <w:numPr>
          <w:ilvl w:val="2"/>
          <w:numId w:val="2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Cause </w:t>
      </w:r>
      <w:r>
        <w:rPr>
          <w:rFonts w:ascii="Arial" w:cs="Arial" w:eastAsia="Arial" w:hAnsi="Arial"/>
          <w:sz w:val="20"/>
          <w:szCs w:val="20"/>
          <w:color w:val="auto"/>
        </w:rPr>
        <w:t>means any of the following: (1) willful or deliberate and continual refusal to materially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perform Employee’s duties reasonably 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 (2) breach of any statutory or common law duty of loyalty to WM; (3) Employee has been convicted of, or pleaded </w:t>
      </w:r>
      <w:r>
        <w:rPr>
          <w:rFonts w:ascii="Arial" w:cs="Arial" w:eastAsia="Arial" w:hAnsi="Arial"/>
          <w:sz w:val="20"/>
          <w:szCs w:val="20"/>
          <w:i w:val="1"/>
          <w:iCs w:val="1"/>
          <w:color w:val="auto"/>
        </w:rPr>
        <w:t>nolo contendre</w:t>
      </w:r>
      <w:r>
        <w:rPr>
          <w:rFonts w:ascii="Arial" w:cs="Arial" w:eastAsia="Arial" w:hAnsi="Arial"/>
          <w:sz w:val="20"/>
          <w:szCs w:val="20"/>
          <w:color w:val="auto"/>
        </w:rPr>
        <w:t xml:space="preserve"> to, any felony; (4) Employee willfully or intentionally caused material injury to WM, its property, or its assets; (5) Employee disclosed to unauthorized person(s) proprietary or confidential information of WM that causes a material injury to WM; or (6) any material violation or a repeated and willful violation of WM’s policies or procedures, including but not limited to, WM’s Code of Business Conduct and Ethics (or any successor policy) then in effect.</w:t>
      </w:r>
    </w:p>
    <w:p>
      <w:pPr>
        <w:spacing w:after="0" w:line="178" w:lineRule="exact"/>
        <w:rPr>
          <w:rFonts w:ascii="Arial" w:cs="Arial" w:eastAsia="Arial" w:hAnsi="Arial"/>
          <w:sz w:val="20"/>
          <w:szCs w:val="20"/>
          <w:color w:val="auto"/>
        </w:rPr>
      </w:pPr>
    </w:p>
    <w:p>
      <w:pPr>
        <w:ind w:left="732" w:right="140" w:hanging="327"/>
        <w:spacing w:after="0" w:line="248" w:lineRule="auto"/>
        <w:tabs>
          <w:tab w:leader="none" w:pos="732" w:val="left"/>
        </w:tabs>
        <w:numPr>
          <w:ilvl w:val="1"/>
          <w:numId w:val="30"/>
        </w:numPr>
        <w:rPr>
          <w:rFonts w:ascii="Arial" w:cs="Arial" w:eastAsia="Arial" w:hAnsi="Arial"/>
          <w:sz w:val="19"/>
          <w:szCs w:val="19"/>
          <w:color w:val="auto"/>
        </w:rPr>
      </w:pPr>
      <w:r>
        <w:rPr>
          <w:rFonts w:ascii="Arial" w:cs="Arial" w:eastAsia="Arial" w:hAnsi="Arial"/>
          <w:sz w:val="19"/>
          <w:szCs w:val="19"/>
          <w:color w:val="auto"/>
        </w:rPr>
        <w:t>In order to receive any of the benefits upon termination described above in paragraphs 1 and 2, Employee (or, if applicable, Employee’s estate) must first (x) execute and not revoke a general release of claims in favor of WM and its affiliates in a form that is acceptable to WM and which has become effective and irrevocable prior to the payment date set forth above (or such earlier deadline set by WM and (y) continue to abide by all ongoing obligations to WM under any restrictive covenant agreement.</w:t>
      </w:r>
    </w:p>
    <w:p>
      <w:pPr>
        <w:spacing w:after="0" w:line="167" w:lineRule="exact"/>
        <w:rPr>
          <w:rFonts w:ascii="Arial" w:cs="Arial" w:eastAsia="Arial" w:hAnsi="Arial"/>
          <w:sz w:val="19"/>
          <w:szCs w:val="19"/>
          <w:color w:val="auto"/>
        </w:rPr>
      </w:pPr>
    </w:p>
    <w:p>
      <w:pPr>
        <w:ind w:left="332" w:right="100" w:hanging="332"/>
        <w:spacing w:after="0" w:line="232" w:lineRule="auto"/>
        <w:tabs>
          <w:tab w:leader="none" w:pos="332"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for Other Reasons</w:t>
      </w:r>
      <w:r>
        <w:rPr>
          <w:rFonts w:ascii="Arial" w:cs="Arial" w:eastAsia="Arial" w:hAnsi="Arial"/>
          <w:sz w:val="20"/>
          <w:szCs w:val="20"/>
          <w:color w:val="auto"/>
        </w:rPr>
        <w:t>. Except as provided in paragraphs 1 through 2 above and 5 below, Employee must be an employee of WM continuously from the Grant Date through the close of business on last day of the Restriction Period to be entitled to receive payment of any RSU Awards. Upon Termination of Employment on or before the lapse of the Restriction Period, for any reason other than termination that would qualify Employee for payout under paragraphs 1 through 2 above and 5 below, Employee shall immediately forfeit all unvested RSUs and any related Dividend Equivalents, without the payment of any consideration by WM.</w:t>
      </w:r>
    </w:p>
    <w:p>
      <w:pPr>
        <w:spacing w:after="0" w:line="171" w:lineRule="exact"/>
        <w:rPr>
          <w:rFonts w:ascii="Arial" w:cs="Arial" w:eastAsia="Arial" w:hAnsi="Arial"/>
          <w:sz w:val="20"/>
          <w:szCs w:val="20"/>
          <w:color w:val="auto"/>
        </w:rPr>
      </w:pPr>
    </w:p>
    <w:p>
      <w:pPr>
        <w:ind w:left="332" w:hanging="332"/>
        <w:spacing w:after="0"/>
        <w:tabs>
          <w:tab w:leader="none" w:pos="332"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Recoupment Provisions</w:t>
      </w:r>
    </w:p>
    <w:p>
      <w:pPr>
        <w:spacing w:after="0" w:line="202" w:lineRule="exact"/>
        <w:rPr>
          <w:rFonts w:ascii="Arial" w:cs="Arial" w:eastAsia="Arial" w:hAnsi="Arial"/>
          <w:sz w:val="20"/>
          <w:szCs w:val="20"/>
          <w:color w:val="auto"/>
        </w:rPr>
      </w:pPr>
    </w:p>
    <w:p>
      <w:pPr>
        <w:ind w:left="732" w:hanging="327"/>
        <w:spacing w:after="0"/>
        <w:tabs>
          <w:tab w:leader="none" w:pos="732" w:val="left"/>
        </w:tabs>
        <w:numPr>
          <w:ilvl w:val="1"/>
          <w:numId w:val="31"/>
        </w:numPr>
        <w:rPr>
          <w:rFonts w:ascii="Arial" w:cs="Arial" w:eastAsia="Arial" w:hAnsi="Arial"/>
          <w:sz w:val="20"/>
          <w:szCs w:val="20"/>
          <w:color w:val="auto"/>
        </w:rPr>
      </w:pPr>
      <w:r>
        <w:rPr>
          <w:rFonts w:ascii="Arial" w:cs="Arial" w:eastAsia="Arial" w:hAnsi="Arial"/>
          <w:sz w:val="20"/>
          <w:szCs w:val="20"/>
          <w:u w:val="single" w:color="auto"/>
          <w:color w:val="auto"/>
        </w:rPr>
        <w:t>Clawback Policy</w:t>
      </w:r>
    </w:p>
    <w:p>
      <w:pPr>
        <w:spacing w:after="0" w:line="202" w:lineRule="exact"/>
        <w:rPr>
          <w:rFonts w:ascii="Arial" w:cs="Arial" w:eastAsia="Arial" w:hAnsi="Arial"/>
          <w:sz w:val="20"/>
          <w:szCs w:val="20"/>
          <w:color w:val="auto"/>
        </w:rPr>
      </w:pPr>
    </w:p>
    <w:p>
      <w:pPr>
        <w:ind w:left="1292" w:hanging="419"/>
        <w:spacing w:after="0"/>
        <w:tabs>
          <w:tab w:leader="none" w:pos="1292" w:val="left"/>
        </w:tabs>
        <w:numPr>
          <w:ilvl w:val="2"/>
          <w:numId w:val="31"/>
        </w:numPr>
        <w:rPr>
          <w:rFonts w:ascii="Arial" w:cs="Arial" w:eastAsia="Arial" w:hAnsi="Arial"/>
          <w:sz w:val="20"/>
          <w:szCs w:val="20"/>
          <w:color w:val="auto"/>
        </w:rPr>
      </w:pPr>
      <w:r>
        <w:rPr>
          <w:rFonts w:ascii="Arial" w:cs="Arial" w:eastAsia="Arial" w:hAnsi="Arial"/>
          <w:sz w:val="20"/>
          <w:szCs w:val="20"/>
          <w:color w:val="auto"/>
        </w:rPr>
        <w:t>Notwithstanding any provisions in the Plan or this Agreement to the contrary, any portion of the</w:t>
      </w:r>
    </w:p>
    <w:p>
      <w:pPr>
        <w:spacing w:after="0" w:line="4" w:lineRule="exact"/>
        <w:rPr>
          <w:sz w:val="20"/>
          <w:szCs w:val="20"/>
          <w:color w:val="auto"/>
        </w:rPr>
      </w:pPr>
    </w:p>
    <w:p>
      <w:pPr>
        <w:ind w:left="1292" w:right="460"/>
        <w:spacing w:after="0" w:line="225" w:lineRule="auto"/>
        <w:rPr>
          <w:sz w:val="20"/>
          <w:szCs w:val="20"/>
          <w:color w:val="auto"/>
        </w:rPr>
      </w:pPr>
      <w:r>
        <w:rPr>
          <w:rFonts w:ascii="Arial" w:cs="Arial" w:eastAsia="Arial" w:hAnsi="Arial"/>
          <w:sz w:val="20"/>
          <w:szCs w:val="20"/>
          <w:color w:val="auto"/>
        </w:rPr>
        <w:t>payments and benefits provided under this Agreement or the sale of any shares of Common Stock issued hereunder shall be subject to the Waste Management, Inc. Clawback Policy, adopted by the</w:t>
      </w:r>
    </w:p>
    <w:p>
      <w:pPr>
        <w:spacing w:after="0" w:line="1"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473710</wp:posOffset>
            </wp:positionV>
            <wp:extent cx="656653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12"/>
          </w:cols>
          <w:pgMar w:left="1028" w:top="1022" w:right="1059" w:bottom="1440" w:gutter="0" w:footer="0" w:header="0"/>
        </w:sectPr>
      </w:pPr>
    </w:p>
    <w:bookmarkStart w:id="43" w:name="page44"/>
    <w:bookmarkEnd w:id="43"/>
    <w:p>
      <w:pPr>
        <w:ind w:left="1292"/>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83534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6501765" cy="8353425"/>
                    </a:xfrm>
                    <a:prstGeom prst="rect">
                      <a:avLst/>
                    </a:prstGeom>
                    <a:noFill/>
                  </pic:spPr>
                </pic:pic>
              </a:graphicData>
            </a:graphic>
          </wp:anchor>
        </w:drawing>
        <w:t>Committee of the Board on August 21, 2023, (as may be amended from time to time, the</w:t>
      </w:r>
    </w:p>
    <w:p>
      <w:pPr>
        <w:spacing w:after="0" w:line="4" w:lineRule="exact"/>
        <w:rPr>
          <w:sz w:val="20"/>
          <w:szCs w:val="20"/>
          <w:color w:val="auto"/>
        </w:rPr>
      </w:pPr>
    </w:p>
    <w:p>
      <w:pPr>
        <w:ind w:left="1292" w:right="2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Clawback Policy</w:t>
      </w:r>
      <w:r>
        <w:rPr>
          <w:rFonts w:ascii="Arial" w:cs="Arial" w:eastAsia="Arial" w:hAnsi="Arial"/>
          <w:sz w:val="20"/>
          <w:szCs w:val="20"/>
          <w:color w:val="auto"/>
        </w:rPr>
        <w:t>”) and any other clawback or recovery policy adopted by the Committee or the Board from time to time, including, without limitation, any such policy adopted in accordance with the requirements of the Dodd-Frank Wall Street Reform and Consumer Protection Act of 2010 or any rule or regulation of the SEC or New York Stock Exchange. Additionally, notwithstanding the terms of any of the organizational documents of WM, any corporate policy, or any contract between Employee and WM, Employee hereby acknowledges and agrees that Employee will not be entitled to (i) indemnification for any liability (including any amounts owed by Employee in a judgment or settlement in connection with any action taken by the Committee or the Board to enforce the Clawback Policy) (such action, a “</w:t>
      </w:r>
      <w:r>
        <w:rPr>
          <w:rFonts w:ascii="Arial" w:cs="Arial" w:eastAsia="Arial" w:hAnsi="Arial"/>
          <w:sz w:val="20"/>
          <w:szCs w:val="20"/>
          <w:b w:val="1"/>
          <w:bCs w:val="1"/>
          <w:i w:val="1"/>
          <w:iCs w:val="1"/>
          <w:color w:val="auto"/>
        </w:rPr>
        <w:t>Clawback Proceeding</w:t>
      </w:r>
      <w:r>
        <w:rPr>
          <w:rFonts w:ascii="Arial" w:cs="Arial" w:eastAsia="Arial" w:hAnsi="Arial"/>
          <w:sz w:val="20"/>
          <w:szCs w:val="20"/>
          <w:color w:val="auto"/>
        </w:rPr>
        <w:t>”) or loss (including judgments, fines, taxes, penalties or amounts paid in settlement by or on behalf of Employee incurred by Employee in connection with or as a result of any Clawback Proceeding) or (ii) indemnification or advancement of any expenses (including attorneys’ fees) from WM incurred by Employee in connection any Clawback Proceeding; provided, however, if Employee is successful on the merits in the defense of any claim asserted against Employee in a Clawback Proceeding, Employee shall be indemnified for the expenses (including attorneys' fees) Employee reasonably incurred to defend such claim. Employee knowingly, voluntarily and intentionally waives, and agrees not to asset any claims regarding, any and all rights to indemnification, advancement of expenses and other rights from WM to which Employee is now or may become entitled under any indemnity agreement or other contract between Employee and WM, the organizational documents of WM and the General Corporation Law of the State of Delaware, in each case to the extent such waiver and agreement is necessary to comply with applicable law or give effect to the preceding provisions of this paragraph.</w:t>
      </w:r>
    </w:p>
    <w:p>
      <w:pPr>
        <w:spacing w:after="0" w:line="186" w:lineRule="exact"/>
        <w:rPr>
          <w:sz w:val="20"/>
          <w:szCs w:val="20"/>
          <w:color w:val="auto"/>
        </w:rPr>
      </w:pPr>
    </w:p>
    <w:p>
      <w:pPr>
        <w:ind w:left="732" w:hanging="327"/>
        <w:spacing w:after="0"/>
        <w:tabs>
          <w:tab w:leader="none" w:pos="732" w:val="left"/>
        </w:tabs>
        <w:numPr>
          <w:ilvl w:val="2"/>
          <w:numId w:val="32"/>
        </w:numPr>
        <w:rPr>
          <w:rFonts w:ascii="Arial" w:cs="Arial" w:eastAsia="Arial" w:hAnsi="Arial"/>
          <w:sz w:val="20"/>
          <w:szCs w:val="20"/>
          <w:color w:val="auto"/>
        </w:rPr>
      </w:pPr>
      <w:r>
        <w:rPr>
          <w:rFonts w:ascii="Arial" w:cs="Arial" w:eastAsia="Arial" w:hAnsi="Arial"/>
          <w:sz w:val="20"/>
          <w:szCs w:val="20"/>
          <w:u w:val="single" w:color="auto"/>
          <w:color w:val="auto"/>
        </w:rPr>
        <w:t>Repayment of RSU Award in the Event of Misconduct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292" w:right="40" w:hanging="419"/>
        <w:spacing w:after="0" w:line="241" w:lineRule="auto"/>
        <w:tabs>
          <w:tab w:leader="none" w:pos="1292" w:val="left"/>
        </w:tabs>
        <w:numPr>
          <w:ilvl w:val="3"/>
          <w:numId w:val="32"/>
        </w:numPr>
        <w:rPr>
          <w:rFonts w:ascii="Arial" w:cs="Arial" w:eastAsia="Arial" w:hAnsi="Arial"/>
          <w:sz w:val="19"/>
          <w:szCs w:val="19"/>
          <w:color w:val="auto"/>
        </w:rPr>
      </w:pPr>
      <w:r>
        <w:rPr>
          <w:rFonts w:ascii="Arial" w:cs="Arial" w:eastAsia="Arial" w:hAnsi="Arial"/>
          <w:sz w:val="19"/>
          <w:szCs w:val="19"/>
          <w:color w:val="auto"/>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rFonts w:ascii="Arial" w:cs="Arial" w:eastAsia="Arial" w:hAnsi="Arial"/>
          <w:sz w:val="19"/>
          <w:szCs w:val="19"/>
          <w:b w:val="1"/>
          <w:bCs w:val="1"/>
          <w:i w:val="1"/>
          <w:iCs w:val="1"/>
          <w:color w:val="auto"/>
        </w:rPr>
        <w:t>Misconduct</w:t>
      </w:r>
      <w:r>
        <w:rPr>
          <w:rFonts w:ascii="Arial" w:cs="Arial" w:eastAsia="Arial" w:hAnsi="Arial"/>
          <w:sz w:val="19"/>
          <w:szCs w:val="19"/>
          <w:color w:val="auto"/>
        </w:rPr>
        <w:t xml:space="preserve"> means any act or failure to act by any employee of WM that</w:t>
      </w:r>
    </w:p>
    <w:p>
      <w:pPr>
        <w:spacing w:after="0" w:line="1" w:lineRule="exact"/>
        <w:rPr>
          <w:rFonts w:ascii="Arial" w:cs="Arial" w:eastAsia="Arial" w:hAnsi="Arial"/>
          <w:sz w:val="19"/>
          <w:szCs w:val="19"/>
          <w:color w:val="auto"/>
        </w:rPr>
      </w:pPr>
    </w:p>
    <w:p>
      <w:pPr>
        <w:ind w:left="1292"/>
        <w:spacing w:after="0" w:line="244" w:lineRule="auto"/>
        <w:rPr>
          <w:rFonts w:ascii="Arial" w:cs="Arial" w:eastAsia="Arial" w:hAnsi="Arial"/>
          <w:sz w:val="19"/>
          <w:szCs w:val="19"/>
          <w:color w:val="auto"/>
        </w:rPr>
      </w:pPr>
      <w:r>
        <w:rPr>
          <w:rFonts w:ascii="Arial" w:cs="Arial" w:eastAsia="Arial" w:hAnsi="Arial"/>
          <w:sz w:val="19"/>
          <w:szCs w:val="19"/>
          <w:color w:val="auto"/>
        </w:rPr>
        <w:t xml:space="preserve">(i) caused or was intended to cause a violation of WM’s policies or the WM code of conduct, generally accepted accounting principles or any applicable laws in effect at the time of the act or failure to act in question and that (i) materially increased the value of the payment or RSU Award received by Employee under this Agreement. The Committee may, in its sole discretion, delegate the determination of Misconduct to an independent third party (either a law firm or an accounting firm, hereinafter referred to as </w:t>
      </w:r>
      <w:r>
        <w:rPr>
          <w:rFonts w:ascii="Arial" w:cs="Arial" w:eastAsia="Arial" w:hAnsi="Arial"/>
          <w:sz w:val="19"/>
          <w:szCs w:val="19"/>
          <w:b w:val="1"/>
          <w:bCs w:val="1"/>
          <w:i w:val="1"/>
          <w:iCs w:val="1"/>
          <w:color w:val="auto"/>
        </w:rPr>
        <w:t>Independent Third Party</w:t>
      </w:r>
      <w:r>
        <w:rPr>
          <w:rFonts w:ascii="Arial" w:cs="Arial" w:eastAsia="Arial" w:hAnsi="Arial"/>
          <w:sz w:val="19"/>
          <w:szCs w:val="19"/>
          <w:color w:val="auto"/>
        </w:rPr>
        <w:t>) appointed by the Committee.</w:t>
      </w:r>
    </w:p>
    <w:p>
      <w:pPr>
        <w:spacing w:after="0" w:line="161" w:lineRule="exact"/>
        <w:rPr>
          <w:rFonts w:ascii="Arial" w:cs="Arial" w:eastAsia="Arial" w:hAnsi="Arial"/>
          <w:sz w:val="19"/>
          <w:szCs w:val="19"/>
          <w:color w:val="auto"/>
        </w:rPr>
      </w:pPr>
    </w:p>
    <w:p>
      <w:pPr>
        <w:ind w:left="1292" w:right="80" w:hanging="463"/>
        <w:spacing w:after="0" w:line="234" w:lineRule="auto"/>
        <w:tabs>
          <w:tab w:leader="none" w:pos="1292" w:val="left"/>
        </w:tabs>
        <w:numPr>
          <w:ilvl w:val="3"/>
          <w:numId w:val="32"/>
        </w:numPr>
        <w:rPr>
          <w:rFonts w:ascii="Arial" w:cs="Arial" w:eastAsia="Arial" w:hAnsi="Arial"/>
          <w:sz w:val="20"/>
          <w:szCs w:val="20"/>
          <w:color w:val="auto"/>
        </w:rPr>
      </w:pPr>
      <w:r>
        <w:rPr>
          <w:rFonts w:ascii="Arial" w:cs="Arial" w:eastAsia="Arial" w:hAnsi="Arial"/>
          <w:sz w:val="20"/>
          <w:szCs w:val="20"/>
          <w:color w:val="auto"/>
        </w:rPr>
        <w:t>Following a determination of Misconduct by Employee, Employee may dispute such determination pursuant to binding arbitration as set forth under “General Terms” provided, however, that if Employee is determined to have benefited from, but not engaged in, Misconduct, Employee will have no right to dispute such determination and such determination shall be conclusive and binding.</w:t>
      </w:r>
    </w:p>
    <w:p>
      <w:pPr>
        <w:spacing w:after="0" w:line="174" w:lineRule="exact"/>
        <w:rPr>
          <w:rFonts w:ascii="Arial" w:cs="Arial" w:eastAsia="Arial" w:hAnsi="Arial"/>
          <w:sz w:val="20"/>
          <w:szCs w:val="20"/>
          <w:color w:val="auto"/>
        </w:rPr>
      </w:pPr>
    </w:p>
    <w:p>
      <w:pPr>
        <w:ind w:left="1292" w:right="480" w:hanging="507"/>
        <w:spacing w:after="0" w:line="241" w:lineRule="auto"/>
        <w:tabs>
          <w:tab w:leader="none" w:pos="1292" w:val="left"/>
        </w:tabs>
        <w:numPr>
          <w:ilvl w:val="3"/>
          <w:numId w:val="32"/>
        </w:numPr>
        <w:rPr>
          <w:rFonts w:ascii="Arial" w:cs="Arial" w:eastAsia="Arial" w:hAnsi="Arial"/>
          <w:sz w:val="20"/>
          <w:szCs w:val="20"/>
          <w:color w:val="auto"/>
        </w:rPr>
      </w:pPr>
      <w:r>
        <w:rPr>
          <w:rFonts w:ascii="Arial" w:cs="Arial" w:eastAsia="Arial" w:hAnsi="Arial"/>
          <w:sz w:val="20"/>
          <w:szCs w:val="20"/>
          <w:color w:val="auto"/>
        </w:rPr>
        <w:t>WM must initiate recovery pursuant to this paragraph 4 by the earliest of (i) one year after discovery of alleged Misconduct, or (ii) the second anniversary of Employee’s Termination of Employment.</w:t>
      </w:r>
    </w:p>
    <w:p>
      <w:pPr>
        <w:spacing w:after="0" w:line="171" w:lineRule="exact"/>
        <w:rPr>
          <w:rFonts w:ascii="Arial" w:cs="Arial" w:eastAsia="Arial" w:hAnsi="Arial"/>
          <w:sz w:val="20"/>
          <w:szCs w:val="20"/>
          <w:color w:val="auto"/>
        </w:rPr>
      </w:pPr>
    </w:p>
    <w:p>
      <w:pPr>
        <w:ind w:left="1292" w:right="660" w:hanging="503"/>
        <w:spacing w:after="0" w:line="241" w:lineRule="auto"/>
        <w:tabs>
          <w:tab w:leader="none" w:pos="1292" w:val="left"/>
        </w:tabs>
        <w:numPr>
          <w:ilvl w:val="3"/>
          <w:numId w:val="32"/>
        </w:numPr>
        <w:rPr>
          <w:rFonts w:ascii="Arial" w:cs="Arial" w:eastAsia="Arial" w:hAnsi="Arial"/>
          <w:sz w:val="20"/>
          <w:szCs w:val="20"/>
          <w:color w:val="auto"/>
        </w:rPr>
      </w:pPr>
      <w:r>
        <w:rPr>
          <w:rFonts w:ascii="Arial" w:cs="Arial" w:eastAsia="Arial" w:hAnsi="Arial"/>
          <w:sz w:val="20"/>
          <w:szCs w:val="20"/>
          <w:color w:val="auto"/>
        </w:rPr>
        <w:t>The provisions of this paragraph 4, without any implication as to any other provision of this Agreement, shall survive the expiration or termination of this Agreement and Employee’s employment.</w:t>
      </w:r>
    </w:p>
    <w:p>
      <w:pPr>
        <w:spacing w:after="0" w:line="171" w:lineRule="exact"/>
        <w:rPr>
          <w:rFonts w:ascii="Arial" w:cs="Arial" w:eastAsia="Arial" w:hAnsi="Arial"/>
          <w:sz w:val="20"/>
          <w:szCs w:val="20"/>
          <w:color w:val="auto"/>
        </w:rPr>
      </w:pPr>
    </w:p>
    <w:p>
      <w:pPr>
        <w:ind w:left="332" w:hanging="332"/>
        <w:spacing w:after="0"/>
        <w:tabs>
          <w:tab w:leader="none" w:pos="332"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Acceleration upon Corporate Change</w:t>
      </w:r>
      <w:r>
        <w:rPr>
          <w:rFonts w:ascii="Arial" w:cs="Arial" w:eastAsia="Arial" w:hAnsi="Arial"/>
          <w:sz w:val="20"/>
          <w:szCs w:val="20"/>
          <w:color w:val="auto"/>
        </w:rPr>
        <w:t>. Overriding any other inconsistent terms of this Agreement:</w:t>
      </w:r>
    </w:p>
    <w:p>
      <w:pPr>
        <w:spacing w:after="0" w:line="202" w:lineRule="exact"/>
        <w:rPr>
          <w:rFonts w:ascii="Arial" w:cs="Arial" w:eastAsia="Arial" w:hAnsi="Arial"/>
          <w:sz w:val="20"/>
          <w:szCs w:val="20"/>
          <w:color w:val="auto"/>
        </w:rPr>
      </w:pPr>
    </w:p>
    <w:p>
      <w:pPr>
        <w:ind w:left="652" w:right="260" w:hanging="328"/>
        <w:spacing w:after="0" w:line="231" w:lineRule="auto"/>
        <w:tabs>
          <w:tab w:leader="none" w:pos="652" w:val="left"/>
        </w:tabs>
        <w:numPr>
          <w:ilvl w:val="1"/>
          <w:numId w:val="33"/>
        </w:numPr>
        <w:rPr>
          <w:rFonts w:ascii="Arial" w:cs="Arial" w:eastAsia="Arial" w:hAnsi="Arial"/>
          <w:sz w:val="20"/>
          <w:szCs w:val="20"/>
          <w:color w:val="auto"/>
        </w:rPr>
      </w:pPr>
      <w:r>
        <w:rPr>
          <w:rFonts w:ascii="Arial" w:cs="Arial" w:eastAsia="Arial" w:hAnsi="Arial"/>
          <w:sz w:val="20"/>
          <w:szCs w:val="20"/>
          <w:color w:val="auto"/>
        </w:rPr>
        <w:t>If there is a Corporate Change prior to the close of the Restriction Period, all outstanding but unvested RSUs will be immediately vested in full and, along with all associated Dividend Equivalents up to the original Vesting</w:t>
      </w:r>
    </w:p>
    <w:p>
      <w:pPr>
        <w:sectPr>
          <w:pgSz w:w="11900" w:h="16838" w:orient="portrait"/>
          <w:cols w:equalWidth="0" w:num="1">
            <w:col w:w="9832"/>
          </w:cols>
          <w:pgMar w:left="1028" w:top="1022" w:right="1039" w:bottom="1440" w:gutter="0" w:footer="0" w:header="0"/>
        </w:sectPr>
      </w:pPr>
    </w:p>
    <w:p>
      <w:pPr>
        <w:spacing w:after="0" w:line="2"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473710</wp:posOffset>
            </wp:positionV>
            <wp:extent cx="65665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832"/>
          </w:cols>
          <w:pgMar w:left="1028" w:top="1022" w:right="1039" w:bottom="1440" w:gutter="0" w:footer="0" w:header="0"/>
          <w:type w:val="continuous"/>
        </w:sectPr>
      </w:pPr>
    </w:p>
    <w:bookmarkStart w:id="44" w:name="page45"/>
    <w:bookmarkEnd w:id="44"/>
    <w:p>
      <w:pPr>
        <w:ind w:left="652"/>
        <w:spacing w:after="0" w:line="23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3690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501765" cy="3690620"/>
                    </a:xfrm>
                    <a:prstGeom prst="rect">
                      <a:avLst/>
                    </a:prstGeom>
                    <a:noFill/>
                  </pic:spPr>
                </pic:pic>
              </a:graphicData>
            </a:graphic>
          </wp:anchor>
        </w:drawing>
        <w:t>Dates, will be due and payable within 74 days following such original Vesting Dates, unless the successor entity assumes all RSU Awards granted under the Plan and converts the awards to equivalent grants in the successor effective as of the Corporate Change. If the successor entity so assumes and converts all RSU Awards granted under the Plan, upon Employee’s involuntary Termination of Employment without Cause during the Window Period or upon Employee’s Retirement, death or Disability, then all outstanding but unvested RSUs (or the equivalent grant in the successor entity) and the associated Dividend Equivalents through such date will become immediately vested in full as of such event and paid (i) in the case of death or Disability, within 74 days of such time or (ii) in the case of Retirement or involuntary Termination of Employment without Cause, within 74 days following the original Vesting Dates.</w:t>
      </w:r>
    </w:p>
    <w:p>
      <w:pPr>
        <w:spacing w:after="0" w:line="172" w:lineRule="exact"/>
        <w:rPr>
          <w:sz w:val="20"/>
          <w:szCs w:val="20"/>
          <w:color w:val="auto"/>
        </w:rPr>
      </w:pPr>
    </w:p>
    <w:p>
      <w:pPr>
        <w:ind w:left="652" w:right="80" w:hanging="328"/>
        <w:spacing w:after="0" w:line="241" w:lineRule="auto"/>
        <w:tabs>
          <w:tab w:leader="none" w:pos="652" w:val="left"/>
        </w:tabs>
        <w:numPr>
          <w:ilvl w:val="1"/>
          <w:numId w:val="3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Window Period </w:t>
      </w:r>
      <w:r>
        <w:rPr>
          <w:rFonts w:ascii="Arial" w:cs="Arial" w:eastAsia="Arial" w:hAnsi="Arial"/>
          <w:sz w:val="20"/>
          <w:szCs w:val="20"/>
          <w:color w:val="auto"/>
        </w:rPr>
        <w:t>means the period beginning on the date occurring six (6) months immediately prior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date on which a Corporate Change first occurs and ending on the second anniversary of the date on which a Corporate Change occurs.</w:t>
      </w:r>
    </w:p>
    <w:p>
      <w:pPr>
        <w:spacing w:after="0" w:line="171" w:lineRule="exact"/>
        <w:rPr>
          <w:rFonts w:ascii="Arial" w:cs="Arial" w:eastAsia="Arial" w:hAnsi="Arial"/>
          <w:sz w:val="20"/>
          <w:szCs w:val="20"/>
          <w:color w:val="auto"/>
        </w:rPr>
      </w:pPr>
    </w:p>
    <w:p>
      <w:pPr>
        <w:ind w:left="332" w:right="40" w:hanging="332"/>
        <w:spacing w:after="0" w:line="232" w:lineRule="auto"/>
        <w:tabs>
          <w:tab w:leader="none" w:pos="332"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The Company will pay Dividend Equivalents with respect to RSUs as soon as administratively feasible (and no later than 74 days) following the original Vesting Dates. The Company will make such payment in a lump sum cash amount for RSU Award Dividend Equivalents based on the number of RSUs vested multiplied by the per share quarterly dividend payments made to stockholders of the Company’s Common Stock during the Restriction Period (without any interest or compounding). Any accumulated and unpaid Dividend Equivalents attributable to RSUs that do not vest or that are cancelled or forfeited will not be paid and are immediately forfeited upon cancellation or forfeiture of the RSUs.</w:t>
      </w:r>
    </w:p>
    <w:p>
      <w:pPr>
        <w:spacing w:after="0" w:line="172"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485140</wp:posOffset>
            </wp:positionV>
            <wp:extent cx="656653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12"/>
          </w:cols>
          <w:pgMar w:left="1028" w:top="1022" w:right="1059" w:bottom="1440" w:gutter="0" w:footer="0" w:header="0"/>
        </w:sectPr>
      </w:pPr>
    </w:p>
    <w:bookmarkStart w:id="45" w:name="page46"/>
    <w:bookmarkEnd w:id="45"/>
    <w:p>
      <w:pPr>
        <w:spacing w:after="0" w:line="2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77450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6501765" cy="7745095"/>
                    </a:xfrm>
                    <a:prstGeom prst="rect">
                      <a:avLst/>
                    </a:prstGeom>
                    <a:noFill/>
                  </pic:spPr>
                </pic:pic>
              </a:graphicData>
            </a:graphic>
          </wp:anchor>
        </w:drawing>
      </w:r>
    </w:p>
    <w:p>
      <w:pPr>
        <w:jc w:val="center"/>
        <w:ind w:right="-331"/>
        <w:spacing w:after="0"/>
        <w:rPr>
          <w:sz w:val="20"/>
          <w:szCs w:val="20"/>
          <w:color w:val="auto"/>
        </w:rPr>
      </w:pPr>
      <w:r>
        <w:rPr>
          <w:rFonts w:ascii="Arial" w:cs="Arial" w:eastAsia="Arial" w:hAnsi="Arial"/>
          <w:sz w:val="29"/>
          <w:szCs w:val="29"/>
          <w:b w:val="1"/>
          <w:bCs w:val="1"/>
          <w:color w:val="00693C"/>
        </w:rPr>
        <w:t>General Terms</w:t>
      </w:r>
    </w:p>
    <w:p>
      <w:pPr>
        <w:spacing w:after="0" w:line="233" w:lineRule="exact"/>
        <w:rPr>
          <w:sz w:val="20"/>
          <w:szCs w:val="20"/>
          <w:color w:val="auto"/>
        </w:rPr>
      </w:pPr>
    </w:p>
    <w:p>
      <w:pPr>
        <w:ind w:left="332" w:hanging="332"/>
        <w:spacing w:after="0"/>
        <w:tabs>
          <w:tab w:leader="none" w:pos="332"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52" w:right="100" w:hanging="328"/>
        <w:spacing w:after="0" w:line="234" w:lineRule="auto"/>
        <w:tabs>
          <w:tab w:leader="none" w:pos="652" w:val="left"/>
        </w:tabs>
        <w:numPr>
          <w:ilvl w:val="1"/>
          <w:numId w:val="36"/>
        </w:numPr>
        <w:rPr>
          <w:rFonts w:ascii="Arial" w:cs="Arial" w:eastAsia="Arial" w:hAnsi="Arial"/>
          <w:sz w:val="20"/>
          <w:szCs w:val="20"/>
          <w:color w:val="auto"/>
        </w:rPr>
      </w:pPr>
      <w:r>
        <w:rPr>
          <w:rFonts w:ascii="Arial" w:cs="Arial" w:eastAsia="Arial" w:hAnsi="Arial"/>
          <w:sz w:val="20"/>
          <w:szCs w:val="20"/>
          <w:color w:val="auto"/>
        </w:rPr>
        <w:t>Absent prior written consent of the Committee, RSU Awards may not be sold, assigned, transferred, pledged, or otherwise encumbered, whether voluntarily or involuntarily, by operation of law or otherwise, other than pursuant to a domestic relations order; provided, however, that the transfer of any shares of Common Stock issued under the RSU Awards shall not be restricted by virtue of this Agreement once such shares have been paid out.</w:t>
      </w:r>
    </w:p>
    <w:p>
      <w:pPr>
        <w:spacing w:after="0" w:line="174" w:lineRule="exact"/>
        <w:rPr>
          <w:rFonts w:ascii="Arial" w:cs="Arial" w:eastAsia="Arial" w:hAnsi="Arial"/>
          <w:sz w:val="20"/>
          <w:szCs w:val="20"/>
          <w:color w:val="auto"/>
        </w:rPr>
      </w:pPr>
    </w:p>
    <w:p>
      <w:pPr>
        <w:ind w:left="652" w:right="80" w:hanging="328"/>
        <w:spacing w:after="0" w:line="230" w:lineRule="auto"/>
        <w:tabs>
          <w:tab w:leader="none" w:pos="652" w:val="left"/>
        </w:tabs>
        <w:numPr>
          <w:ilvl w:val="1"/>
          <w:numId w:val="36"/>
        </w:numPr>
        <w:rPr>
          <w:rFonts w:ascii="Arial" w:cs="Arial" w:eastAsia="Arial" w:hAnsi="Arial"/>
          <w:sz w:val="20"/>
          <w:szCs w:val="20"/>
          <w:color w:val="auto"/>
        </w:rPr>
      </w:pPr>
      <w:r>
        <w:rPr>
          <w:rFonts w:ascii="Arial" w:cs="Arial" w:eastAsia="Arial" w:hAnsi="Arial"/>
          <w:sz w:val="20"/>
          <w:szCs w:val="20"/>
          <w:color w:val="auto"/>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p>
      <w:pPr>
        <w:spacing w:after="0" w:line="172" w:lineRule="exact"/>
        <w:rPr>
          <w:rFonts w:ascii="Arial" w:cs="Arial" w:eastAsia="Arial" w:hAnsi="Arial"/>
          <w:sz w:val="20"/>
          <w:szCs w:val="20"/>
          <w:color w:val="auto"/>
        </w:rPr>
      </w:pPr>
    </w:p>
    <w:p>
      <w:pPr>
        <w:ind w:left="332" w:hanging="332"/>
        <w:spacing w:after="0"/>
        <w:tabs>
          <w:tab w:leader="none" w:pos="332"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Fractional Shares</w:t>
      </w:r>
      <w:r>
        <w:rPr>
          <w:rFonts w:ascii="Arial" w:cs="Arial" w:eastAsia="Arial" w:hAnsi="Arial"/>
          <w:sz w:val="20"/>
          <w:szCs w:val="20"/>
          <w:color w:val="auto"/>
        </w:rPr>
        <w:t>. No fractional shares of Common Stock will be issued under the Plan or this Agreement.</w:t>
      </w:r>
    </w:p>
    <w:p>
      <w:pPr>
        <w:spacing w:after="0" w:line="202" w:lineRule="exact"/>
        <w:rPr>
          <w:rFonts w:ascii="Arial" w:cs="Arial" w:eastAsia="Arial" w:hAnsi="Arial"/>
          <w:sz w:val="20"/>
          <w:szCs w:val="20"/>
          <w:color w:val="auto"/>
        </w:rPr>
      </w:pPr>
    </w:p>
    <w:p>
      <w:pPr>
        <w:ind w:left="332" w:hanging="332"/>
        <w:spacing w:after="0" w:line="230" w:lineRule="auto"/>
        <w:tabs>
          <w:tab w:leader="none" w:pos="332"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Withholding Tax</w:t>
      </w:r>
      <w:r>
        <w:rPr>
          <w:rFonts w:ascii="Arial" w:cs="Arial" w:eastAsia="Arial" w:hAnsi="Arial"/>
          <w:sz w:val="20"/>
          <w:szCs w:val="20"/>
          <w:color w:val="auto"/>
        </w:rPr>
        <w:t>. Employee agrees that Employee is responsible for federal, state, and local tax consequences associated with the Awards (and any associated Dividend Equivalents) under this Agreement. Upon the occurrence of a taxable event with respect to any Award under this Agreement, Employee shall deliver to WM at such time, (i) such amount of money or shares of Common Stock earned or owned by Employee or (ii) if employee is an executive officer at the time of such tax event and so elects (or, otherwise, with WM’s approval), shares deliverable to Employee at such time pursuant to the applicable Award, in each case,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p>
      <w:pPr>
        <w:spacing w:after="0" w:line="172" w:lineRule="exact"/>
        <w:rPr>
          <w:rFonts w:ascii="Arial" w:cs="Arial" w:eastAsia="Arial" w:hAnsi="Arial"/>
          <w:sz w:val="20"/>
          <w:szCs w:val="20"/>
          <w:color w:val="auto"/>
        </w:rPr>
      </w:pPr>
    </w:p>
    <w:p>
      <w:pPr>
        <w:ind w:left="332" w:right="40" w:hanging="332"/>
        <w:spacing w:after="0" w:line="230" w:lineRule="auto"/>
        <w:tabs>
          <w:tab w:leader="none" w:pos="332"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Compliance with Securities Laws.</w:t>
      </w:r>
      <w:r>
        <w:rPr>
          <w:rFonts w:ascii="Arial" w:cs="Arial" w:eastAsia="Arial" w:hAnsi="Arial"/>
          <w:sz w:val="20"/>
          <w:szCs w:val="20"/>
          <w:color w:val="auto"/>
        </w:rPr>
        <w:t xml:space="preserve"> WM is not required to deliver any shares of Common Stock under this Agreement, if, in the opinion of counsel for the Company, such issuance would violate the Securities Act of 1933, any other applicable federal or state securities laws or regulations, or the requirements of any stock exchange or market system upon which the Common Stock may then be listed.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Award are being acquired for investment and not with a view to sale or distribution.</w:t>
      </w:r>
    </w:p>
    <w:p>
      <w:pPr>
        <w:spacing w:after="0" w:line="176" w:lineRule="exact"/>
        <w:rPr>
          <w:rFonts w:ascii="Arial" w:cs="Arial" w:eastAsia="Arial" w:hAnsi="Arial"/>
          <w:sz w:val="20"/>
          <w:szCs w:val="20"/>
          <w:color w:val="auto"/>
        </w:rPr>
      </w:pPr>
    </w:p>
    <w:p>
      <w:pPr>
        <w:ind w:left="332"/>
        <w:spacing w:after="0" w:line="242" w:lineRule="auto"/>
        <w:rPr>
          <w:rFonts w:ascii="Arial" w:cs="Arial" w:eastAsia="Arial" w:hAnsi="Arial"/>
          <w:sz w:val="20"/>
          <w:szCs w:val="20"/>
          <w:color w:val="auto"/>
        </w:rPr>
      </w:pPr>
      <w:r>
        <w:rPr>
          <w:rFonts w:ascii="Arial" w:cs="Arial" w:eastAsia="Arial" w:hAnsi="Arial"/>
          <w:sz w:val="19"/>
          <w:szCs w:val="19"/>
          <w:color w:val="auto"/>
        </w:rPr>
        <w:t>Further, 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Award after the Employee’s death is</w:t>
      </w:r>
    </w:p>
    <w:p>
      <w:pPr>
        <w:ind w:left="332"/>
        <w:spacing w:after="0" w:line="226" w:lineRule="auto"/>
        <w:rPr>
          <w:sz w:val="20"/>
          <w:szCs w:val="20"/>
          <w:color w:val="auto"/>
        </w:rPr>
      </w:pPr>
      <w:r>
        <w:rPr>
          <w:rFonts w:ascii="Arial" w:cs="Arial" w:eastAsia="Arial" w:hAnsi="Arial"/>
          <w:sz w:val="20"/>
          <w:szCs w:val="20"/>
          <w:color w:val="auto"/>
        </w:rPr>
        <w:t>entitled to do so; (c)</w:t>
      </w:r>
    </w:p>
    <w:p>
      <w:pPr>
        <w:jc w:val="center"/>
        <w:ind w:right="-11"/>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473710</wp:posOffset>
            </wp:positionV>
            <wp:extent cx="65665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832"/>
          </w:cols>
          <w:pgMar w:left="1028" w:top="1440" w:right="1039" w:bottom="1440" w:gutter="0" w:footer="0" w:header="0"/>
        </w:sectPr>
      </w:pPr>
    </w:p>
    <w:bookmarkStart w:id="46" w:name="page47"/>
    <w:bookmarkEnd w:id="46"/>
    <w:p>
      <w:pPr>
        <w:ind w:left="332" w:right="120"/>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76676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6501765" cy="7667625"/>
                    </a:xfrm>
                    <a:prstGeom prst="rect">
                      <a:avLst/>
                    </a:prstGeom>
                    <a:noFill/>
                  </pic:spPr>
                </pic:pic>
              </a:graphicData>
            </a:graphic>
          </wp:anchor>
        </w:drawing>
        <w:t>establishment of Employee’s compliance with any necessary representations or terms and conditions of the Plan or this Agreement, or (d) compliance with any federal, state, or local tax withholding obligations.</w:t>
      </w:r>
    </w:p>
    <w:p>
      <w:pPr>
        <w:spacing w:after="0" w:line="155" w:lineRule="exact"/>
        <w:rPr>
          <w:sz w:val="20"/>
          <w:szCs w:val="20"/>
          <w:color w:val="auto"/>
        </w:rPr>
      </w:pPr>
    </w:p>
    <w:p>
      <w:pPr>
        <w:ind w:left="332" w:right="80" w:hanging="332"/>
        <w:spacing w:after="0" w:line="234" w:lineRule="auto"/>
        <w:tabs>
          <w:tab w:leader="none" w:pos="332"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Employee to Have no Rights as a Stockholder.</w:t>
      </w:r>
      <w:r>
        <w:rPr>
          <w:rFonts w:ascii="Arial" w:cs="Arial" w:eastAsia="Arial" w:hAnsi="Arial"/>
          <w:sz w:val="20"/>
          <w:szCs w:val="20"/>
          <w:color w:val="auto"/>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 Notwithstanding the foregoing, Dividend Equivalents shall be paid to Employee in accordance with and subject to the terms of paragraph 7 under “</w:t>
      </w:r>
      <w:r>
        <w:rPr>
          <w:rFonts w:ascii="Arial" w:cs="Arial" w:eastAsia="Arial" w:hAnsi="Arial"/>
          <w:sz w:val="20"/>
          <w:szCs w:val="20"/>
          <w:b w:val="1"/>
          <w:bCs w:val="1"/>
          <w:color w:val="auto"/>
        </w:rPr>
        <w:t>Important</w:t>
      </w:r>
      <w:r>
        <w:rPr>
          <w:rFonts w:ascii="Arial" w:cs="Arial" w:eastAsia="Arial" w:hAnsi="Arial"/>
          <w:sz w:val="20"/>
          <w:szCs w:val="20"/>
          <w:color w:val="auto"/>
        </w:rPr>
        <w:t xml:space="preserve"> </w:t>
      </w:r>
      <w:r>
        <w:rPr>
          <w:rFonts w:ascii="Arial" w:cs="Arial" w:eastAsia="Arial" w:hAnsi="Arial"/>
          <w:sz w:val="20"/>
          <w:szCs w:val="20"/>
          <w:b w:val="1"/>
          <w:bCs w:val="1"/>
          <w:color w:val="auto"/>
        </w:rPr>
        <w:t>Award Details</w:t>
      </w:r>
      <w:r>
        <w:rPr>
          <w:rFonts w:ascii="Arial" w:cs="Arial" w:eastAsia="Arial" w:hAnsi="Arial"/>
          <w:sz w:val="20"/>
          <w:szCs w:val="20"/>
          <w:color w:val="auto"/>
        </w:rPr>
        <w:t>.”</w:t>
      </w:r>
    </w:p>
    <w:p>
      <w:pPr>
        <w:spacing w:after="0" w:line="166" w:lineRule="exact"/>
        <w:rPr>
          <w:rFonts w:ascii="Arial" w:cs="Arial" w:eastAsia="Arial" w:hAnsi="Arial"/>
          <w:sz w:val="20"/>
          <w:szCs w:val="20"/>
          <w:color w:val="auto"/>
        </w:rPr>
      </w:pPr>
    </w:p>
    <w:p>
      <w:pPr>
        <w:jc w:val="both"/>
        <w:ind w:left="332" w:hanging="332"/>
        <w:spacing w:after="0" w:line="231" w:lineRule="auto"/>
        <w:tabs>
          <w:tab w:leader="none" w:pos="332"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6.b. under “</w:t>
      </w:r>
      <w:r>
        <w:rPr>
          <w:rFonts w:ascii="Arial" w:cs="Arial" w:eastAsia="Arial" w:hAnsi="Arial"/>
          <w:sz w:val="20"/>
          <w:szCs w:val="20"/>
          <w:b w:val="1"/>
          <w:bCs w:val="1"/>
          <w:color w:val="auto"/>
        </w:rPr>
        <w:t>Important Award</w:t>
      </w:r>
      <w:r>
        <w:rPr>
          <w:rFonts w:ascii="Arial" w:cs="Arial" w:eastAsia="Arial" w:hAnsi="Arial"/>
          <w:sz w:val="20"/>
          <w:szCs w:val="20"/>
          <w:color w:val="auto"/>
        </w:rPr>
        <w:t xml:space="preserve"> </w:t>
      </w:r>
      <w:r>
        <w:rPr>
          <w:rFonts w:ascii="Arial" w:cs="Arial" w:eastAsia="Arial" w:hAnsi="Arial"/>
          <w:sz w:val="20"/>
          <w:szCs w:val="20"/>
          <w:b w:val="1"/>
          <w:bCs w:val="1"/>
          <w:color w:val="auto"/>
        </w:rPr>
        <w:t>Details</w:t>
      </w:r>
      <w:r>
        <w:rPr>
          <w:rFonts w:ascii="Arial" w:cs="Arial" w:eastAsia="Arial" w:hAnsi="Arial"/>
          <w:sz w:val="20"/>
          <w:szCs w:val="20"/>
          <w:color w:val="auto"/>
        </w:rPr>
        <w:t>.”</w:t>
      </w:r>
    </w:p>
    <w:p>
      <w:pPr>
        <w:spacing w:after="0" w:line="167" w:lineRule="exact"/>
        <w:rPr>
          <w:rFonts w:ascii="Arial" w:cs="Arial" w:eastAsia="Arial" w:hAnsi="Arial"/>
          <w:sz w:val="20"/>
          <w:szCs w:val="20"/>
          <w:color w:val="auto"/>
        </w:rPr>
      </w:pPr>
    </w:p>
    <w:p>
      <w:pPr>
        <w:ind w:left="332" w:hanging="332"/>
        <w:spacing w:after="0"/>
        <w:tabs>
          <w:tab w:leader="none" w:pos="332"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Nothing in this Agreement or the Plan may be construed to:</w:t>
      </w:r>
    </w:p>
    <w:p>
      <w:pPr>
        <w:spacing w:after="0" w:line="202" w:lineRule="exact"/>
        <w:rPr>
          <w:rFonts w:ascii="Arial" w:cs="Arial" w:eastAsia="Arial" w:hAnsi="Arial"/>
          <w:sz w:val="20"/>
          <w:szCs w:val="20"/>
          <w:color w:val="auto"/>
        </w:rPr>
      </w:pPr>
    </w:p>
    <w:p>
      <w:pPr>
        <w:ind w:left="652" w:hanging="328"/>
        <w:spacing w:after="0" w:line="257" w:lineRule="auto"/>
        <w:tabs>
          <w:tab w:leader="none" w:pos="652" w:val="left"/>
        </w:tabs>
        <w:numPr>
          <w:ilvl w:val="1"/>
          <w:numId w:val="37"/>
        </w:numPr>
        <w:rPr>
          <w:rFonts w:ascii="Arial" w:cs="Arial" w:eastAsia="Arial" w:hAnsi="Arial"/>
          <w:sz w:val="20"/>
          <w:szCs w:val="20"/>
          <w:color w:val="auto"/>
        </w:rPr>
      </w:pPr>
      <w:r>
        <w:rPr>
          <w:rFonts w:ascii="Arial" w:cs="Arial" w:eastAsia="Arial" w:hAnsi="Arial"/>
          <w:sz w:val="20"/>
          <w:szCs w:val="20"/>
          <w:color w:val="auto"/>
        </w:rPr>
        <w:t>give Employee any right to be awarded any further Awards other than in the sole discretion of the Committee;</w:t>
      </w:r>
    </w:p>
    <w:p>
      <w:pPr>
        <w:spacing w:after="0" w:line="155" w:lineRule="exact"/>
        <w:rPr>
          <w:rFonts w:ascii="Arial" w:cs="Arial" w:eastAsia="Arial" w:hAnsi="Arial"/>
          <w:sz w:val="20"/>
          <w:szCs w:val="20"/>
          <w:color w:val="auto"/>
        </w:rPr>
      </w:pPr>
    </w:p>
    <w:p>
      <w:pPr>
        <w:jc w:val="both"/>
        <w:ind w:left="652" w:hanging="328"/>
        <w:spacing w:after="0" w:line="241" w:lineRule="auto"/>
        <w:tabs>
          <w:tab w:leader="none" w:pos="652" w:val="left"/>
        </w:tabs>
        <w:numPr>
          <w:ilvl w:val="1"/>
          <w:numId w:val="37"/>
        </w:numPr>
        <w:rPr>
          <w:rFonts w:ascii="Arial" w:cs="Arial" w:eastAsia="Arial" w:hAnsi="Arial"/>
          <w:sz w:val="20"/>
          <w:szCs w:val="20"/>
          <w:color w:val="auto"/>
        </w:rPr>
      </w:pPr>
      <w:r>
        <w:rPr>
          <w:rFonts w:ascii="Arial" w:cs="Arial" w:eastAsia="Arial" w:hAnsi="Arial"/>
          <w:sz w:val="20"/>
          <w:szCs w:val="20"/>
          <w:color w:val="auto"/>
        </w:rPr>
        <w:t>give Employee or any other person any interest in any fund or in any specified asset or assets of WM (other than the Awards made by this Agreement, the related Dividend Equivalents awarded under this Agreement, and any Common Stock issuable under the terms and conditions of such Awards); or</w:t>
      </w:r>
    </w:p>
    <w:p>
      <w:pPr>
        <w:spacing w:after="0" w:line="63" w:lineRule="exact"/>
        <w:rPr>
          <w:rFonts w:ascii="Arial" w:cs="Arial" w:eastAsia="Arial" w:hAnsi="Arial"/>
          <w:sz w:val="20"/>
          <w:szCs w:val="20"/>
          <w:color w:val="auto"/>
        </w:rPr>
      </w:pPr>
    </w:p>
    <w:p>
      <w:pPr>
        <w:ind w:left="652" w:hanging="328"/>
        <w:spacing w:after="0"/>
        <w:tabs>
          <w:tab w:leader="none" w:pos="652" w:val="left"/>
        </w:tabs>
        <w:numPr>
          <w:ilvl w:val="1"/>
          <w:numId w:val="37"/>
        </w:numPr>
        <w:rPr>
          <w:rFonts w:ascii="Arial" w:cs="Arial" w:eastAsia="Arial" w:hAnsi="Arial"/>
          <w:sz w:val="20"/>
          <w:szCs w:val="20"/>
          <w:color w:val="auto"/>
        </w:rPr>
      </w:pPr>
      <w:r>
        <w:rPr>
          <w:rFonts w:ascii="Arial" w:cs="Arial" w:eastAsia="Arial" w:hAnsi="Arial"/>
          <w:sz w:val="20"/>
          <w:szCs w:val="20"/>
          <w:color w:val="auto"/>
        </w:rPr>
        <w:t>confer upon Employee the right to continue in the employment or service of WM.</w:t>
      </w:r>
    </w:p>
    <w:p>
      <w:pPr>
        <w:spacing w:after="0" w:line="94" w:lineRule="exact"/>
        <w:rPr>
          <w:rFonts w:ascii="Arial" w:cs="Arial" w:eastAsia="Arial" w:hAnsi="Arial"/>
          <w:sz w:val="20"/>
          <w:szCs w:val="20"/>
          <w:color w:val="auto"/>
        </w:rPr>
      </w:pPr>
    </w:p>
    <w:p>
      <w:pPr>
        <w:ind w:left="332" w:right="20" w:hanging="332"/>
        <w:spacing w:after="0" w:line="257" w:lineRule="auto"/>
        <w:tabs>
          <w:tab w:leader="none" w:pos="332"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internal laws of the State of Texas, without reference to principles of conflict of laws.</w:t>
      </w:r>
    </w:p>
    <w:p>
      <w:pPr>
        <w:spacing w:after="0" w:line="155" w:lineRule="exact"/>
        <w:rPr>
          <w:rFonts w:ascii="Arial" w:cs="Arial" w:eastAsia="Arial" w:hAnsi="Arial"/>
          <w:sz w:val="20"/>
          <w:szCs w:val="20"/>
          <w:color w:val="auto"/>
        </w:rPr>
      </w:pPr>
    </w:p>
    <w:p>
      <w:pPr>
        <w:ind w:left="332" w:right="60" w:hanging="332"/>
        <w:spacing w:after="0" w:line="257" w:lineRule="auto"/>
        <w:tabs>
          <w:tab w:leader="none" w:pos="332"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Severability/Entire Agreement</w:t>
      </w:r>
      <w:r>
        <w:rPr>
          <w:rFonts w:ascii="Arial" w:cs="Arial" w:eastAsia="Arial" w:hAnsi="Arial"/>
          <w:sz w:val="20"/>
          <w:szCs w:val="20"/>
          <w:color w:val="auto"/>
        </w:rPr>
        <w:t>. The invalidity or unenforceability of any provision of this Agreement shall not affect the validity or enforceability of any other provision of this Agreement.</w:t>
      </w:r>
    </w:p>
    <w:p>
      <w:pPr>
        <w:spacing w:after="0" w:line="155" w:lineRule="exact"/>
        <w:rPr>
          <w:rFonts w:ascii="Arial" w:cs="Arial" w:eastAsia="Arial" w:hAnsi="Arial"/>
          <w:sz w:val="20"/>
          <w:szCs w:val="20"/>
          <w:color w:val="auto"/>
        </w:rPr>
      </w:pPr>
    </w:p>
    <w:p>
      <w:pPr>
        <w:ind w:left="652" w:right="60" w:hanging="328"/>
        <w:spacing w:after="0" w:line="229" w:lineRule="auto"/>
        <w:tabs>
          <w:tab w:leader="none" w:pos="652" w:val="left"/>
        </w:tabs>
        <w:numPr>
          <w:ilvl w:val="1"/>
          <w:numId w:val="37"/>
        </w:numPr>
        <w:rPr>
          <w:rFonts w:ascii="Arial" w:cs="Arial" w:eastAsia="Arial" w:hAnsi="Arial"/>
          <w:sz w:val="20"/>
          <w:szCs w:val="20"/>
          <w:color w:val="auto"/>
        </w:rPr>
      </w:pPr>
      <w:r>
        <w:rPr>
          <w:rFonts w:ascii="Arial" w:cs="Arial" w:eastAsia="Arial" w:hAnsi="Arial"/>
          <w:sz w:val="20"/>
          <w:szCs w:val="20"/>
          <w:color w:val="auto"/>
        </w:rPr>
        <w:t>Employee understands and agrees that the Awards granted under this Agreement are granted under the authority of the Plan and these Awards and this Agreement are in all ways governed by the terms and conditions of the Plan and its administrative practices and interpretations, which also includes the Clawback Policy to the extent applicable.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 Without limiting the generality of the foregoing, as a condition to receipt of this Award, Employee agrees that the provisions relating to vesting and/or forfeiture of this Award upon a Termination of Employment set forth in this Agreement supersede and replace any provisions relating to vesting of the Award upon termination or other event set forth in any employment agreement, offer letter or similar document.</w:t>
      </w:r>
    </w:p>
    <w:p>
      <w:pPr>
        <w:spacing w:after="0" w:line="178" w:lineRule="exact"/>
        <w:rPr>
          <w:rFonts w:ascii="Arial" w:cs="Arial" w:eastAsia="Arial" w:hAnsi="Arial"/>
          <w:sz w:val="20"/>
          <w:szCs w:val="20"/>
          <w:color w:val="auto"/>
        </w:rPr>
      </w:pPr>
    </w:p>
    <w:p>
      <w:pPr>
        <w:jc w:val="both"/>
        <w:ind w:left="652" w:hanging="328"/>
        <w:spacing w:after="0" w:line="241" w:lineRule="auto"/>
        <w:tabs>
          <w:tab w:leader="none" w:pos="652" w:val="left"/>
        </w:tabs>
        <w:numPr>
          <w:ilvl w:val="1"/>
          <w:numId w:val="37"/>
        </w:numPr>
        <w:rPr>
          <w:rFonts w:ascii="Arial" w:cs="Arial" w:eastAsia="Arial" w:hAnsi="Arial"/>
          <w:sz w:val="20"/>
          <w:szCs w:val="20"/>
          <w:color w:val="auto"/>
        </w:rPr>
      </w:pPr>
      <w:r>
        <w:rPr>
          <w:rFonts w:ascii="Arial" w:cs="Arial" w:eastAsia="Arial" w:hAnsi="Arial"/>
          <w:sz w:val="20"/>
          <w:szCs w:val="20"/>
          <w:color w:val="auto"/>
        </w:rPr>
        <w:t>Employee understands and agrees that he or she is to consult with and rely upon only Employee’s own tax, legal, and financial advisors regarding the consequences and risks of this Agreement and the awards made under this Agreement.</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485140</wp:posOffset>
            </wp:positionV>
            <wp:extent cx="65665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832"/>
          </w:cols>
          <w:pgMar w:left="1028" w:top="1022" w:right="1039" w:bottom="1440" w:gutter="0" w:footer="0" w:header="0"/>
        </w:sectPr>
      </w:pPr>
    </w:p>
    <w:bookmarkStart w:id="47" w:name="page48"/>
    <w:bookmarkEnd w:id="47"/>
    <w:p>
      <w:pPr>
        <w:jc w:val="both"/>
        <w:ind w:left="652" w:hanging="328"/>
        <w:spacing w:after="0" w:line="237" w:lineRule="auto"/>
        <w:tabs>
          <w:tab w:leader="none" w:pos="652" w:val="left"/>
        </w:tabs>
        <w:numPr>
          <w:ilvl w:val="1"/>
          <w:numId w:val="38"/>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79419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501765" cy="7941945"/>
                    </a:xfrm>
                    <a:prstGeom prst="rect">
                      <a:avLst/>
                    </a:prstGeom>
                    <a:noFill/>
                  </pic:spPr>
                </pic:pic>
              </a:graphicData>
            </a:graphic>
          </wp:anchor>
        </w:drawing>
        <w:t>Except as provided in paragraph 13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p>
      <w:pPr>
        <w:spacing w:after="0" w:line="171" w:lineRule="exact"/>
        <w:rPr>
          <w:rFonts w:ascii="Arial" w:cs="Arial" w:eastAsia="Arial" w:hAnsi="Arial"/>
          <w:sz w:val="20"/>
          <w:szCs w:val="20"/>
          <w:color w:val="auto"/>
        </w:rPr>
      </w:pPr>
    </w:p>
    <w:p>
      <w:pPr>
        <w:ind w:left="332" w:right="20" w:hanging="332"/>
        <w:spacing w:after="0" w:line="241" w:lineRule="auto"/>
        <w:tabs>
          <w:tab w:leader="none" w:pos="332"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In the event the Employee or WM fails to insist on strict compliance with any term or condition of this Agreement or fails to assert any right under this Agreement, such failure is not a waiver of that term, condition or right.</w:t>
      </w:r>
    </w:p>
    <w:p>
      <w:pPr>
        <w:spacing w:after="0" w:line="171" w:lineRule="exact"/>
        <w:rPr>
          <w:rFonts w:ascii="Arial" w:cs="Arial" w:eastAsia="Arial" w:hAnsi="Arial"/>
          <w:sz w:val="20"/>
          <w:szCs w:val="20"/>
          <w:color w:val="auto"/>
        </w:rPr>
      </w:pPr>
    </w:p>
    <w:p>
      <w:pPr>
        <w:ind w:left="332" w:right="140" w:hanging="332"/>
        <w:spacing w:after="0" w:line="234" w:lineRule="auto"/>
        <w:tabs>
          <w:tab w:leader="none" w:pos="332"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Covenant Requirement Essential Part of Award</w:t>
      </w:r>
      <w:r>
        <w:rPr>
          <w:rFonts w:ascii="Arial" w:cs="Arial" w:eastAsia="Arial" w:hAnsi="Arial"/>
          <w:sz w:val="20"/>
          <w:szCs w:val="20"/>
          <w:color w:val="auto"/>
        </w:rPr>
        <w:t>. An overriding condition (even if any other provision of the Plan and this Agreement are conflicting) for Employee to receive any benefit from or payment of any Award under this Agreement, is that Employee must also have entered, and abided by the terms of, an agreement containing restrictive covenants concerning limitations on Employee’s behavior following termination of employment that is satisfactory to WM.</w:t>
      </w:r>
    </w:p>
    <w:p>
      <w:pPr>
        <w:spacing w:after="0" w:line="174" w:lineRule="exact"/>
        <w:rPr>
          <w:rFonts w:ascii="Arial" w:cs="Arial" w:eastAsia="Arial" w:hAnsi="Arial"/>
          <w:sz w:val="20"/>
          <w:szCs w:val="20"/>
          <w:color w:val="auto"/>
        </w:rPr>
      </w:pPr>
    </w:p>
    <w:p>
      <w:pPr>
        <w:ind w:left="332" w:hanging="332"/>
        <w:spacing w:after="0"/>
        <w:tabs>
          <w:tab w:leader="none" w:pos="332"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If not defined in this Agreement, capitalized terms have the meanings set forth in the Plan.</w:t>
      </w:r>
    </w:p>
    <w:p>
      <w:pPr>
        <w:spacing w:after="0" w:line="202" w:lineRule="exact"/>
        <w:rPr>
          <w:rFonts w:ascii="Arial" w:cs="Arial" w:eastAsia="Arial" w:hAnsi="Arial"/>
          <w:sz w:val="20"/>
          <w:szCs w:val="20"/>
          <w:color w:val="auto"/>
        </w:rPr>
      </w:pPr>
    </w:p>
    <w:p>
      <w:pPr>
        <w:ind w:left="332" w:right="60" w:hanging="332"/>
        <w:spacing w:after="0" w:line="239" w:lineRule="auto"/>
        <w:tabs>
          <w:tab w:leader="none" w:pos="332"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Compliance with Section 409A</w:t>
      </w:r>
      <w:r>
        <w:rPr>
          <w:rFonts w:ascii="Arial" w:cs="Arial" w:eastAsia="Arial" w:hAnsi="Arial"/>
          <w:sz w:val="19"/>
          <w:szCs w:val="19"/>
          <w:color w:val="auto"/>
        </w:rPr>
        <w:t>. Both WM and Employee intend that this Agreement does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Notwithstanding the foregoing, it is intended that Stock Option Awards are not subject to Section 409A. For purposes of Section 409A, to the extent that Employee is a “specified employee” within the meaning of the Treasury Regulations issued pursuant to Section 409A as of Employee’s separation from service and to the limited extent necessary to avoid the imputation of any tax, penalty or interest pursuant to Section 409A, notwithstanding anything to the contrary in this Agreement, no amount which is subject to Section 409A of the Code and is payable on account of Employee’s separation from service shall be paid to Employee before the date (the “Delayed Payment Date”) which is the first day of the seventh month after the Employee’s separation from service or, if earlier, the date of the Employee’s death following such separation from service. All such amounts that would, but for the immediately preceding sentence, become payable prior to the Delayed Payment Date will be accumulated and paid without interest on the Delayed Payment Date.</w:t>
      </w:r>
    </w:p>
    <w:p>
      <w:pPr>
        <w:spacing w:after="0" w:line="182" w:lineRule="exact"/>
        <w:rPr>
          <w:rFonts w:ascii="Arial" w:cs="Arial" w:eastAsia="Arial" w:hAnsi="Arial"/>
          <w:sz w:val="19"/>
          <w:szCs w:val="19"/>
          <w:color w:val="auto"/>
        </w:rPr>
      </w:pPr>
    </w:p>
    <w:p>
      <w:pPr>
        <w:ind w:left="332" w:right="60" w:hanging="332"/>
        <w:spacing w:after="0" w:line="228" w:lineRule="auto"/>
        <w:tabs>
          <w:tab w:leader="none" w:pos="332"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Use of Personal Data</w:t>
      </w:r>
      <w:r>
        <w:rPr>
          <w:rFonts w:ascii="Arial" w:cs="Arial" w:eastAsia="Arial" w:hAnsi="Arial"/>
          <w:sz w:val="20"/>
          <w:szCs w:val="20"/>
          <w:color w:val="auto"/>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w:t>
      </w:r>
      <w:r>
        <w:rPr>
          <w:rFonts w:ascii="Arial" w:cs="Arial" w:eastAsia="Arial" w:hAnsi="Arial"/>
          <w:sz w:val="20"/>
          <w:szCs w:val="20"/>
          <w:b w:val="1"/>
          <w:bCs w:val="1"/>
          <w:i w:val="1"/>
          <w:iCs w:val="1"/>
          <w:color w:val="auto"/>
        </w:rPr>
        <w:t>Data</w:t>
      </w:r>
      <w:r>
        <w:rPr>
          <w:rFonts w:ascii="Arial" w:cs="Arial" w:eastAsia="Arial" w:hAnsi="Arial"/>
          <w:sz w:val="20"/>
          <w:szCs w:val="20"/>
          <w:color w:val="auto"/>
        </w:rPr>
        <w:t>”),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Employee may withdraw his or her consent to use Data herein by notifying WM in writing (according to the provisions of paragraph 15 below); however, Employee understands that by withdrawing his or her consent to use Data, Employee may affect his or her ability to participate in the Plan.</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485140</wp:posOffset>
            </wp:positionV>
            <wp:extent cx="656653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32"/>
          </w:cols>
          <w:pgMar w:left="1028" w:top="1022" w:right="1039" w:bottom="1440" w:gutter="0" w:footer="0" w:header="0"/>
        </w:sectPr>
      </w:pPr>
    </w:p>
    <w:bookmarkStart w:id="48" w:name="page49"/>
    <w:bookmarkEnd w:id="48"/>
    <w:p>
      <w:pPr>
        <w:ind w:left="332" w:right="100" w:hanging="332"/>
        <w:spacing w:after="0" w:line="237" w:lineRule="auto"/>
        <w:tabs>
          <w:tab w:leader="none" w:pos="332"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42386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6501765" cy="4238625"/>
                    </a:xfrm>
                    <a:prstGeom prst="rect">
                      <a:avLst/>
                    </a:prstGeom>
                    <a:noFill/>
                  </pic:spPr>
                </pic:pic>
              </a:graphicData>
            </a:graphic>
          </wp:anchor>
        </w:drawing>
        <w:t>Notices</w:t>
      </w:r>
      <w:r>
        <w:rPr>
          <w:rFonts w:ascii="Arial" w:cs="Arial" w:eastAsia="Arial" w:hAnsi="Arial"/>
          <w:sz w:val="20"/>
          <w:szCs w:val="20"/>
          <w:color w:val="auto"/>
        </w:rPr>
        <w:t>. Any notice given by one party under this Agreement to the other shall be in writing and may be delivered personally or by mail, postage prepaid, addressed to the Secretary of the Company, at its then corporate headquarters, and Employee at Employee’s address as shown on WM’s records, or to such other address as Employee, by notice to the Company, may designate in writing from time to time.</w:t>
      </w:r>
    </w:p>
    <w:p>
      <w:pPr>
        <w:spacing w:after="0" w:line="171" w:lineRule="exact"/>
        <w:rPr>
          <w:rFonts w:ascii="Arial" w:cs="Arial" w:eastAsia="Arial" w:hAnsi="Arial"/>
          <w:sz w:val="20"/>
          <w:szCs w:val="20"/>
          <w:color w:val="auto"/>
        </w:rPr>
      </w:pPr>
    </w:p>
    <w:p>
      <w:pPr>
        <w:ind w:left="332" w:right="20" w:hanging="332"/>
        <w:spacing w:after="0" w:line="233" w:lineRule="auto"/>
        <w:tabs>
          <w:tab w:leader="none" w:pos="332"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p>
      <w:pPr>
        <w:spacing w:after="0" w:line="172" w:lineRule="exact"/>
        <w:rPr>
          <w:rFonts w:ascii="Arial" w:cs="Arial" w:eastAsia="Arial" w:hAnsi="Arial"/>
          <w:sz w:val="20"/>
          <w:szCs w:val="20"/>
          <w:color w:val="auto"/>
        </w:rPr>
      </w:pPr>
    </w:p>
    <w:p>
      <w:pPr>
        <w:ind w:left="332" w:right="80" w:hanging="332"/>
        <w:spacing w:after="0" w:line="241" w:lineRule="auto"/>
        <w:tabs>
          <w:tab w:leader="none" w:pos="332"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Binding Arbitration</w:t>
      </w:r>
      <w:r>
        <w:rPr>
          <w:rFonts w:ascii="Arial" w:cs="Arial" w:eastAsia="Arial" w:hAnsi="Arial"/>
          <w:sz w:val="19"/>
          <w:szCs w:val="19"/>
          <w:color w:val="auto"/>
        </w:rPr>
        <w:t xml:space="preserve">.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5 under “Important Award Details”), the Company and Employee agree that such dispute shall be settled exclusively by final and binding arbitration, as governed by the Federal Arbitration Act (9 U.S.C. 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arbitration proceeding, including the rendering of an award, if any, shall be administered by JAMS pursuant to its Employment Arbitration Rules and Procedures, which may be found on the JAMS Website </w:t>
      </w:r>
      <w:r>
        <w:rPr>
          <w:rFonts w:ascii="Arial" w:cs="Arial" w:eastAsia="Arial" w:hAnsi="Arial"/>
          <w:sz w:val="19"/>
          <w:szCs w:val="19"/>
          <w:b w:val="1"/>
          <w:bCs w:val="1"/>
          <w:color w:val="auto"/>
        </w:rPr>
        <w:t>www.jamsadr.com</w:t>
      </w:r>
      <w:r>
        <w:rPr>
          <w:rFonts w:ascii="Arial" w:cs="Arial" w:eastAsia="Arial" w:hAnsi="Arial"/>
          <w:sz w:val="19"/>
          <w:szCs w:val="19"/>
          <w:color w:val="auto"/>
        </w:rPr>
        <w:t>. All expenses associated with the arbitration shall be borne by WM; provided however, that such arbitration expenses will not include attorney fees incurred by the respective parties. Judgment on any arbitration award may be entered in any court having jurisdiction.</w:t>
      </w:r>
    </w:p>
    <w:p>
      <w:pPr>
        <w:spacing w:after="0" w:line="178" w:lineRule="exact"/>
        <w:rPr>
          <w:rFonts w:ascii="Arial" w:cs="Arial" w:eastAsia="Arial" w:hAnsi="Arial"/>
          <w:sz w:val="19"/>
          <w:szCs w:val="19"/>
          <w:color w:val="auto"/>
        </w:rPr>
      </w:pPr>
    </w:p>
    <w:p>
      <w:pPr>
        <w:ind w:left="332" w:hanging="332"/>
        <w:spacing w:after="0" w:line="257" w:lineRule="auto"/>
        <w:tabs>
          <w:tab w:leader="none" w:pos="332"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which together shall constitute one and the same original.</w:t>
      </w:r>
    </w:p>
    <w:p>
      <w:pPr>
        <w:spacing w:after="0" w:line="155"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485140</wp:posOffset>
            </wp:positionV>
            <wp:extent cx="656653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12"/>
          </w:cols>
          <w:pgMar w:left="1028" w:top="1022" w:right="1059" w:bottom="1440" w:gutter="0" w:footer="0" w:header="0"/>
        </w:sectPr>
      </w:pPr>
    </w:p>
    <w:bookmarkStart w:id="49" w:name="page50"/>
    <w:bookmarkEnd w:id="49"/>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2635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6501765" cy="263588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00693C"/>
        </w:rPr>
        <w:t>Execution</w:t>
      </w:r>
    </w:p>
    <w:p>
      <w:pPr>
        <w:spacing w:after="0" w:line="231" w:lineRule="exact"/>
        <w:rPr>
          <w:sz w:val="20"/>
          <w:szCs w:val="20"/>
          <w:color w:val="auto"/>
        </w:rPr>
      </w:pPr>
    </w:p>
    <w:p>
      <w:pPr>
        <w:spacing w:after="0" w:line="270"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Agreement to be duly executed by one of its officers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thereunto duly authorized and Employee has executed this Agreement, effective as of </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360" w:lineRule="exact"/>
        <w:rPr>
          <w:sz w:val="20"/>
          <w:szCs w:val="20"/>
          <w:color w:val="auto"/>
        </w:rPr>
      </w:pPr>
    </w:p>
    <w:p>
      <w:pPr>
        <w:spacing w:after="0"/>
        <w:tabs>
          <w:tab w:leader="none" w:pos="4900" w:val="left"/>
        </w:tabs>
        <w:rPr>
          <w:sz w:val="20"/>
          <w:szCs w:val="20"/>
          <w:color w:val="auto"/>
        </w:rPr>
      </w:pPr>
      <w:r>
        <w:rPr>
          <w:rFonts w:ascii="Arial" w:cs="Arial" w:eastAsia="Arial" w:hAnsi="Arial"/>
          <w:sz w:val="20"/>
          <w:szCs w:val="20"/>
          <w:b w:val="1"/>
          <w:bCs w:val="1"/>
          <w:color w:val="auto"/>
        </w:rPr>
        <w:t>WASTE MANAGEMENT, INC.</w:t>
      </w:r>
      <w:r>
        <w:rPr>
          <w:sz w:val="20"/>
          <w:szCs w:val="20"/>
          <w:color w:val="auto"/>
        </w:rPr>
        <w:tab/>
      </w:r>
      <w:r>
        <w:rPr>
          <w:rFonts w:ascii="Arial" w:cs="Arial" w:eastAsia="Arial" w:hAnsi="Arial"/>
          <w:sz w:val="19"/>
          <w:szCs w:val="19"/>
          <w:b w:val="1"/>
          <w:bCs w:val="1"/>
          <w:color w:val="auto"/>
        </w:rPr>
        <w:t>Employee</w:t>
      </w:r>
    </w:p>
    <w:p>
      <w:pPr>
        <w:spacing w:after="0" w:line="204" w:lineRule="exact"/>
        <w:rPr>
          <w:sz w:val="20"/>
          <w:szCs w:val="20"/>
          <w:color w:val="auto"/>
        </w:rPr>
      </w:pPr>
    </w:p>
    <w:p>
      <w:pPr>
        <w:ind w:left="4920"/>
        <w:spacing w:after="0"/>
        <w:rPr>
          <w:sz w:val="20"/>
          <w:szCs w:val="20"/>
          <w:color w:val="auto"/>
        </w:rPr>
      </w:pPr>
      <w:r>
        <w:rPr>
          <w:rFonts w:ascii="Arial" w:cs="Arial" w:eastAsia="Arial" w:hAnsi="Arial"/>
          <w:sz w:val="20"/>
          <w:szCs w:val="20"/>
          <w:i w:val="1"/>
          <w:iCs w:val="1"/>
          <w:color w:val="auto"/>
        </w:rPr>
        <w:t>Accepted by Electronic Communication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485140</wp:posOffset>
            </wp:positionV>
            <wp:extent cx="656653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40"/>
          </w:cols>
          <w:pgMar w:left="1020" w:top="1440" w:right="10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GUARANTOR SUBSIDIARY</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1540" w:type="dxa"/>
            <w:vAlign w:val="bottom"/>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540" w:type="dxa"/>
            <w:vAlign w:val="bottom"/>
          </w:tcPr>
          <w:p>
            <w:pPr>
              <w:jc w:val="center"/>
              <w:ind w:right="312"/>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1540" w:type="dxa"/>
            <w:vAlign w:val="bottom"/>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840" w:type="dxa"/>
            <w:vAlign w:val="bottom"/>
            <w:gridSpan w:val="2"/>
            <w:vMerge w:val="continue"/>
          </w:tcPr>
          <w:p>
            <w:pPr>
              <w:spacing w:after="0"/>
              <w:rPr>
                <w:sz w:val="15"/>
                <w:szCs w:val="15"/>
                <w:color w:val="auto"/>
              </w:rPr>
            </w:pPr>
          </w:p>
        </w:tc>
        <w:tc>
          <w:tcPr>
            <w:tcW w:w="1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(per annum)</w:t>
            </w:r>
          </w:p>
        </w:tc>
        <w:tc>
          <w:tcPr>
            <w:tcW w:w="4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54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million</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7.00%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7/17/1998</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million</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7.375%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1/21/2000</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million</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7.75%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1/3/2003</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million</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6.125%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11/17/2009</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million</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3.90%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3/1/2035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million</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4.10%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3/1/2045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 million</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3.15%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11/8/2017</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w w:val="99"/>
              </w:rPr>
              <w:t>11/15/2027</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billion</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7/15/2049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million</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0.75%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w w:val="99"/>
              </w:rPr>
              <w:t>11/15/2025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million</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1.15%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3/15/2028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billion</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1.50%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rPr>
              <w:t>3/15/2031</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million</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2.50%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11/15/2050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million</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2.00%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6/1/2029</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million</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2.95%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6/1/2041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billion</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5/12/2022</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rPr>
              <w:t>4/15/2032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million</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4.625%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2/15/2023</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2/15/2030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million</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4.625%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2/15/2023</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rPr>
              <w:t>2/15/2033</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million</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4.875%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2/15/2029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 billion</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4.875%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rPr>
              <w:t>2/15/2034</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million</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7/3/2024</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7/3/2027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 million</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7/3/2024</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7/3/2031</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billion</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4.500%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3/15/2028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million</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4.650%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rPr>
              <w:t>3/15/2030</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million</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4.800%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3/15/2032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billion</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rPr>
              <w:t>3/15/2035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billion</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5.350%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10/15/2054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 million*</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3.875%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6/25/2025</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rPr>
              <w:t>1/15/2029</w:t>
            </w:r>
          </w:p>
        </w:tc>
        <w:tc>
          <w:tcPr>
            <w:tcW w:w="0" w:type="dxa"/>
            <w:vAlign w:val="bottom"/>
          </w:tcPr>
          <w:p>
            <w:pPr>
              <w:spacing w:after="0"/>
              <w:rPr>
                <w:sz w:val="1"/>
                <w:szCs w:val="1"/>
                <w:color w:val="auto"/>
              </w:rPr>
            </w:pPr>
          </w:p>
        </w:tc>
      </w:tr>
      <w:tr>
        <w:trPr>
          <w:trHeight w:val="108"/>
        </w:trPr>
        <w:tc>
          <w:tcPr>
            <w:tcW w:w="3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0" w:hanging="142"/>
        <w:spacing w:after="0" w:line="282" w:lineRule="auto"/>
        <w:tabs>
          <w:tab w:leader="none" w:pos="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Senior Notes were issued pursuant to an offer to exchange up to $485 million of outstanding unregistered notes previously issued by WMI in a private exchange offer in connection with WMI’s acquisition of Stericycle,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1" w:name="page52"/>
    <w:bookmarkEnd w:id="5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C. Fish, Jr., certify that:</w:t>
      </w:r>
    </w:p>
    <w:p>
      <w:pPr>
        <w:spacing w:after="0" w:line="185" w:lineRule="exact"/>
        <w:rPr>
          <w:sz w:val="20"/>
          <w:szCs w:val="20"/>
          <w:color w:val="auto"/>
        </w:rPr>
      </w:pPr>
    </w:p>
    <w:p>
      <w:pPr>
        <w:ind w:left="680" w:hanging="189"/>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84"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69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2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19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23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500" w:right="79" w:firstLine="431"/>
        <w:spacing w:after="0" w:line="266" w:lineRule="auto"/>
        <w:tabs>
          <w:tab w:leader="none" w:pos="121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19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6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6" w:lineRule="auto"/>
        <w:tabs>
          <w:tab w:leader="none" w:pos="12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500" w:right="79" w:firstLine="431"/>
        <w:spacing w:after="0" w:line="282" w:lineRule="auto"/>
        <w:tabs>
          <w:tab w:leader="none" w:pos="119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360" w:type="dxa"/>
            <w:vAlign w:val="bottom"/>
          </w:tcPr>
          <w:p>
            <w:pPr>
              <w:spacing w:after="0"/>
              <w:rPr>
                <w:sz w:val="16"/>
                <w:szCs w:val="16"/>
                <w:color w:val="auto"/>
              </w:rPr>
            </w:pPr>
          </w:p>
        </w:tc>
        <w:tc>
          <w:tcPr>
            <w:tcW w:w="4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6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bl>
    <w:p>
      <w:pPr>
        <w:ind w:left="60"/>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502920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2" w:name="page53"/>
    <w:bookmarkEnd w:id="5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David L. Reed, certify that:</w:t>
      </w:r>
    </w:p>
    <w:p>
      <w:pPr>
        <w:spacing w:after="0" w:line="185" w:lineRule="exact"/>
        <w:rPr>
          <w:sz w:val="20"/>
          <w:szCs w:val="20"/>
          <w:color w:val="auto"/>
        </w:rPr>
      </w:pPr>
    </w:p>
    <w:p>
      <w:pPr>
        <w:ind w:left="680" w:hanging="189"/>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84"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69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2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19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23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500" w:right="79" w:firstLine="431"/>
        <w:spacing w:after="0" w:line="266" w:lineRule="auto"/>
        <w:tabs>
          <w:tab w:leader="none" w:pos="121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19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6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6" w:lineRule="auto"/>
        <w:tabs>
          <w:tab w:leader="none" w:pos="12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500" w:right="79" w:firstLine="431"/>
        <w:spacing w:after="0" w:line="282" w:lineRule="auto"/>
        <w:tabs>
          <w:tab w:leader="none" w:pos="119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L. Reed</w:t>
            </w:r>
          </w:p>
        </w:tc>
      </w:tr>
      <w:tr>
        <w:trPr>
          <w:trHeight w:val="189"/>
        </w:trPr>
        <w:tc>
          <w:tcPr>
            <w:tcW w:w="380" w:type="dxa"/>
            <w:vAlign w:val="bottom"/>
          </w:tcPr>
          <w:p>
            <w:pPr>
              <w:spacing w:after="0"/>
              <w:rPr>
                <w:sz w:val="16"/>
                <w:szCs w:val="16"/>
                <w:color w:val="auto"/>
              </w:rPr>
            </w:pPr>
          </w:p>
        </w:tc>
        <w:tc>
          <w:tcPr>
            <w:tcW w:w="4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David L. Reed</w:t>
            </w:r>
          </w:p>
        </w:tc>
      </w:tr>
      <w:tr>
        <w:trPr>
          <w:trHeight w:val="236"/>
        </w:trPr>
        <w:tc>
          <w:tcPr>
            <w:tcW w:w="38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ind w:left="60"/>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502920</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3" w:name="page54"/>
    <w:bookmarkEnd w:id="5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March 31, 2026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0" w:lineRule="exact"/>
        <w:rPr>
          <w:sz w:val="20"/>
          <w:szCs w:val="20"/>
          <w:color w:val="auto"/>
        </w:rPr>
      </w:pPr>
    </w:p>
    <w:p>
      <w:pPr>
        <w:ind w:left="500" w:right="59" w:firstLine="431"/>
        <w:spacing w:after="0" w:line="282" w:lineRule="auto"/>
        <w:tabs>
          <w:tab w:leader="none" w:pos="120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right="79" w:firstLine="431"/>
        <w:spacing w:after="0" w:line="282" w:lineRule="auto"/>
        <w:tabs>
          <w:tab w:leader="none" w:pos="119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340" w:type="dxa"/>
            <w:vAlign w:val="bottom"/>
          </w:tcPr>
          <w:p>
            <w:pPr>
              <w:spacing w:after="0"/>
              <w:rPr>
                <w:sz w:val="16"/>
                <w:szCs w:val="16"/>
                <w:color w:val="auto"/>
              </w:rPr>
            </w:pPr>
          </w:p>
        </w:tc>
        <w:tc>
          <w:tcPr>
            <w:tcW w:w="4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ind w:left="60"/>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502920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4" w:name="page55"/>
    <w:bookmarkEnd w:id="5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7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March 31, 2026 as filed with the Securities and Exchange Commission on the date hereof (the “Report”), I, David L. Reed, Chief Financial Officer of the Company, certify, pursuant to 18 U.S.C. § 1350, as adopted pursuant to § 906 of the Sarbanes-Oxley Act of 2002, that:</w:t>
      </w:r>
    </w:p>
    <w:p>
      <w:pPr>
        <w:spacing w:after="0" w:line="180" w:lineRule="exact"/>
        <w:rPr>
          <w:sz w:val="20"/>
          <w:szCs w:val="20"/>
          <w:color w:val="auto"/>
        </w:rPr>
      </w:pPr>
    </w:p>
    <w:p>
      <w:pPr>
        <w:ind w:left="500" w:right="59" w:firstLine="431"/>
        <w:spacing w:after="0" w:line="282" w:lineRule="auto"/>
        <w:tabs>
          <w:tab w:leader="none" w:pos="12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right="79" w:firstLine="431"/>
        <w:spacing w:after="0" w:line="282" w:lineRule="auto"/>
        <w:tabs>
          <w:tab w:leader="none" w:pos="119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7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L. REED</w:t>
            </w:r>
          </w:p>
        </w:tc>
      </w:tr>
      <w:tr>
        <w:trPr>
          <w:trHeight w:val="189"/>
        </w:trPr>
        <w:tc>
          <w:tcPr>
            <w:tcW w:w="340" w:type="dxa"/>
            <w:vAlign w:val="bottom"/>
          </w:tcPr>
          <w:p>
            <w:pPr>
              <w:spacing w:after="0"/>
              <w:rPr>
                <w:sz w:val="16"/>
                <w:szCs w:val="16"/>
                <w:color w:val="auto"/>
              </w:rPr>
            </w:pPr>
          </w:p>
        </w:tc>
        <w:tc>
          <w:tcPr>
            <w:tcW w:w="7080" w:type="dxa"/>
            <w:vAlign w:val="bottom"/>
          </w:tcPr>
          <w:p>
            <w:pPr>
              <w:ind w:left="3020"/>
              <w:spacing w:after="0" w:line="189" w:lineRule="exact"/>
              <w:rPr>
                <w:sz w:val="20"/>
                <w:szCs w:val="20"/>
                <w:color w:val="auto"/>
              </w:rPr>
            </w:pPr>
            <w:r>
              <w:rPr>
                <w:rFonts w:ascii="Times New Roman" w:cs="Times New Roman" w:eastAsia="Times New Roman" w:hAnsi="Times New Roman"/>
                <w:sz w:val="18"/>
                <w:szCs w:val="18"/>
                <w:color w:val="auto"/>
              </w:rPr>
              <w:t>​David​ L. Reed</w:t>
            </w:r>
          </w:p>
        </w:tc>
      </w:tr>
      <w:tr>
        <w:trPr>
          <w:trHeight w:val="236"/>
        </w:trPr>
        <w:tc>
          <w:tcPr>
            <w:tcW w:w="340" w:type="dxa"/>
            <w:vAlign w:val="bottom"/>
          </w:tcPr>
          <w:p>
            <w:pPr>
              <w:spacing w:after="0"/>
              <w:rPr>
                <w:sz w:val="20"/>
                <w:szCs w:val="20"/>
                <w:color w:val="auto"/>
              </w:rPr>
            </w:pPr>
          </w:p>
        </w:tc>
        <w:tc>
          <w:tcPr>
            <w:tcW w:w="70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ind w:left="60"/>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502920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5" w:name="page56"/>
    <w:bookmarkEnd w:id="5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76" w:lineRule="exact"/>
        <w:rPr>
          <w:sz w:val="20"/>
          <w:szCs w:val="20"/>
          <w:color w:val="auto"/>
        </w:rPr>
      </w:pPr>
    </w:p>
    <w:p>
      <w:pPr>
        <w:jc w:val="both"/>
        <w:ind w:left="60" w:right="59" w:firstLine="259"/>
        <w:spacing w:after="0" w:line="254" w:lineRule="auto"/>
        <w:rPr>
          <w:sz w:val="20"/>
          <w:szCs w:val="20"/>
          <w:color w:val="auto"/>
        </w:rPr>
      </w:pPr>
      <w:r>
        <w:rPr>
          <w:rFonts w:ascii="Times New Roman" w:cs="Times New Roman" w:eastAsia="Times New Roman" w:hAnsi="Times New Roman"/>
          <w:sz w:val="18"/>
          <w:szCs w:val="18"/>
          <w:color w:val="auto"/>
        </w:rPr>
        <w:t>During the quarter ended March 31, 2026,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or (e) an imminent danger order under section 107(a) of the Mine Safety Act or (f) a proposed assessment from the MSHA.</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addition, during the quarter ended March 31, 2026,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1."/>
      <w:numFmt w:val="decimal"/>
      <w:start w:val="3"/>
    </w:lvl>
  </w:abstractNum>
  <w:abstractNum w:abstractNumId="5">
    <w:nsid w:val="4353D0CD"/>
    <w:multiLevelType w:val="hybridMultilevel"/>
    <w:lvl w:ilvl="0">
      <w:lvlJc w:val="left"/>
      <w:lvlText w:val="(%1)"/>
      <w:numFmt w:val="lowerRoman"/>
      <w:start w:val="1"/>
    </w:lvl>
  </w:abstractNum>
  <w:abstractNum w:abstractNumId="6">
    <w:nsid w:val="B03E0C6"/>
    <w:multiLevelType w:val="hybridMultilevel"/>
    <w:lvl w:ilvl="0">
      <w:lvlJc w:val="left"/>
      <w:lvlText w:val="%1."/>
      <w:numFmt w:val="decimal"/>
      <w:start w:val="4"/>
    </w:lvl>
  </w:abstractNum>
  <w:abstractNum w:abstractNumId="7">
    <w:nsid w:val="189A769B"/>
    <w:multiLevelType w:val="hybridMultilevel"/>
    <w:lvl w:ilvl="0">
      <w:lvlJc w:val="left"/>
      <w:lvlText w:val="%1."/>
      <w:numFmt w:val="decimal"/>
      <w:start w:val="5"/>
    </w:lvl>
  </w:abstractNum>
  <w:abstractNum w:abstractNumId="8">
    <w:nsid w:val="54E49EB4"/>
    <w:multiLevelType w:val="hybridMultilevel"/>
    <w:lvl w:ilvl="0">
      <w:lvlJc w:val="left"/>
      <w:lvlText w:val="%1."/>
      <w:numFmt w:val="decimal"/>
      <w:start w:val="6"/>
    </w:lvl>
  </w:abstractNum>
  <w:abstractNum w:abstractNumId="9">
    <w:nsid w:val="71F32454"/>
    <w:multiLevelType w:val="hybridMultilevel"/>
    <w:lvl w:ilvl="0">
      <w:lvlJc w:val="left"/>
      <w:lvlText w:val="%1."/>
      <w:numFmt w:val="decimal"/>
      <w:start w:val="7"/>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1)"/>
      <w:numFmt w:val="lowerLetter"/>
      <w:start w:val="7"/>
    </w:lvl>
  </w:abstractNum>
  <w:abstractNum w:abstractNumId="12">
    <w:nsid w:val="2901D82"/>
    <w:multiLevelType w:val="hybridMultilevel"/>
    <w:lvl w:ilvl="0">
      <w:lvlJc w:val="left"/>
      <w:lvlText w:val="(%1)"/>
      <w:numFmt w:val="lowerLetter"/>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lowerLetter"/>
      <w:start w:val="1"/>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1)"/>
      <w:numFmt w:val="lowerRoman"/>
      <w:start w:val="1"/>
    </w:lvl>
  </w:abstractNum>
  <w:abstractNum w:abstractNumId="18">
    <w:nsid w:val="6CEAF087"/>
    <w:multiLevelType w:val="hybridMultilevel"/>
    <w:lvl w:ilvl="0">
      <w:lvlJc w:val="left"/>
      <w:lvlText w:val="(%1)"/>
      <w:numFmt w:val="lowerLetter"/>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3"/>
    </w:lvl>
  </w:abstractNum>
  <w:abstractNum w:abstractNumId="27">
    <w:nsid w:val="380482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8">
    <w:nsid w:val="77465F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9">
    <w:nsid w:val="7724C67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0">
    <w:nsid w:val="5C482A9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1">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32">
    <w:nsid w:val="5E884AD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3">
    <w:nsid w:val="51EAD36B"/>
    <w:multiLevelType w:val="hybridMultilevel"/>
    <w:lvl w:ilvl="0">
      <w:lvlJc w:val="left"/>
      <w:lvlText w:val="%1"/>
      <w:numFmt w:val="decimal"/>
      <w:start w:val="1"/>
    </w:lvl>
    <w:lvl w:ilvl="1">
      <w:lvlJc w:val="left"/>
      <w:lvlText w:val="%2."/>
      <w:numFmt w:val="lowerLetter"/>
      <w:start w:val="2"/>
    </w:lvl>
  </w:abstractNum>
  <w:abstractNum w:abstractNumId="34">
    <w:nsid w:val="2D517796"/>
    <w:multiLevelType w:val="hybridMultilevel"/>
    <w:lvl w:ilvl="0">
      <w:lvlJc w:val="left"/>
      <w:lvlText w:val="%1."/>
      <w:numFmt w:val="decimal"/>
      <w:start w:val="6"/>
    </w:lvl>
    <w:lvl w:ilvl="1">
      <w:lvlJc w:val="left"/>
      <w:lvlText w:val="%2"/>
      <w:numFmt w:val="lowerLetter"/>
      <w:start w:val="1"/>
    </w:lvl>
  </w:abstractNum>
  <w:abstractNum w:abstractNumId="35">
    <w:nsid w:val="580BD78F"/>
    <w:multiLevelType w:val="hybridMultilevel"/>
    <w:lvl w:ilvl="0">
      <w:lvlJc w:val="left"/>
      <w:lvlText w:val="%1."/>
      <w:numFmt w:val="decimal"/>
      <w:start w:val="1"/>
    </w:lvl>
    <w:lvl w:ilvl="1">
      <w:lvlJc w:val="left"/>
      <w:lvlText w:val="%2."/>
      <w:numFmt w:val="lowerLetter"/>
      <w:start w:val="1"/>
    </w:lvl>
  </w:abstractNum>
  <w:abstractNum w:abstractNumId="36">
    <w:nsid w:val="153EA438"/>
    <w:multiLevelType w:val="hybridMultilevel"/>
    <w:lvl w:ilvl="0">
      <w:lvlJc w:val="left"/>
      <w:lvlText w:val="%1."/>
      <w:numFmt w:val="decimal"/>
      <w:start w:val="5"/>
    </w:lvl>
    <w:lvl w:ilvl="1">
      <w:lvlJc w:val="left"/>
      <w:lvlText w:val="%2."/>
      <w:numFmt w:val="lowerLetter"/>
      <w:start w:val="1"/>
    </w:lvl>
  </w:abstractNum>
  <w:abstractNum w:abstractNumId="37">
    <w:nsid w:val="3855585C"/>
    <w:multiLevelType w:val="hybridMultilevel"/>
    <w:lvl w:ilvl="0">
      <w:lvlJc w:val="left"/>
      <w:lvlText w:val="%1"/>
      <w:numFmt w:val="decimal"/>
      <w:start w:val="1"/>
    </w:lvl>
    <w:lvl w:ilvl="1">
      <w:lvlJc w:val="left"/>
      <w:lvlText w:val="%2."/>
      <w:numFmt w:val="lowerLetter"/>
      <w:start w:val="3"/>
    </w:lvl>
  </w:abstractNum>
  <w:abstractNum w:abstractNumId="38">
    <w:nsid w:val="70A64E2A"/>
    <w:multiLevelType w:val="hybridMultilevel"/>
    <w:lvl w:ilvl="0">
      <w:lvlJc w:val="left"/>
      <w:lvlText w:val="%1."/>
      <w:numFmt w:val="decimal"/>
      <w:start w:val="10"/>
    </w:lvl>
    <w:lvl w:ilvl="1">
      <w:lvlJc w:val="left"/>
      <w:lvlText w:val="%2"/>
      <w:numFmt w:val="lowerLetter"/>
      <w:start w:val="1"/>
    </w:lvl>
  </w:abstractNum>
  <w:abstractNum w:abstractNumId="39">
    <w:nsid w:val="6A2342EC"/>
    <w:multiLevelType w:val="hybridMultilevel"/>
    <w:lvl w:ilvl="0">
      <w:lvlJc w:val="left"/>
      <w:lvlText w:val="%1."/>
      <w:numFmt w:val="decimal"/>
      <w:start w:val="15"/>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51" Type="http://schemas.openxmlformats.org/officeDocument/2006/relationships/hyperlink" Target="https://www.sec.gov/Archives/edgar/data/823768/000110465926024739/tm268015d1_ex10-1.htm" TargetMode="External"/><Relationship Id="rId52" Type="http://schemas.openxmlformats.org/officeDocument/2006/relationships/hyperlink" Target="https://www.sec.gov/Archives/edgar/data/823768/000110465926024739/tm268015d1_ex10-2.htm" TargetMode="External"/><Relationship Id="rId53" Type="http://schemas.openxmlformats.org/officeDocument/2006/relationships/hyperlink" Target="https://www.sec.gov/Archives/edgar/data/823768/000110465926024739/tm268015d1_ex10-3.htm" TargetMode="External"/><Relationship Id="rId54" Type="http://schemas.openxmlformats.org/officeDocument/2006/relationships/hyperlink" Target="https://www.sec.gov/Archives/edgar/data/823768/000110465926027703/tm268718d1_ex10-1.htm" TargetMode="External"/><Relationship Id="rId55" Type="http://schemas.openxmlformats.org/officeDocument/2006/relationships/hyperlink" Target="https://www.sec.gov/Archives/edgar/data/823768/000110465926034537/tm26961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2026-04-29T12:13:34Z</dcterms:created>
  <dcterms:modified xsi:type="dcterms:W3CDTF">2026-04-29T12:13:34Z</dcterms:modified>
</cp:coreProperties>
</file>