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21,500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April 27, 2007, the last reported sale price of the common stock on the New York Stock Exchange was $38.13 per share.</w:t>
      </w:r>
    </w:p>
    <w:p>
      <w:pPr>
        <w:spacing w:after="0" w:line="62" w:lineRule="exact"/>
        <w:rPr>
          <w:sz w:val="20"/>
          <w:szCs w:val="20"/>
          <w:color w:val="auto"/>
        </w:rPr>
      </w:pPr>
    </w:p>
    <w:p>
      <w:pPr>
        <w:ind w:right="460" w:firstLine="222"/>
        <w:spacing w:after="0" w:line="308" w:lineRule="auto"/>
        <w:rPr>
          <w:sz w:val="20"/>
          <w:szCs w:val="20"/>
          <w:color w:val="auto"/>
        </w:rPr>
      </w:pPr>
      <w:r>
        <w:rPr>
          <w:rFonts w:ascii="Arial" w:cs="Arial" w:eastAsia="Arial" w:hAnsi="Arial"/>
          <w:sz w:val="17"/>
          <w:szCs w:val="17"/>
          <w:color w:val="auto"/>
        </w:rPr>
        <w:t>We are issuing the shares directly to a warrant holder upon exercise by such holder of an outstanding warrant. The warrant, originally issued in 1997, entitles the holder to purchase an aggregate of 21,500 shares of our common stock at a purchase price of $27.906 per share.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use the net proceeds of approximately $600,000 from the sale of the shares for general corporate purposes.</w:t>
      </w:r>
    </w:p>
    <w:p>
      <w:pPr>
        <w:spacing w:after="0" w:line="113"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April 30, 2007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April 30, 2007</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2019-12-20T05:11:04Z</dcterms:created>
  <dcterms:modified xsi:type="dcterms:W3CDTF">2019-12-20T05:11:04Z</dcterms:modified>
</cp:coreProperties>
</file>