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ODONNELL LAWRENCE III</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and COO</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8"/>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4"/>
          </w:tcPr>
          <w:p>
            <w:pPr>
              <w:ind w:left="26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01/26/2007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9,952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0000FF"/>
              </w:rPr>
              <w:t>150,661.4004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3"/>
          </w:tcPr>
          <w:p>
            <w:pPr>
              <w:jc w:val="right"/>
              <w:ind w:right="219"/>
              <w:spacing w:after="0"/>
              <w:rPr>
                <w:sz w:val="20"/>
                <w:szCs w:val="20"/>
                <w:color w:val="auto"/>
              </w:rPr>
            </w:pPr>
            <w:r>
              <w:rPr>
                <w:rFonts w:ascii="Arial" w:cs="Arial" w:eastAsia="Arial" w:hAnsi="Arial"/>
                <w:sz w:val="18"/>
                <w:szCs w:val="18"/>
                <w:color w:val="0000FF"/>
              </w:rPr>
              <w:t>3,711.4253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2019-12-16T05:38:03Z</dcterms:created>
  <dcterms:modified xsi:type="dcterms:W3CDTF">2019-12-16T05:38:03Z</dcterms:modified>
</cp:coreProperties>
</file>