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27,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263"/>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first quarter of 2021,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1299110. A replay of the call will be available on the Company’s website and by telephone until May 11, 2021. To access a replay telephonically, please dial (855) 859-2056 and use the replay conference ID number 1299110.</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2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dated April 27, 2021</w:t>
        </w:r>
      </w:hyperlink>
    </w:p>
    <w:p>
      <w:pPr>
        <w:spacing w:after="0" w:line="225" w:lineRule="exact"/>
        <w:rPr>
          <w:sz w:val="20"/>
          <w:szCs w:val="20"/>
          <w:color w:val="auto"/>
        </w:rPr>
      </w:pPr>
    </w:p>
    <w:p>
      <w:pPr>
        <w:ind w:left="5580" w:right="3480" w:hanging="5572"/>
        <w:spacing w:after="0" w:line="809" w:lineRule="auto"/>
        <w:tabs>
          <w:tab w:leader="none" w:pos="123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WASTE MANAGEMENT,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27, 2021</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7"/>
              </w:rPr>
              <w:t>Executive Vice President, Corporate Development and Chief Legal</w:t>
            </w:r>
          </w:p>
        </w:tc>
      </w:tr>
      <w:tr>
        <w:trPr>
          <w:trHeight w:val="230"/>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color w:val="7AB800"/>
        </w:rPr>
        <w:t>Waste Management Announces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color w:val="7AB800"/>
        </w:rPr>
        <w:t>First Quarter Earnings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Strong Operating and Financial Results Surpass Expectations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Company Increases 2021 Financial Guidance</w:t>
      </w:r>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HOUSTON — Apr. 27, 2021 — </w:t>
      </w:r>
      <w:r>
        <w:rPr>
          <w:rFonts w:ascii="Arial" w:cs="Arial" w:eastAsia="Arial" w:hAnsi="Arial"/>
          <w:sz w:val="18"/>
          <w:szCs w:val="18"/>
          <w:color w:val="auto"/>
        </w:rPr>
        <w:t>Waste Management, Inc. (NYSE: WM)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2021.</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6"/>
          </w:tcPr>
          <w:p>
            <w:pPr>
              <w:jc w:val="center"/>
              <w:ind w:right="3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580" w:type="dxa"/>
            <w:vAlign w:val="bottom"/>
            <w:gridSpan w:val="5"/>
          </w:tcPr>
          <w:p>
            <w:pPr>
              <w:jc w:val="center"/>
              <w:ind w:right="80"/>
              <w:spacing w:after="0"/>
              <w:rPr>
                <w:sz w:val="20"/>
                <w:szCs w:val="20"/>
                <w:color w:val="auto"/>
              </w:rPr>
            </w:pPr>
            <w:r>
              <w:rPr>
                <w:rFonts w:ascii="Arial" w:cs="Arial" w:eastAsia="Arial" w:hAnsi="Arial"/>
                <w:sz w:val="14"/>
                <w:szCs w:val="14"/>
                <w:color w:val="auto"/>
              </w:rPr>
              <w:t>Three Months Ended</w:t>
            </w: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gridSpan w:val="6"/>
          </w:tcPr>
          <w:p>
            <w:pPr>
              <w:jc w:val="center"/>
              <w:ind w:right="340"/>
              <w:spacing w:after="0" w:line="144" w:lineRule="exact"/>
              <w:rPr>
                <w:sz w:val="20"/>
                <w:szCs w:val="20"/>
                <w:color w:val="auto"/>
              </w:rPr>
            </w:pPr>
            <w:r>
              <w:rPr>
                <w:rFonts w:ascii="Arial" w:cs="Arial" w:eastAsia="Arial" w:hAnsi="Arial"/>
                <w:sz w:val="14"/>
                <w:szCs w:val="14"/>
                <w:color w:val="auto"/>
              </w:rPr>
              <w:t>March 31, 2021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gridSpan w:val="4"/>
          </w:tcPr>
          <w:p>
            <w:pPr>
              <w:jc w:val="center"/>
              <w:ind w:right="840"/>
              <w:spacing w:after="0" w:line="144" w:lineRule="exact"/>
              <w:rPr>
                <w:sz w:val="20"/>
                <w:szCs w:val="20"/>
                <w:color w:val="auto"/>
              </w:rPr>
            </w:pPr>
            <w:r>
              <w:rPr>
                <w:rFonts w:ascii="Arial" w:cs="Arial" w:eastAsia="Arial" w:hAnsi="Arial"/>
                <w:sz w:val="14"/>
                <w:szCs w:val="14"/>
                <w:color w:val="auto"/>
              </w:rPr>
              <w:t>March 31, 2020</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gridSpan w:val="6"/>
          </w:tcPr>
          <w:p>
            <w:pPr>
              <w:jc w:val="center"/>
              <w:ind w:right="360"/>
              <w:spacing w:after="0" w:line="142" w:lineRule="exact"/>
              <w:rPr>
                <w:sz w:val="20"/>
                <w:szCs w:val="20"/>
                <w:color w:val="auto"/>
              </w:rPr>
            </w:pPr>
            <w:r>
              <w:rPr>
                <w:rFonts w:ascii="Arial" w:cs="Arial" w:eastAsia="Arial" w:hAnsi="Arial"/>
                <w:sz w:val="14"/>
                <w:szCs w:val="14"/>
                <w:color w:val="auto"/>
              </w:rPr>
              <w:t>(in millions, except per share amounts)</w:t>
            </w:r>
          </w:p>
        </w:tc>
        <w:tc>
          <w:tcPr>
            <w:tcW w:w="2680" w:type="dxa"/>
            <w:vAlign w:val="bottom"/>
            <w:gridSpan w:val="6"/>
          </w:tcPr>
          <w:p>
            <w:pPr>
              <w:jc w:val="center"/>
              <w:spacing w:after="0" w:line="142" w:lineRule="exact"/>
              <w:rPr>
                <w:sz w:val="20"/>
                <w:szCs w:val="20"/>
                <w:color w:val="auto"/>
              </w:rPr>
            </w:pPr>
            <w:r>
              <w:rPr>
                <w:rFonts w:ascii="Arial" w:cs="Arial" w:eastAsia="Arial" w:hAnsi="Arial"/>
                <w:sz w:val="14"/>
                <w:szCs w:val="14"/>
                <w:color w:val="auto"/>
              </w:rPr>
              <w:t>(in millions, except per share amounts)</w:t>
            </w:r>
          </w:p>
        </w:tc>
      </w:tr>
      <w:tr>
        <w:trPr>
          <w:trHeight w:val="345"/>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As Reported</w:t>
            </w:r>
          </w:p>
        </w:tc>
        <w:tc>
          <w:tcPr>
            <w:tcW w:w="126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color w:val="auto"/>
              </w:rPr>
              <w:t>As Adjusted</w:t>
            </w:r>
            <w:r>
              <w:rPr>
                <w:rFonts w:ascii="Arial" w:cs="Arial" w:eastAsia="Arial" w:hAnsi="Arial"/>
                <w:sz w:val="23"/>
                <w:szCs w:val="23"/>
                <w:color w:val="auto"/>
                <w:vertAlign w:val="superscript"/>
              </w:rPr>
              <w:t>(a)</w:t>
            </w:r>
          </w:p>
        </w:tc>
        <w:tc>
          <w:tcPr>
            <w:tcW w:w="3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color w:val="auto"/>
              </w:rPr>
              <w:t>As Reported</w:t>
            </w:r>
          </w:p>
        </w:tc>
        <w:tc>
          <w:tcPr>
            <w:tcW w:w="12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color w:val="auto"/>
              </w:rPr>
              <w:t>As Adjusted</w:t>
            </w:r>
            <w:r>
              <w:rPr>
                <w:rFonts w:ascii="Arial" w:cs="Arial" w:eastAsia="Arial" w:hAnsi="Arial"/>
                <w:sz w:val="23"/>
                <w:szCs w:val="23"/>
                <w:color w:val="auto"/>
                <w:vertAlign w:val="superscript"/>
              </w:rPr>
              <w:t>(a)</w:t>
            </w:r>
          </w:p>
        </w:tc>
        <w:tc>
          <w:tcPr>
            <w:tcW w:w="100" w:type="dxa"/>
            <w:vAlign w:val="bottom"/>
          </w:tcPr>
          <w:p>
            <w:pPr>
              <w:spacing w:after="0"/>
              <w:rPr>
                <w:sz w:val="24"/>
                <w:szCs w:val="24"/>
                <w:color w:val="auto"/>
              </w:rPr>
            </w:pPr>
          </w:p>
        </w:tc>
      </w:tr>
      <w:tr>
        <w:trPr>
          <w:trHeight w:val="332"/>
        </w:trPr>
        <w:tc>
          <w:tcPr>
            <w:tcW w:w="3280" w:type="dxa"/>
            <w:vAlign w:val="bottom"/>
          </w:tcPr>
          <w:p>
            <w:pPr>
              <w:spacing w:after="0"/>
              <w:rPr>
                <w:sz w:val="20"/>
                <w:szCs w:val="20"/>
                <w:color w:val="auto"/>
              </w:rPr>
            </w:pPr>
            <w:r>
              <w:rPr>
                <w:rFonts w:ascii="Arial" w:cs="Arial" w:eastAsia="Arial" w:hAnsi="Arial"/>
                <w:sz w:val="14"/>
                <w:szCs w:val="14"/>
                <w:color w:val="auto"/>
              </w:rPr>
              <w:t>Revenue</w:t>
            </w:r>
          </w:p>
        </w:tc>
        <w:tc>
          <w:tcPr>
            <w:tcW w:w="13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rPr>
              <w:t>$4,112</w:t>
            </w:r>
          </w:p>
        </w:tc>
        <w:tc>
          <w:tcPr>
            <w:tcW w:w="1260" w:type="dxa"/>
            <w:vAlign w:val="bottom"/>
            <w:tcBorders>
              <w:top w:val="single" w:sz="8" w:color="auto"/>
            </w:tcBorders>
            <w:gridSpan w:val="2"/>
          </w:tcPr>
          <w:p>
            <w:pPr>
              <w:jc w:val="center"/>
              <w:ind w:left="68"/>
              <w:spacing w:after="0"/>
              <w:rPr>
                <w:sz w:val="20"/>
                <w:szCs w:val="20"/>
                <w:color w:val="auto"/>
              </w:rPr>
            </w:pPr>
            <w:r>
              <w:rPr>
                <w:rFonts w:ascii="Arial" w:cs="Arial" w:eastAsia="Arial" w:hAnsi="Arial"/>
                <w:sz w:val="14"/>
                <w:szCs w:val="14"/>
                <w:color w:val="auto"/>
              </w:rPr>
              <w:t>$4,112</w:t>
            </w: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rPr>
              <w:t>$3,729</w:t>
            </w:r>
          </w:p>
        </w:tc>
        <w:tc>
          <w:tcPr>
            <w:tcW w:w="1260" w:type="dxa"/>
            <w:vAlign w:val="bottom"/>
            <w:tcBorders>
              <w:top w:val="single" w:sz="8" w:color="auto"/>
            </w:tcBorders>
            <w:gridSpan w:val="2"/>
          </w:tcPr>
          <w:p>
            <w:pPr>
              <w:jc w:val="center"/>
              <w:ind w:left="68"/>
              <w:spacing w:after="0"/>
              <w:rPr>
                <w:sz w:val="20"/>
                <w:szCs w:val="20"/>
                <w:color w:val="auto"/>
              </w:rPr>
            </w:pPr>
            <w:r>
              <w:rPr>
                <w:rFonts w:ascii="Arial" w:cs="Arial" w:eastAsia="Arial" w:hAnsi="Arial"/>
                <w:sz w:val="14"/>
                <w:szCs w:val="14"/>
                <w:color w:val="auto"/>
              </w:rPr>
              <w:t>$3,729</w:t>
            </w:r>
          </w:p>
        </w:tc>
        <w:tc>
          <w:tcPr>
            <w:tcW w:w="100" w:type="dxa"/>
            <w:vAlign w:val="bottom"/>
            <w:tcBorders>
              <w:top w:val="single" w:sz="8" w:color="auto"/>
            </w:tcBorders>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860" w:type="dxa"/>
            <w:vAlign w:val="bottom"/>
            <w:gridSpan w:val="2"/>
          </w:tcPr>
          <w:p>
            <w:pPr>
              <w:jc w:val="center"/>
              <w:ind w:left="428"/>
              <w:spacing w:after="0"/>
              <w:rPr>
                <w:sz w:val="20"/>
                <w:szCs w:val="20"/>
                <w:color w:val="auto"/>
              </w:rPr>
            </w:pPr>
            <w:r>
              <w:rPr>
                <w:rFonts w:ascii="Arial" w:cs="Arial" w:eastAsia="Arial" w:hAnsi="Arial"/>
                <w:sz w:val="14"/>
                <w:szCs w:val="14"/>
                <w:color w:val="auto"/>
              </w:rPr>
              <w:t>$650</w:t>
            </w:r>
          </w:p>
        </w:tc>
        <w:tc>
          <w:tcPr>
            <w:tcW w:w="460" w:type="dxa"/>
            <w:vAlign w:val="bottom"/>
          </w:tcPr>
          <w:p>
            <w:pPr>
              <w:spacing w:after="0"/>
              <w:rPr>
                <w:sz w:val="24"/>
                <w:szCs w:val="24"/>
                <w:color w:val="auto"/>
              </w:rPr>
            </w:pP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center"/>
              <w:ind w:left="448"/>
              <w:spacing w:after="0"/>
              <w:rPr>
                <w:sz w:val="20"/>
                <w:szCs w:val="20"/>
                <w:color w:val="auto"/>
              </w:rPr>
            </w:pPr>
            <w:r>
              <w:rPr>
                <w:rFonts w:ascii="Arial" w:cs="Arial" w:eastAsia="Arial" w:hAnsi="Arial"/>
                <w:sz w:val="14"/>
                <w:szCs w:val="14"/>
                <w:color w:val="auto"/>
              </w:rPr>
              <w:t>$573</w:t>
            </w:r>
          </w:p>
        </w:tc>
        <w:tc>
          <w:tcPr>
            <w:tcW w:w="480" w:type="dxa"/>
            <w:vAlign w:val="bottom"/>
          </w:tcPr>
          <w:p>
            <w:pPr>
              <w:spacing w:after="0"/>
              <w:rPr>
                <w:sz w:val="24"/>
                <w:szCs w:val="24"/>
                <w:color w:val="auto"/>
              </w:rPr>
            </w:pP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4"/>
                <w:szCs w:val="24"/>
                <w:color w:val="auto"/>
              </w:rPr>
            </w:pPr>
          </w:p>
        </w:tc>
      </w:tr>
      <w:tr>
        <w:trPr>
          <w:trHeight w:val="454"/>
        </w:trPr>
        <w:tc>
          <w:tcPr>
            <w:tcW w:w="3280" w:type="dxa"/>
            <w:vAlign w:val="bottom"/>
          </w:tcPr>
          <w:p>
            <w:pPr>
              <w:spacing w:after="0"/>
              <w:rPr>
                <w:sz w:val="20"/>
                <w:szCs w:val="20"/>
                <w:color w:val="auto"/>
              </w:rPr>
            </w:pPr>
            <w:r>
              <w:rPr>
                <w:rFonts w:ascii="Arial" w:cs="Arial" w:eastAsia="Arial" w:hAnsi="Arial"/>
                <w:sz w:val="14"/>
                <w:szCs w:val="14"/>
                <w:color w:val="auto"/>
              </w:rPr>
              <w:t>Operating EBITDA</w:t>
            </w:r>
            <w:r>
              <w:rPr>
                <w:rFonts w:ascii="Arial" w:cs="Arial" w:eastAsia="Arial" w:hAnsi="Arial"/>
                <w:sz w:val="23"/>
                <w:szCs w:val="23"/>
                <w:color w:val="auto"/>
                <w:vertAlign w:val="superscript"/>
              </w:rPr>
              <w:t>(b)</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rPr>
              <w:t>$1,122</w:t>
            </w: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center"/>
              <w:ind w:left="448"/>
              <w:spacing w:after="0"/>
              <w:rPr>
                <w:sz w:val="20"/>
                <w:szCs w:val="20"/>
                <w:color w:val="auto"/>
              </w:rPr>
            </w:pPr>
            <w:r>
              <w:rPr>
                <w:rFonts w:ascii="Arial" w:cs="Arial" w:eastAsia="Arial" w:hAnsi="Arial"/>
                <w:sz w:val="14"/>
                <w:szCs w:val="14"/>
                <w:color w:val="auto"/>
              </w:rPr>
              <w:t>$975</w:t>
            </w:r>
          </w:p>
        </w:tc>
        <w:tc>
          <w:tcPr>
            <w:tcW w:w="480" w:type="dxa"/>
            <w:vAlign w:val="bottom"/>
          </w:tcPr>
          <w:p>
            <w:pPr>
              <w:spacing w:after="0"/>
              <w:rPr>
                <w:sz w:val="24"/>
                <w:szCs w:val="24"/>
                <w:color w:val="auto"/>
              </w:rPr>
            </w:pP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4"/>
                <w:szCs w:val="24"/>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4"/>
                <w:szCs w:val="14"/>
                <w:color w:val="auto"/>
              </w:rPr>
              <w:t>Operating EBITDA Margin</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rPr>
              <w:t>27.3%</w:t>
            </w:r>
          </w:p>
        </w:tc>
        <w:tc>
          <w:tcPr>
            <w:tcW w:w="1260" w:type="dxa"/>
            <w:vAlign w:val="bottom"/>
            <w:gridSpan w:val="2"/>
          </w:tcPr>
          <w:p>
            <w:pPr>
              <w:jc w:val="center"/>
              <w:ind w:left="8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rPr>
              <w:t>26.1%</w:t>
            </w:r>
          </w:p>
        </w:tc>
        <w:tc>
          <w:tcPr>
            <w:tcW w:w="1260" w:type="dxa"/>
            <w:vAlign w:val="bottom"/>
            <w:gridSpan w:val="2"/>
          </w:tcPr>
          <w:p>
            <w:pPr>
              <w:jc w:val="center"/>
              <w:ind w:lef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9"/>
                <w:szCs w:val="19"/>
                <w:color w:val="auto"/>
              </w:rPr>
            </w:pPr>
          </w:p>
        </w:tc>
      </w:tr>
      <w:tr>
        <w:trPr>
          <w:trHeight w:val="454"/>
        </w:trPr>
        <w:tc>
          <w:tcPr>
            <w:tcW w:w="3280" w:type="dxa"/>
            <w:vAlign w:val="bottom"/>
          </w:tcPr>
          <w:p>
            <w:pPr>
              <w:spacing w:after="0"/>
              <w:rPr>
                <w:sz w:val="20"/>
                <w:szCs w:val="20"/>
                <w:color w:val="auto"/>
              </w:rPr>
            </w:pPr>
            <w:r>
              <w:rPr>
                <w:rFonts w:ascii="Arial" w:cs="Arial" w:eastAsia="Arial" w:hAnsi="Arial"/>
                <w:sz w:val="14"/>
                <w:szCs w:val="14"/>
                <w:color w:val="auto"/>
              </w:rPr>
              <w:t>Net Income</w:t>
            </w:r>
            <w:r>
              <w:rPr>
                <w:rFonts w:ascii="Arial" w:cs="Arial" w:eastAsia="Arial" w:hAnsi="Arial"/>
                <w:sz w:val="23"/>
                <w:szCs w:val="23"/>
                <w:color w:val="auto"/>
                <w:vertAlign w:val="superscript"/>
              </w:rPr>
              <w:t>(c)</w:t>
            </w:r>
          </w:p>
        </w:tc>
        <w:tc>
          <w:tcPr>
            <w:tcW w:w="860" w:type="dxa"/>
            <w:vAlign w:val="bottom"/>
            <w:gridSpan w:val="2"/>
          </w:tcPr>
          <w:p>
            <w:pPr>
              <w:jc w:val="center"/>
              <w:ind w:left="428"/>
              <w:spacing w:after="0"/>
              <w:rPr>
                <w:sz w:val="20"/>
                <w:szCs w:val="20"/>
                <w:color w:val="auto"/>
              </w:rPr>
            </w:pPr>
            <w:r>
              <w:rPr>
                <w:rFonts w:ascii="Arial" w:cs="Arial" w:eastAsia="Arial" w:hAnsi="Arial"/>
                <w:sz w:val="14"/>
                <w:szCs w:val="14"/>
                <w:color w:val="auto"/>
              </w:rPr>
              <w:t>$421</w:t>
            </w:r>
          </w:p>
        </w:tc>
        <w:tc>
          <w:tcPr>
            <w:tcW w:w="460" w:type="dxa"/>
            <w:vAlign w:val="bottom"/>
          </w:tcPr>
          <w:p>
            <w:pPr>
              <w:spacing w:after="0"/>
              <w:rPr>
                <w:sz w:val="24"/>
                <w:szCs w:val="24"/>
                <w:color w:val="auto"/>
              </w:rPr>
            </w:pP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center"/>
              <w:ind w:left="448"/>
              <w:spacing w:after="0"/>
              <w:rPr>
                <w:sz w:val="20"/>
                <w:szCs w:val="20"/>
                <w:color w:val="auto"/>
              </w:rPr>
            </w:pPr>
            <w:r>
              <w:rPr>
                <w:rFonts w:ascii="Arial" w:cs="Arial" w:eastAsia="Arial" w:hAnsi="Arial"/>
                <w:sz w:val="14"/>
                <w:szCs w:val="14"/>
                <w:color w:val="auto"/>
              </w:rPr>
              <w:t>$361</w:t>
            </w:r>
          </w:p>
        </w:tc>
        <w:tc>
          <w:tcPr>
            <w:tcW w:w="480" w:type="dxa"/>
            <w:vAlign w:val="bottom"/>
          </w:tcPr>
          <w:p>
            <w:pPr>
              <w:spacing w:after="0"/>
              <w:rPr>
                <w:sz w:val="24"/>
                <w:szCs w:val="24"/>
                <w:color w:val="auto"/>
              </w:rPr>
            </w:pP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4"/>
                <w:szCs w:val="24"/>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4"/>
                <w:szCs w:val="14"/>
                <w:color w:val="auto"/>
              </w:rPr>
              <w:t>Diluted EPS</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rPr>
              <w:t>$0.99</w:t>
            </w: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rPr>
              <w:t>$0.85</w:t>
            </w:r>
          </w:p>
        </w:tc>
        <w:tc>
          <w:tcPr>
            <w:tcW w:w="1260" w:type="dxa"/>
            <w:vAlign w:val="bottom"/>
            <w:gridSpan w:val="2"/>
          </w:tcPr>
          <w:p>
            <w:pPr>
              <w:jc w:val="center"/>
              <w:ind w:left="68"/>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9"/>
                <w:szCs w:val="19"/>
                <w:color w:val="auto"/>
              </w:rPr>
            </w:pPr>
          </w:p>
        </w:tc>
      </w:tr>
    </w:tbl>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had an exceptionally strong start to the year with first quarter adjusted operating EBITDA growth of more than 14% and adjusted operating EBITDA margin expansion of 100 basis points,” said Jim Fish, Waste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Management’s President and Chief Executive Officer.</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“We achieved these results by generating strong yield, flexing down our cost structure, and executing on the integration of Advanced Disposal. With this solid performance and our confidence in the strength of our business model, we are increasing our 2021 financial guidance that we provided in February for revenue, adjusted operating EBITDA and free cash flow.</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the strong performance of our core business, the integration of Advanced Disposal is going remarkably well. Based upon the success of the integration efforts so far, we believe we will capture synergies above our original expectations. We now expect to achieve $130 million in annual run-rate synergies from operating costs and SG&amp;A savings, which is a more than 60% increase from our initial estimates. The revised estimate includes between $75 million and $85 million in run-rate synergies captured during 2021, up from our prior guidance of between $50 million and $60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00693A"/>
        </w:rPr>
        <w:t>FOR MORE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693A"/>
        </w:rPr>
        <w:t>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Waste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Website</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u w:val="single" w:color="auto"/>
          <w:color w:val="0000FF"/>
        </w:rPr>
        <w:t>www.wm.com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Analysts &amp; Media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57584F"/>
        </w:rPr>
        <w:t>Ed Egl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eegl@wm.com</w:t>
      </w:r>
    </w:p>
    <w:p>
      <w:pPr>
        <w:sectPr>
          <w:pgSz w:w="11900" w:h="16838" w:orient="portrait"/>
          <w:cols w:equalWidth="0" w:num="2">
            <w:col w:w="9000" w:space="640"/>
            <w:col w:w="160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FIRST QUARTER OF 2021</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Revenue</w:t>
      </w:r>
    </w:p>
    <w:p>
      <w:pPr>
        <w:spacing w:after="0" w:line="247" w:lineRule="exact"/>
        <w:rPr>
          <w:sz w:val="20"/>
          <w:szCs w:val="20"/>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revenue declined $5 million in the Company’s collection and disposal business, when excluding the impact of acquisitions and divestitures, compared to the first quarter of 2020, driven by $98 million in volume declines partially offset by $93 million of growth from yield.</w:t>
      </w:r>
    </w:p>
    <w:p>
      <w:pPr>
        <w:spacing w:after="0" w:line="2" w:lineRule="exact"/>
        <w:rPr>
          <w:rFonts w:ascii="Arial" w:cs="Arial" w:eastAsia="Arial" w:hAnsi="Arial"/>
          <w:sz w:val="18"/>
          <w:szCs w:val="18"/>
          <w:color w:val="auto"/>
        </w:rPr>
      </w:pPr>
    </w:p>
    <w:p>
      <w:pPr>
        <w:ind w:left="920" w:right="1139" w:hanging="345"/>
        <w:spacing w:after="0" w:line="19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Core price for the first quarter of 2021 was 3.4% compared to 3.2% in the fourth quarter of 2020 and 4.2% in the first quarter of 2020.</w:t>
      </w:r>
      <w:r>
        <w:rPr>
          <w:rFonts w:ascii="Arial" w:cs="Arial" w:eastAsia="Arial" w:hAnsi="Arial"/>
          <w:sz w:val="29"/>
          <w:szCs w:val="29"/>
          <w:color w:val="auto"/>
          <w:vertAlign w:val="superscript"/>
        </w:rPr>
        <w:t>(d)</w:t>
      </w:r>
    </w:p>
    <w:p>
      <w:pPr>
        <w:spacing w:after="0" w:line="1" w:lineRule="exact"/>
        <w:rPr>
          <w:rFonts w:ascii="Arial" w:cs="Arial" w:eastAsia="Arial" w:hAnsi="Arial"/>
          <w:sz w:val="18"/>
          <w:szCs w:val="18"/>
          <w:color w:val="auto"/>
        </w:rPr>
      </w:pPr>
    </w:p>
    <w:p>
      <w:pPr>
        <w:ind w:left="920" w:right="115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Collection and disposal yield was 2.8% in the first quarter of 2021 compared to 2.3% in the fourth quarter of 2020 and 2.2% in the first quarter of 2020.</w:t>
      </w:r>
    </w:p>
    <w:p>
      <w:pPr>
        <w:spacing w:after="0" w:line="1" w:lineRule="exact"/>
        <w:rPr>
          <w:rFonts w:ascii="Arial" w:cs="Arial" w:eastAsia="Arial" w:hAnsi="Arial"/>
          <w:sz w:val="18"/>
          <w:szCs w:val="18"/>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Company volumes declined 2.7% in the first quarter of 2021, or 2.1% on a workday adjusted basis, compared to a decline of 2.6% on a workday adjusted basis in the fourth quarter of 2020 and a decline of 0.4% on a workday adjusted basis in the first quarter of 2020.</w:t>
      </w:r>
    </w:p>
    <w:p>
      <w:pPr>
        <w:spacing w:after="0" w:line="2" w:lineRule="exact"/>
        <w:rPr>
          <w:rFonts w:ascii="Arial" w:cs="Arial" w:eastAsia="Arial" w:hAnsi="Arial"/>
          <w:sz w:val="18"/>
          <w:szCs w:val="18"/>
          <w:color w:val="auto"/>
        </w:rPr>
      </w:pPr>
    </w:p>
    <w:p>
      <w:pPr>
        <w:ind w:left="920" w:right="1139" w:hanging="345"/>
        <w:spacing w:after="0" w:line="24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acquisitions, net of divestitures, added $292 million of revenue primarily from the acquisition of Advanced Disposal.</w:t>
      </w:r>
    </w:p>
    <w:p>
      <w:pPr>
        <w:spacing w:after="0" w:line="17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Cost Management</w:t>
      </w:r>
    </w:p>
    <w:p>
      <w:pPr>
        <w:spacing w:after="0" w:line="247" w:lineRule="exact"/>
        <w:rPr>
          <w:rFonts w:ascii="Arial" w:cs="Arial" w:eastAsia="Arial" w:hAnsi="Arial"/>
          <w:sz w:val="18"/>
          <w:szCs w:val="18"/>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as a percentage of revenue improved 130 basis points to 61.1% when compared to the first quarter of 2020, demonstrating the Company’s ability to operate under a lower cost structure.</w:t>
      </w:r>
    </w:p>
    <w:p>
      <w:pPr>
        <w:spacing w:after="0" w:line="2" w:lineRule="exact"/>
        <w:rPr>
          <w:rFonts w:ascii="Arial" w:cs="Arial" w:eastAsia="Arial" w:hAnsi="Arial"/>
          <w:sz w:val="18"/>
          <w:szCs w:val="18"/>
          <w:color w:val="auto"/>
        </w:rPr>
      </w:pPr>
    </w:p>
    <w:p>
      <w:pPr>
        <w:jc w:val="both"/>
        <w:ind w:left="920" w:right="1139" w:hanging="345"/>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were 11.1% of revenue in the first quarter of 2021 compared to 11.4% in the first quarter of 2020. On an adjusted basis, SG&amp;A expenses were 10.7% of revenue in the first quarter of 2021 compared to 10.5% in the first quarter of 2020.</w:t>
      </w:r>
      <w:r>
        <w:rPr>
          <w:rFonts w:ascii="Arial" w:cs="Arial" w:eastAsia="Arial" w:hAnsi="Arial"/>
          <w:sz w:val="29"/>
          <w:szCs w:val="29"/>
          <w:color w:val="auto"/>
          <w:vertAlign w:val="superscript"/>
        </w:rPr>
        <w:t>(a)</w:t>
      </w:r>
    </w:p>
    <w:p>
      <w:pPr>
        <w:spacing w:after="0" w:line="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Profitability</w:t>
      </w:r>
    </w:p>
    <w:p>
      <w:pPr>
        <w:spacing w:after="0" w:line="247" w:lineRule="exact"/>
        <w:rPr>
          <w:rFonts w:ascii="Arial" w:cs="Arial" w:eastAsia="Arial" w:hAnsi="Arial"/>
          <w:sz w:val="18"/>
          <w:szCs w:val="18"/>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was $1.29 billion, or 31.8% of revenue, for the first quarter of 2021, compared to $1.18 billion, or 31.3% of revenue, for the first quarter of 2020.</w:t>
      </w:r>
    </w:p>
    <w:p>
      <w:pPr>
        <w:spacing w:after="0" w:line="2" w:lineRule="exact"/>
        <w:rPr>
          <w:rFonts w:ascii="Arial" w:cs="Arial" w:eastAsia="Arial" w:hAnsi="Arial"/>
          <w:sz w:val="18"/>
          <w:szCs w:val="18"/>
          <w:color w:val="auto"/>
        </w:rPr>
      </w:pPr>
    </w:p>
    <w:p>
      <w:pPr>
        <w:jc w:val="both"/>
        <w:ind w:left="920" w:right="115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EBITDA in the Company’s recycling line of business improved by $34 million compared to the first quarter of 2020. The improvement was driven by the Company’s efforts to develop a sustainable business model that also meets customers’ environmental needs as well as an increase in market prices for recycled commodities.</w:t>
      </w:r>
    </w:p>
    <w:p>
      <w:pPr>
        <w:spacing w:after="0" w:line="2" w:lineRule="exact"/>
        <w:rPr>
          <w:rFonts w:ascii="Arial" w:cs="Arial" w:eastAsia="Arial" w:hAnsi="Arial"/>
          <w:sz w:val="18"/>
          <w:szCs w:val="18"/>
          <w:color w:val="auto"/>
        </w:rPr>
      </w:pPr>
    </w:p>
    <w:p>
      <w:pPr>
        <w:ind w:left="920" w:right="1139" w:hanging="345"/>
        <w:spacing w:after="0" w:line="24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the Company realized $12 million of operating and SG&amp;A cost synergies from the acquisition of Advanced Disposal.</w:t>
      </w:r>
    </w:p>
    <w:p>
      <w:pPr>
        <w:spacing w:after="0" w:line="17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47" w:lineRule="exact"/>
        <w:rPr>
          <w:rFonts w:ascii="Arial" w:cs="Arial" w:eastAsia="Arial" w:hAnsi="Arial"/>
          <w:sz w:val="18"/>
          <w:szCs w:val="18"/>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net cash provided by operating activities was $1.12 billion compared to $765 million in the first quarter of 2020, an increase of $355 million. The improvement in net cash provided by operating activities was primarily driven by the increase in operating EBITDA, lower incentive compensation payments, and improvements in working capital.</w:t>
      </w:r>
    </w:p>
    <w:p>
      <w:pPr>
        <w:spacing w:after="0" w:line="2" w:lineRule="exact"/>
        <w:rPr>
          <w:rFonts w:ascii="Arial" w:cs="Arial" w:eastAsia="Arial" w:hAnsi="Arial"/>
          <w:sz w:val="18"/>
          <w:szCs w:val="18"/>
          <w:color w:val="auto"/>
        </w:rPr>
      </w:pPr>
    </w:p>
    <w:p>
      <w:pPr>
        <w:jc w:val="both"/>
        <w:ind w:left="920" w:right="1139" w:hanging="345"/>
        <w:spacing w:after="0" w:line="23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capital expenditures were $270 million compared to $459 million in the first quarter of 2020. The decrease in capital spending was primarily driven by differences in the timing of fleet purchases and the Company’s acceleration of certain capital expenditures into the fourth quarter of 2020.</w:t>
      </w:r>
    </w:p>
    <w:p>
      <w:pPr>
        <w:spacing w:after="0" w:line="2" w:lineRule="exact"/>
        <w:rPr>
          <w:rFonts w:ascii="Arial" w:cs="Arial" w:eastAsia="Arial" w:hAnsi="Arial"/>
          <w:sz w:val="18"/>
          <w:szCs w:val="18"/>
          <w:color w:val="auto"/>
        </w:rPr>
      </w:pPr>
    </w:p>
    <w:p>
      <w:pPr>
        <w:ind w:left="920" w:right="1139" w:hanging="345"/>
        <w:spacing w:after="0" w:line="19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2021, free cash flow was $865 million compared to $318 million in the first quarter of 2020.</w:t>
      </w:r>
      <w:r>
        <w:rPr>
          <w:rFonts w:ascii="Arial" w:cs="Arial" w:eastAsia="Arial" w:hAnsi="Arial"/>
          <w:sz w:val="29"/>
          <w:szCs w:val="29"/>
          <w:color w:val="auto"/>
          <w:vertAlign w:val="superscript"/>
        </w:rPr>
        <w:t>(a)</w:t>
      </w:r>
    </w:p>
    <w:p>
      <w:pPr>
        <w:spacing w:after="0" w:line="1" w:lineRule="exact"/>
        <w:rPr>
          <w:rFonts w:ascii="Arial" w:cs="Arial" w:eastAsia="Arial" w:hAnsi="Arial"/>
          <w:sz w:val="18"/>
          <w:szCs w:val="18"/>
          <w:color w:val="auto"/>
        </w:rPr>
      </w:pPr>
    </w:p>
    <w:p>
      <w:pPr>
        <w:ind w:left="920" w:right="1159" w:hanging="345"/>
        <w:spacing w:after="0" w:line="24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2021, $497 million was returned to shareholders, including $247 million of cash dividends and $250 million allocated to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OUTLOOK</w:t>
      </w:r>
    </w:p>
    <w:p>
      <w:pPr>
        <w:spacing w:after="0" w:line="247" w:lineRule="exact"/>
        <w:rPr>
          <w:sz w:val="20"/>
          <w:szCs w:val="20"/>
          <w:color w:val="auto"/>
        </w:rPr>
      </w:pPr>
    </w:p>
    <w:p>
      <w:pPr>
        <w:jc w:val="both"/>
        <w:ind w:left="920" w:right="1139" w:hanging="345"/>
        <w:spacing w:after="0" w:line="23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Company revenue growth is expected to be 12.5% to 13%. Combined internal revenue growth from yield and volume in the collection and disposal business is expected to be 4.5% or greater, driven by the Company’s disciplined pricing programs and strong outlook for continued volume recovery.</w:t>
      </w:r>
    </w:p>
    <w:p>
      <w:pPr>
        <w:spacing w:after="0" w:line="2"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operating EBITDA is expected to be between $4.875 billion and $4.975 billion in 2021.</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is projected to be between $2.325 billion and $2.425 billion in 2021.</w:t>
      </w:r>
    </w:p>
    <w:p>
      <w:pPr>
        <w:spacing w:after="0" w:line="9" w:lineRule="exact"/>
        <w:rPr>
          <w:rFonts w:ascii="Arial" w:cs="Arial" w:eastAsia="Arial" w:hAnsi="Arial"/>
          <w:sz w:val="18"/>
          <w:szCs w:val="18"/>
          <w:color w:val="auto"/>
        </w:rPr>
      </w:pPr>
    </w:p>
    <w:p>
      <w:pPr>
        <w:jc w:val="both"/>
        <w:ind w:left="920" w:right="1139" w:hanging="345"/>
        <w:spacing w:after="0" w:line="23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Synergies from the acquisition of Advanced Disposal are expected to total $150 million, with $130 million coming from operating costs and SG&amp;A savings and $20 million coming from capital expenditure savings. This is an increase from the Company’s original expectation of $80 million in operating costs and SG&amp;A savings and $20 million in capital expenditure savings. In 2021, the Company expects to capture between $75 million and $85 million of cost synergies, bringing annual run-rate synergies to about $100 million at the end of the year.</w:t>
      </w:r>
    </w:p>
    <w:p>
      <w:pPr>
        <w:spacing w:after="0" w:line="205" w:lineRule="exact"/>
        <w:rPr>
          <w:sz w:val="20"/>
          <w:szCs w:val="20"/>
          <w:color w:val="auto"/>
        </w:rPr>
      </w:pPr>
    </w:p>
    <w:p>
      <w:pPr>
        <w:jc w:val="both"/>
        <w:ind w:right="1139"/>
        <w:spacing w:after="0"/>
        <w:rPr>
          <w:sz w:val="20"/>
          <w:szCs w:val="20"/>
          <w:color w:val="auto"/>
        </w:rPr>
      </w:pPr>
      <w:r>
        <w:rPr>
          <w:rFonts w:ascii="Arial" w:cs="Arial" w:eastAsia="Arial" w:hAnsi="Arial"/>
          <w:sz w:val="18"/>
          <w:szCs w:val="18"/>
          <w:color w:val="auto"/>
        </w:rPr>
        <w:t>Fish concluded, “We’ve previously discussed that Waste Management is well positioned to benefit as states and provinces emerge from the pandemic. We expect strong results as our commercial, industrial and landfill businesses—our three most profitable lines of business—continue to recover over the remainder of the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8" w:lineRule="exact"/>
        <w:rPr>
          <w:sz w:val="20"/>
          <w:szCs w:val="20"/>
          <w:color w:val="auto"/>
        </w:rPr>
      </w:pPr>
    </w:p>
    <w:p>
      <w:pPr>
        <w:ind w:left="920" w:right="1139" w:hanging="345"/>
        <w:spacing w:after="0" w:line="258"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93" w:lineRule="exact"/>
        <w:rPr>
          <w:rFonts w:ascii="Arial" w:cs="Arial" w:eastAsia="Arial" w:hAnsi="Arial"/>
          <w:sz w:val="14"/>
          <w:szCs w:val="14"/>
          <w:color w:val="auto"/>
        </w:rPr>
      </w:pPr>
    </w:p>
    <w:p>
      <w:pPr>
        <w:ind w:left="920" w:right="1159" w:hanging="345"/>
        <w:spacing w:after="0" w:line="258"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93" w:lineRule="exact"/>
        <w:rPr>
          <w:rFonts w:ascii="Arial" w:cs="Arial" w:eastAsia="Arial" w:hAnsi="Arial"/>
          <w:sz w:val="14"/>
          <w:szCs w:val="14"/>
          <w:color w:val="auto"/>
        </w:rPr>
      </w:pPr>
    </w:p>
    <w:p>
      <w:pPr>
        <w:ind w:left="920" w:right="1139" w:hanging="345"/>
        <w:spacing w:after="0" w:line="258"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93" w:lineRule="exact"/>
        <w:rPr>
          <w:rFonts w:ascii="Arial" w:cs="Arial" w:eastAsia="Arial" w:hAnsi="Arial"/>
          <w:sz w:val="14"/>
          <w:szCs w:val="14"/>
          <w:color w:val="auto"/>
        </w:rPr>
      </w:pPr>
    </w:p>
    <w:p>
      <w:pPr>
        <w:jc w:val="both"/>
        <w:ind w:left="920" w:right="1139" w:hanging="345"/>
        <w:spacing w:after="0" w:line="247"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23" w:lineRule="exact"/>
        <w:rPr>
          <w:sz w:val="20"/>
          <w:szCs w:val="20"/>
          <w:color w:val="auto"/>
        </w:rPr>
      </w:pPr>
    </w:p>
    <w:p>
      <w:pPr>
        <w:jc w:val="both"/>
        <w:ind w:right="1139"/>
        <w:spacing w:after="0" w:line="246" w:lineRule="auto"/>
        <w:rPr>
          <w:sz w:val="20"/>
          <w:szCs w:val="20"/>
          <w:color w:val="auto"/>
        </w:rPr>
      </w:pPr>
      <w:r>
        <w:rPr>
          <w:rFonts w:ascii="Arial" w:cs="Arial" w:eastAsia="Arial" w:hAnsi="Arial"/>
          <w:sz w:val="18"/>
          <w:szCs w:val="18"/>
          <w:color w:val="auto"/>
        </w:rPr>
        <w:t>The Company will host a conference call at 10 a.m. ET today to discuss the first quarter results. Information contained within this press release will be referenced and should be considered in conjunction with the call.</w:t>
      </w:r>
    </w:p>
    <w:p>
      <w:pPr>
        <w:spacing w:after="0" w:line="197" w:lineRule="exact"/>
        <w:rPr>
          <w:sz w:val="20"/>
          <w:szCs w:val="20"/>
          <w:color w:val="auto"/>
        </w:rPr>
      </w:pPr>
    </w:p>
    <w:p>
      <w:pPr>
        <w:jc w:val="both"/>
        <w:ind w:right="1139"/>
        <w:spacing w:after="0" w:line="257" w:lineRule="auto"/>
        <w:rPr>
          <w:sz w:val="20"/>
          <w:szCs w:val="20"/>
          <w:color w:val="auto"/>
        </w:rPr>
      </w:pPr>
      <w:r>
        <w:rPr>
          <w:rFonts w:ascii="Arial" w:cs="Arial" w:eastAsia="Arial" w:hAnsi="Arial"/>
          <w:sz w:val="17"/>
          <w:szCs w:val="17"/>
          <w:color w:val="auto"/>
        </w:rPr>
        <w:t xml:space="preserve">The conference call will be webcast live from the Investors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1299110 when prompted by the conference call operator.</w:t>
      </w:r>
    </w:p>
    <w:p>
      <w:pPr>
        <w:spacing w:after="0" w:line="189"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 p.m. ET today through 5 p.m. ET on Tuesday, May 11, 2021. To access the replay telephonically, please dial (855) 859-2056, or from outside of the United States or Canada dial (404) 537-3406 and use the replay conference ID number 1299110.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WASTE MANAGEMENT</w:t>
      </w:r>
    </w:p>
    <w:p>
      <w:pPr>
        <w:spacing w:after="0" w:line="18"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ind w:right="129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“Outlook” and all statements regarding 2021 financial guidance; future performance or financial results of our business; responses to, impacts of, and recovery from the COVID-19 pandemic; benefits and synergies from the acquisition of Advanced Disposal Services, Inc. (“Advanced Disposal”); future strength of our business model and our future cost structure, efficiencies and volumes.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realize anticipated synergies or obtain the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wage-related regulations; significant storms and destructive climate events; public health risk and other impacts of COVID-19 or similar pandemic conditions, including increased costs, social and commercial disruption and service reductions;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right="129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SG&amp;A expenses, adjusted operating EBITDA, adjusted operating EBITDA margin, and free cash flow, as well as projections of adjusted operating EBITDA and free cash flow for 2021.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7" w:name="page8"/>
    <w:bookmarkEnd w:id="7"/>
    <w:p>
      <w:pPr>
        <w:jc w:val="both"/>
        <w:ind w:right="1299"/>
        <w:spacing w:after="0" w:line="237" w:lineRule="auto"/>
        <w:rPr>
          <w:sz w:val="20"/>
          <w:szCs w:val="20"/>
          <w:color w:val="auto"/>
        </w:rPr>
      </w:pPr>
      <w:r>
        <w:rPr>
          <w:rFonts w:ascii="Arial" w:cs="Arial" w:eastAsia="Arial" w:hAnsi="Arial"/>
          <w:sz w:val="18"/>
          <w:szCs w:val="18"/>
          <w:color w:val="auto"/>
        </w:rPr>
        <w:t>In addition, the Company’s projected full year 2021 adjusted operating EBITDA is anticipated to exclude the effects of other events or circumstances in 2021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9" w:lineRule="exact"/>
        <w:rPr>
          <w:sz w:val="20"/>
          <w:szCs w:val="20"/>
          <w:color w:val="auto"/>
        </w:rPr>
      </w:pPr>
    </w:p>
    <w:p>
      <w:pPr>
        <w:jc w:val="both"/>
        <w:ind w:right="1299"/>
        <w:spacing w:after="0" w:line="251" w:lineRule="auto"/>
        <w:rPr>
          <w:sz w:val="20"/>
          <w:szCs w:val="20"/>
          <w:color w:val="auto"/>
        </w:rPr>
      </w:pPr>
      <w:r>
        <w:rPr>
          <w:rFonts w:ascii="Arial" w:cs="Arial" w:eastAsia="Arial" w:hAnsi="Arial"/>
          <w:sz w:val="17"/>
          <w:szCs w:val="17"/>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3" w:lineRule="exact"/>
        <w:rPr>
          <w:sz w:val="20"/>
          <w:szCs w:val="20"/>
          <w:color w:val="auto"/>
        </w:rPr>
      </w:pPr>
    </w:p>
    <w:p>
      <w:pPr>
        <w:jc w:val="both"/>
        <w:ind w:right="1299"/>
        <w:spacing w:after="0"/>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8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5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8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8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422.9</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common shares outstanding</w:t>
            </w:r>
          </w:p>
        </w:tc>
        <w:tc>
          <w:tcPr>
            <w:tcW w:w="1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4"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140" w:firstLine="216"/>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234"/>
        </w:trPr>
        <w:tc>
          <w:tcPr>
            <w:tcW w:w="5020" w:type="dxa"/>
            <w:vAlign w:val="bottom"/>
            <w:gridSpan w:val="2"/>
          </w:tcPr>
          <w:p>
            <w:pPr>
              <w:jc w:val="center"/>
              <w:ind w:right="667"/>
              <w:spacing w:after="0"/>
              <w:rPr>
                <w:sz w:val="20"/>
                <w:szCs w:val="20"/>
                <w:color w:val="auto"/>
              </w:rPr>
            </w:pPr>
            <w:r>
              <w:rPr>
                <w:rFonts w:ascii="Arial" w:cs="Arial" w:eastAsia="Arial" w:hAnsi="Arial"/>
                <w:sz w:val="18"/>
                <w:szCs w:val="18"/>
                <w:b w:val="1"/>
                <w:bCs w:val="1"/>
                <w:color w:val="auto"/>
              </w:rPr>
              <w:t>WASTE MANAGEMENT, INC.</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20" w:type="dxa"/>
            <w:vAlign w:val="bottom"/>
            <w:gridSpan w:val="2"/>
          </w:tcPr>
          <w:p>
            <w:pPr>
              <w:jc w:val="center"/>
              <w:ind w:right="667"/>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center"/>
              <w:ind w:right="667"/>
              <w:spacing w:after="0"/>
              <w:rPr>
                <w:sz w:val="20"/>
                <w:szCs w:val="20"/>
                <w:color w:val="auto"/>
              </w:rPr>
            </w:pPr>
            <w:r>
              <w:rPr>
                <w:rFonts w:ascii="Arial" w:cs="Arial" w:eastAsia="Arial" w:hAnsi="Arial"/>
                <w:sz w:val="18"/>
                <w:szCs w:val="18"/>
                <w:b w:val="1"/>
                <w:bCs w:val="1"/>
                <w:color w:val="auto"/>
                <w:w w:val="95"/>
              </w:rPr>
              <w:t>(In Millions)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jc w:val="center"/>
              <w:ind w:right="667"/>
              <w:spacing w:after="0"/>
              <w:rPr>
                <w:sz w:val="20"/>
                <w:szCs w:val="20"/>
                <w:color w:val="auto"/>
              </w:rPr>
            </w:pPr>
            <w:r>
              <w:rPr>
                <w:rFonts w:ascii="Arial" w:cs="Arial" w:eastAsia="Arial" w:hAnsi="Arial"/>
                <w:sz w:val="18"/>
                <w:szCs w:val="18"/>
                <w:b w:val="1"/>
                <w:bCs w:val="1"/>
                <w:color w:val="auto"/>
                <w:w w:val="91"/>
              </w:rPr>
              <w:t>(Unaudited)</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0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3,327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-1560195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-1276985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-1002665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-711200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-436880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-154305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-127635</wp:posOffset>
            </wp:positionV>
            <wp:extent cx="1774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180" w:space="720"/>
            <w:col w:w="83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3,041</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8"/>
                <w:szCs w:val="18"/>
                <w:color w:val="auto"/>
              </w:rPr>
            </w:pPr>
          </w:p>
        </w:tc>
      </w:tr>
      <w:tr>
        <w:trPr>
          <w:trHeight w:val="229"/>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r>
      <w:tr>
        <w:trPr>
          <w:trHeight w:val="210"/>
        </w:trPr>
        <w:tc>
          <w:tcPr>
            <w:tcW w:w="6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9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13,259</w:t>
            </w:r>
          </w:p>
        </w:tc>
        <w:tc>
          <w:tcPr>
            <w:tcW w:w="80" w:type="dxa"/>
            <w:vAlign w:val="bottom"/>
            <w:shd w:val="clear" w:color="auto" w:fill="CCEEFF"/>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5,112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19"/>
                <w:szCs w:val="19"/>
                <w:color w:val="auto"/>
              </w:rPr>
            </w:pPr>
          </w:p>
        </w:tc>
      </w:tr>
      <w:tr>
        <w:trPr>
          <w:trHeight w:val="210"/>
        </w:trPr>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Equity:</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7,452</w:t>
            </w:r>
          </w:p>
        </w:tc>
        <w:tc>
          <w:tcPr>
            <w:tcW w:w="80" w:type="dxa"/>
            <w:vAlign w:val="bottom"/>
            <w:shd w:val="clear" w:color="auto" w:fill="CCEEFF"/>
          </w:tcPr>
          <w:p>
            <w:pPr>
              <w:spacing w:after="0"/>
              <w:rPr>
                <w:sz w:val="18"/>
                <w:szCs w:val="18"/>
                <w:color w:val="auto"/>
              </w:rPr>
            </w:pPr>
          </w:p>
        </w:tc>
      </w:tr>
      <w:tr>
        <w:trPr>
          <w:trHeight w:val="229"/>
        </w:trPr>
        <w:tc>
          <w:tcPr>
            <w:tcW w:w="636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1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198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421</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
              <w:spacing w:after="0"/>
              <w:rPr>
                <w:sz w:val="20"/>
                <w:szCs w:val="20"/>
                <w:color w:val="auto"/>
              </w:rPr>
            </w:pPr>
            <w:r>
              <w:rPr>
                <w:rFonts w:ascii="Arial" w:cs="Arial" w:eastAsia="Arial" w:hAnsi="Arial"/>
                <w:sz w:val="18"/>
                <w:szCs w:val="18"/>
                <w:color w:val="auto"/>
              </w:rPr>
              <w:t>361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Arial" w:cs="Arial" w:eastAsia="Arial" w:hAnsi="Arial"/>
                <w:sz w:val="18"/>
                <w:szCs w:val="18"/>
                <w:color w:val="auto"/>
              </w:rPr>
              <w:t>402</w:t>
            </w: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r>
      <w:tr>
        <w:trPr>
          <w:trHeight w:val="230"/>
        </w:trPr>
        <w:tc>
          <w:tcPr>
            <w:tcW w:w="7720" w:type="dxa"/>
            <w:vAlign w:val="bottom"/>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w:t>
            </w:r>
          </w:p>
        </w:tc>
      </w:tr>
      <w:tr>
        <w:trPr>
          <w:trHeight w:val="229"/>
        </w:trPr>
        <w:tc>
          <w:tcPr>
            <w:tcW w:w="77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borrowings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 repayments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Common stock repurchase program</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Exercise of common stock options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Arial" w:cs="Arial" w:eastAsia="Arial" w:hAnsi="Arial"/>
                <w:sz w:val="18"/>
                <w:szCs w:val="18"/>
                <w:color w:val="auto"/>
              </w:rPr>
              <w:t>31</w:t>
            </w:r>
          </w:p>
        </w:tc>
      </w:tr>
      <w:tr>
        <w:trPr>
          <w:trHeight w:val="21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7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cash equivalents and restricted cash and cash equivalents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w:t>
            </w:r>
          </w:p>
        </w:tc>
        <w:tc>
          <w:tcPr>
            <w:tcW w:w="100" w:type="dxa"/>
            <w:vAlign w:val="bottom"/>
            <w:shd w:val="clear" w:color="auto" w:fill="CCEEFF"/>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1"/>
              <w:spacing w:after="0"/>
              <w:rPr>
                <w:sz w:val="20"/>
                <w:szCs w:val="20"/>
                <w:color w:val="auto"/>
              </w:rPr>
            </w:pPr>
            <w:r>
              <w:rPr>
                <w:rFonts w:ascii="Arial" w:cs="Arial" w:eastAsia="Arial" w:hAnsi="Arial"/>
                <w:sz w:val="18"/>
                <w:szCs w:val="18"/>
                <w:color w:val="auto"/>
                <w:w w:val="88"/>
              </w:rPr>
              <w:t>3,647</w:t>
            </w: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7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rPr>
              <w:t>WASTE MANAGEMENT, INC.</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SUMMARY DATA SHEET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Operating Revenues by Line of Business</w:t>
            </w: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14"/>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11"/>
          </w:tcPr>
          <w:p>
            <w:pPr>
              <w:jc w:val="right"/>
              <w:ind w:right="11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Residential</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collection</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3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2,772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Landfill</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Recycling</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Intercompany (a)</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4,112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vMerge w:val="continue"/>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gridSpan w:val="18"/>
          </w:tcPr>
          <w:p>
            <w:pPr>
              <w:jc w:val="center"/>
              <w:ind w:right="50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0"/>
              </w:rPr>
              <w:t>March 31, 2021 vs. 2020</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As a %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Business(b)</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Company(c)</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Recycling commodities (d)</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120"/>
              <w:spacing w:after="0"/>
              <w:rPr>
                <w:sz w:val="20"/>
                <w:szCs w:val="20"/>
                <w:color w:val="auto"/>
              </w:rPr>
            </w:pPr>
            <w:r>
              <w:rPr>
                <w:rFonts w:ascii="Arial" w:cs="Arial" w:eastAsia="Arial" w:hAnsi="Arial"/>
                <w:sz w:val="18"/>
                <w:szCs w:val="18"/>
                <w:color w:val="auto"/>
              </w:rPr>
              <w:t>Total average yield (e)</w:t>
            </w:r>
          </w:p>
        </w:tc>
        <w:tc>
          <w:tcPr>
            <w:tcW w:w="3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4"/>
          </w:tcPr>
          <w:p>
            <w:pPr>
              <w:jc w:val="right"/>
              <w:ind w:right="10"/>
              <w:spacing w:after="0"/>
              <w:rPr>
                <w:sz w:val="20"/>
                <w:szCs w:val="20"/>
                <w:color w:val="auto"/>
              </w:rPr>
            </w:pPr>
            <w:r>
              <w:rPr>
                <w:rFonts w:ascii="Arial" w:cs="Arial" w:eastAsia="Arial" w:hAnsi="Arial"/>
                <w:sz w:val="18"/>
                <w:szCs w:val="18"/>
                <w:color w:val="auto"/>
              </w:rPr>
              <w:t>181</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Volume</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740" w:type="dxa"/>
            <w:vAlign w:val="bottom"/>
          </w:tcPr>
          <w:p>
            <w:pPr>
              <w:ind w:left="120"/>
              <w:spacing w:after="0"/>
              <w:rPr>
                <w:sz w:val="20"/>
                <w:szCs w:val="20"/>
                <w:color w:val="auto"/>
              </w:rPr>
            </w:pPr>
            <w:r>
              <w:rPr>
                <w:rFonts w:ascii="Arial" w:cs="Arial" w:eastAsia="Arial" w:hAnsi="Arial"/>
                <w:sz w:val="18"/>
                <w:szCs w:val="18"/>
                <w:color w:val="auto"/>
              </w:rPr>
              <w:t>Internal revenue growth</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Divestitures</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14"/>
          </w:tcPr>
          <w:p>
            <w:pPr>
              <w:jc w:val="center"/>
              <w:ind w:right="38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14"/>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14"/>
          </w:tcPr>
          <w:p>
            <w:pPr>
              <w:jc w:val="center"/>
              <w:ind w:right="380"/>
              <w:spacing w:after="0"/>
              <w:rPr>
                <w:sz w:val="20"/>
                <w:szCs w:val="20"/>
                <w:color w:val="auto"/>
              </w:rPr>
            </w:pPr>
            <w:r>
              <w:rPr>
                <w:rFonts w:ascii="Arial" w:cs="Arial" w:eastAsia="Arial" w:hAnsi="Arial"/>
                <w:sz w:val="18"/>
                <w:szCs w:val="18"/>
                <w:b w:val="1"/>
                <w:bCs w:val="1"/>
                <w:color w:val="auto"/>
                <w:w w:val="90"/>
              </w:rPr>
              <w:t>March 31, 2021 vs. 2020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11"/>
          </w:tcPr>
          <w:p>
            <w:pPr>
              <w:jc w:val="center"/>
              <w:ind w:right="70"/>
              <w:spacing w:after="0"/>
              <w:rPr>
                <w:sz w:val="20"/>
                <w:szCs w:val="20"/>
                <w:color w:val="auto"/>
              </w:rPr>
            </w:pPr>
            <w:r>
              <w:rPr>
                <w:rFonts w:ascii="Arial" w:cs="Arial" w:eastAsia="Arial" w:hAnsi="Arial"/>
                <w:sz w:val="18"/>
                <w:szCs w:val="18"/>
                <w:b w:val="1"/>
                <w:bCs w:val="1"/>
                <w:color w:val="auto"/>
                <w:w w:val="89"/>
              </w:rPr>
              <w:t>As a % of Related Business(b)</w:t>
            </w:r>
          </w:p>
        </w:tc>
        <w:tc>
          <w:tcPr>
            <w:tcW w:w="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Yield</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Volume(f)</w:t>
            </w:r>
          </w:p>
        </w:tc>
        <w:tc>
          <w:tcPr>
            <w:tcW w:w="220" w:type="dxa"/>
            <w:vAlign w:val="bottom"/>
            <w:tcBorders>
              <w:bottom w:val="single" w:sz="8" w:color="CCEEFF"/>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7"/>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Industrial</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Total collection</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Transfer</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collection and disposal</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7"/>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Workday adjusted volume impact.</w:t>
      </w:r>
    </w:p>
    <w:p>
      <w:pPr>
        <w:sectPr>
          <w:pgSz w:w="11900" w:h="16838" w:orient="portrait"/>
          <w:cols w:equalWidth="0" w:num="1">
            <w:col w:w="11240"/>
          </w:cols>
          <w:pgMar w:left="320" w:top="904" w:right="339" w:bottom="227" w:gutter="0" w:footer="0" w:header="0"/>
        </w:sectPr>
      </w:pPr>
    </w:p>
    <w:bookmarkStart w:id="12" w:name="page13"/>
    <w:bookmarkEnd w:id="12"/>
    <w:p>
      <w:pPr>
        <w:spacing w:after="0"/>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rPr>
              <w:t>WASTE MANAGEMENT, INC.</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SUMMARY DATA SHEET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5"/>
              </w:rPr>
              <w:t>(In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color w:val="auto"/>
              </w:rPr>
              <w:t>Free Cash Flow (a)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0"/>
            <w:vMerge w:val="restart"/>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Free cash flow</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0"/>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acquisitions consummated during the period, net of cash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acquisitions including contingent consideration and other items from prior periods, net of cash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acquired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Cost basis of landfill assets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560"/>
              <w:spacing w:after="0"/>
              <w:rPr>
                <w:sz w:val="20"/>
                <w:szCs w:val="20"/>
                <w:color w:val="auto"/>
              </w:rPr>
            </w:pPr>
            <w:r>
              <w:rPr>
                <w:rFonts w:ascii="Arial" w:cs="Arial" w:eastAsia="Arial" w:hAnsi="Arial"/>
                <w:sz w:val="18"/>
                <w:szCs w:val="18"/>
                <w:color w:val="auto"/>
              </w:rPr>
              <w:t xml:space="preserve">Total landfill amortization expense </w:t>
            </w:r>
            <w:r>
              <w:rPr>
                <w:rFonts w:ascii="Arial" w:cs="Arial" w:eastAsia="Arial" w:hAnsi="Arial"/>
                <w:sz w:val="18"/>
                <w:szCs w:val="18"/>
                <w:b w:val="1"/>
                <w:bCs w:val="1"/>
                <w:color w:val="auto"/>
              </w:rPr>
              <w:t>(c)</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240"/>
              <w:spacing w:after="0"/>
              <w:rPr>
                <w:sz w:val="20"/>
                <w:szCs w:val="20"/>
                <w:color w:val="auto"/>
              </w:rPr>
            </w:pPr>
            <w:r>
              <w:rPr>
                <w:rFonts w:ascii="Arial" w:cs="Arial" w:eastAsia="Arial" w:hAnsi="Arial"/>
                <w:sz w:val="18"/>
                <w:szCs w:val="18"/>
                <w:color w:val="auto"/>
              </w:rPr>
              <w:t>Landfill amortization, accretion and other related expense</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2021 as compared to the quarter ended March 31, 2020 reflects an increase in amortization expense primarily due to our acquisition of Advanced Disposal and changes in landfill estimates identified in both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2"/>
              </w:rPr>
              <w:t>March 31, 2021</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Income from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Pre-tax</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50"/>
              <w:spacing w:after="0" w:line="191" w:lineRule="exact"/>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Operations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(Gain) loss from divestitures, asset impairments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unusual items, net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Advanced Disposal integration related costs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2"/>
              </w:rPr>
              <w:t>March 31, 2020</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Income from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Pre-tax</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50"/>
              <w:spacing w:after="0" w:line="191" w:lineRule="exact"/>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Operations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an investment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2021 and 2020 adjusted effective tax rates were 22.8% and 17.6%,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11"/>
          </w:tcPr>
          <w:p>
            <w:pPr>
              <w:jc w:val="right"/>
              <w:ind w:right="10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8"/>
                <w:szCs w:val="18"/>
                <w:color w:val="auto"/>
              </w:rPr>
            </w:pPr>
          </w:p>
        </w:tc>
        <w:tc>
          <w:tcPr>
            <w:tcW w:w="24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20"/>
              <w:spacing w:after="0" w:line="191" w:lineRule="exact"/>
              <w:rPr>
                <w:sz w:val="20"/>
                <w:szCs w:val="20"/>
                <w:color w:val="auto"/>
              </w:rPr>
            </w:pPr>
            <w:r>
              <w:rPr>
                <w:rFonts w:ascii="Arial" w:cs="Arial" w:eastAsia="Arial" w:hAnsi="Arial"/>
                <w:sz w:val="18"/>
                <w:szCs w:val="18"/>
                <w:b w:val="1"/>
                <w:bCs w:val="1"/>
                <w:color w:val="auto"/>
              </w:rPr>
              <w:t>As a % of</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w w:val="90"/>
              </w:rPr>
              <w:t>Adjusted SG&amp;A Expenses and Adjusted SG&amp;A Expenses Margin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4,112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5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458</w:t>
            </w:r>
          </w:p>
        </w:tc>
        <w:tc>
          <w:tcPr>
            <w:tcW w:w="1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integration related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2021 Projected Free Cash Flow Reconciliation (a)</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ind w:left="280"/>
              <w:spacing w:after="0"/>
              <w:rPr>
                <w:sz w:val="20"/>
                <w:szCs w:val="20"/>
                <w:color w:val="auto"/>
              </w:rPr>
            </w:pPr>
            <w:r>
              <w:rPr>
                <w:rFonts w:ascii="Arial" w:cs="Arial" w:eastAsia="Arial" w:hAnsi="Arial"/>
                <w:sz w:val="18"/>
                <w:szCs w:val="18"/>
                <w:b w:val="1"/>
                <w:bCs w:val="1"/>
                <w:color w:val="auto"/>
              </w:rPr>
              <w:t>Scenario 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2"/>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Proceeds from divestitures of businesses and other assets (net of</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divested)</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2,325</w:t>
            </w:r>
          </w:p>
        </w:tc>
        <w:tc>
          <w:tcPr>
            <w:tcW w:w="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440" w:hanging="415"/>
        <w:spacing w:after="0" w:line="34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reconciliation includes two scenarios that illustrate our projected free cash flow range for 2021.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2021-04-27T06:46:54Z</dcterms:created>
  <dcterms:modified xsi:type="dcterms:W3CDTF">2021-04-27T06:46:54Z</dcterms:modified>
</cp:coreProperties>
</file>